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80F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80F61" w:rsidP="00B80F61">
            <w:pPr>
              <w:jc w:val="right"/>
            </w:pPr>
            <w:r w:rsidRPr="00B80F61">
              <w:rPr>
                <w:sz w:val="40"/>
              </w:rPr>
              <w:t>ECE</w:t>
            </w:r>
            <w:r>
              <w:t>/TRANS/WP.11/237</w:t>
            </w:r>
          </w:p>
        </w:tc>
      </w:tr>
      <w:tr w:rsidR="002D5AAC" w:rsidRPr="001D78C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80F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80F61" w:rsidRDefault="00B80F61" w:rsidP="00B80F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November 2017</w:t>
            </w:r>
          </w:p>
          <w:p w:rsidR="00B80F61" w:rsidRDefault="00B80F61" w:rsidP="00B80F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80F61" w:rsidRPr="008D53B6" w:rsidRDefault="00B80F61" w:rsidP="00B80F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80F61" w:rsidRPr="0015236A" w:rsidRDefault="00B80F61" w:rsidP="00B80F61">
      <w:pPr>
        <w:spacing w:before="120"/>
        <w:rPr>
          <w:sz w:val="28"/>
          <w:szCs w:val="28"/>
        </w:rPr>
      </w:pPr>
      <w:bookmarkStart w:id="1" w:name="bookmark_33"/>
      <w:r w:rsidRPr="0015236A">
        <w:rPr>
          <w:sz w:val="28"/>
          <w:szCs w:val="28"/>
        </w:rPr>
        <w:t>Комитет по внутреннему транспорту</w:t>
      </w:r>
      <w:bookmarkEnd w:id="1"/>
    </w:p>
    <w:p w:rsidR="00B80F61" w:rsidRPr="0015236A" w:rsidRDefault="00B80F61" w:rsidP="00B80F61">
      <w:pPr>
        <w:spacing w:before="120"/>
        <w:rPr>
          <w:b/>
          <w:sz w:val="24"/>
          <w:szCs w:val="24"/>
        </w:rPr>
      </w:pPr>
      <w:bookmarkStart w:id="2" w:name="bookmark_34"/>
      <w:r w:rsidRPr="0015236A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15236A">
        <w:rPr>
          <w:b/>
          <w:bCs/>
          <w:sz w:val="24"/>
          <w:szCs w:val="24"/>
        </w:rPr>
        <w:t>пищевых продуктов</w:t>
      </w:r>
      <w:bookmarkEnd w:id="2"/>
    </w:p>
    <w:p w:rsidR="00B80F61" w:rsidRPr="0015236A" w:rsidRDefault="00B80F61" w:rsidP="00B80F61">
      <w:pPr>
        <w:spacing w:before="120"/>
        <w:rPr>
          <w:b/>
        </w:rPr>
      </w:pPr>
      <w:bookmarkStart w:id="3" w:name="bookmark_35"/>
      <w:r w:rsidRPr="0015236A">
        <w:rPr>
          <w:b/>
          <w:bCs/>
        </w:rPr>
        <w:t>Семьдесят третья сессия</w:t>
      </w:r>
      <w:bookmarkEnd w:id="3"/>
    </w:p>
    <w:p w:rsidR="00B80F61" w:rsidRPr="0015236A" w:rsidRDefault="00B80F61" w:rsidP="00B80F61">
      <w:pPr>
        <w:pStyle w:val="HChGR"/>
      </w:pPr>
      <w:bookmarkStart w:id="4" w:name="bookmark_36"/>
      <w:r w:rsidRPr="0015236A">
        <w:tab/>
      </w:r>
      <w:r w:rsidRPr="0015236A">
        <w:tab/>
        <w:t>Доклад Рабочей группы по перевозкам скоропортящихся пищевых продуктов о работе ее</w:t>
      </w:r>
      <w:r>
        <w:rPr>
          <w:lang w:val="en-US"/>
        </w:rPr>
        <w:t> </w:t>
      </w:r>
      <w:r w:rsidRPr="0015236A">
        <w:t>семьдесят третьей сессии,</w:t>
      </w:r>
      <w:bookmarkStart w:id="5" w:name="_Toc432670158"/>
      <w:bookmarkEnd w:id="4"/>
      <w:bookmarkEnd w:id="5"/>
    </w:p>
    <w:p w:rsidR="00B80F61" w:rsidRDefault="00B80F61" w:rsidP="00B80F61">
      <w:pPr>
        <w:pStyle w:val="SingleTxtGR"/>
      </w:pPr>
      <w:bookmarkStart w:id="6" w:name="bookmark_37"/>
      <w:r w:rsidRPr="0015236A">
        <w:t>состоявшейся в Женеве 10–13 октября 2017 года</w:t>
      </w:r>
      <w:bookmarkEnd w:id="6"/>
    </w:p>
    <w:p w:rsidR="00B80F61" w:rsidRDefault="00B80F61">
      <w:pPr>
        <w:spacing w:line="240" w:lineRule="auto"/>
      </w:pPr>
      <w:r>
        <w:br w:type="page"/>
      </w:r>
    </w:p>
    <w:p w:rsidR="00B80F61" w:rsidRDefault="00B80F61" w:rsidP="00B80F61">
      <w:pPr>
        <w:spacing w:after="120"/>
        <w:rPr>
          <w:sz w:val="28"/>
        </w:rPr>
      </w:pPr>
      <w:bookmarkStart w:id="7" w:name="bookmark_40"/>
      <w:r>
        <w:rPr>
          <w:sz w:val="28"/>
        </w:rPr>
        <w:lastRenderedPageBreak/>
        <w:t>Содержание</w:t>
      </w:r>
    </w:p>
    <w:p w:rsidR="00B80F61" w:rsidRDefault="00B80F61" w:rsidP="00B80F61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B80F61" w:rsidRPr="000719E4" w:rsidRDefault="00B80F61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I</w:t>
      </w:r>
      <w:r w:rsidRPr="0041723C">
        <w:t>.</w:t>
      </w:r>
      <w:r w:rsidRPr="0041723C">
        <w:tab/>
      </w:r>
      <w:r w:rsidR="001D6433" w:rsidRPr="0041723C">
        <w:rPr>
          <w:bCs/>
        </w:rPr>
        <w:t>Участники</w:t>
      </w:r>
      <w:r w:rsidRPr="0041723C">
        <w:tab/>
      </w:r>
      <w:r w:rsidRPr="0041723C">
        <w:tab/>
        <w:t>1–3</w:t>
      </w:r>
      <w:r w:rsidRPr="0041723C">
        <w:tab/>
      </w:r>
      <w:r w:rsidR="000719E4" w:rsidRPr="000719E4">
        <w:t>5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II</w:t>
      </w:r>
      <w:r w:rsidRPr="0041723C">
        <w:t>.</w:t>
      </w:r>
      <w:r w:rsidRPr="0041723C">
        <w:tab/>
      </w:r>
      <w:r w:rsidR="001D6433" w:rsidRPr="0041723C">
        <w:rPr>
          <w:bCs/>
        </w:rPr>
        <w:t>Утверждение повестки дня (пункт 1 повестки дня)</w:t>
      </w:r>
      <w:r w:rsidRPr="0041723C">
        <w:tab/>
      </w:r>
      <w:r w:rsidRPr="0041723C">
        <w:tab/>
        <w:t>4</w:t>
      </w:r>
      <w:r w:rsidRPr="0041723C">
        <w:tab/>
      </w:r>
      <w:r w:rsidR="000719E4" w:rsidRPr="000719E4">
        <w:t>5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III</w:t>
      </w:r>
      <w:r w:rsidRPr="0041723C">
        <w:t>.</w:t>
      </w:r>
      <w:r w:rsidRPr="0041723C">
        <w:tab/>
      </w:r>
      <w:r w:rsidR="00740CF5" w:rsidRPr="0041723C">
        <w:rPr>
          <w:bCs/>
        </w:rPr>
        <w:t xml:space="preserve">Деятельность органов ЕЭК, представляющая интерес для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Рабочей группы (пункт 2 повестки дня)</w:t>
      </w:r>
      <w:r w:rsidRPr="0041723C">
        <w:tab/>
      </w:r>
      <w:r w:rsidRPr="0041723C">
        <w:tab/>
        <w:t>5–1</w:t>
      </w:r>
      <w:r w:rsidR="006D05C6" w:rsidRPr="006D05C6">
        <w:t>1</w:t>
      </w:r>
      <w:r w:rsidRPr="0041723C">
        <w:tab/>
      </w:r>
      <w:r w:rsidR="000719E4" w:rsidRPr="000719E4">
        <w:t>5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A</w:t>
      </w:r>
      <w:r w:rsidRPr="0041723C">
        <w:t>.</w:t>
      </w:r>
      <w:r w:rsidRPr="0041723C">
        <w:tab/>
      </w:r>
      <w:r w:rsidR="00740CF5" w:rsidRPr="0041723C">
        <w:t>Комитет по внутреннему транспорту</w:t>
      </w:r>
      <w:r w:rsidRPr="0041723C">
        <w:tab/>
      </w:r>
      <w:r w:rsidRPr="0041723C">
        <w:tab/>
        <w:t>5–10</w:t>
      </w:r>
      <w:r w:rsidR="000719E4">
        <w:tab/>
      </w:r>
      <w:r w:rsidR="000719E4" w:rsidRPr="000719E4">
        <w:t>5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B</w:t>
      </w:r>
      <w:r w:rsidRPr="0041723C">
        <w:t>.</w:t>
      </w:r>
      <w:r w:rsidRPr="0041723C">
        <w:tab/>
      </w:r>
      <w:r w:rsidR="00740CF5" w:rsidRPr="0041723C">
        <w:rPr>
          <w:bCs/>
        </w:rPr>
        <w:t xml:space="preserve">Рабочая группа по сельскохозяйственным стандартам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качества (WP.7)</w:t>
      </w:r>
      <w:r w:rsidRPr="0041723C">
        <w:tab/>
      </w:r>
      <w:r w:rsidRPr="0041723C">
        <w:tab/>
        <w:t>11</w:t>
      </w:r>
      <w:r w:rsidR="000719E4">
        <w:tab/>
      </w:r>
      <w:r w:rsidR="000719E4" w:rsidRPr="000719E4">
        <w:t>6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IV</w:t>
      </w:r>
      <w:r w:rsidRPr="0041723C">
        <w:t>.</w:t>
      </w:r>
      <w:r w:rsidRPr="0041723C">
        <w:tab/>
      </w:r>
      <w:r w:rsidR="00740CF5" w:rsidRPr="0041723C">
        <w:rPr>
          <w:bCs/>
        </w:rPr>
        <w:t xml:space="preserve">Деятельность других международных организаций, занимающихся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 xml:space="preserve">вопросами, которые представляют интерес для Рабочей группы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(пункт 3 повестки дня)</w:t>
      </w:r>
      <w:r w:rsidRPr="0041723C">
        <w:tab/>
      </w:r>
      <w:r w:rsidRPr="0041723C">
        <w:tab/>
        <w:t>12–24</w:t>
      </w:r>
      <w:r w:rsidR="000719E4">
        <w:tab/>
      </w:r>
      <w:r w:rsidR="000719E4" w:rsidRPr="000719E4">
        <w:t>7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A</w:t>
      </w:r>
      <w:r w:rsidRPr="0041723C">
        <w:t>.</w:t>
      </w:r>
      <w:r w:rsidRPr="0041723C">
        <w:tab/>
      </w:r>
      <w:r w:rsidR="00740CF5" w:rsidRPr="0041723C">
        <w:rPr>
          <w:bCs/>
        </w:rPr>
        <w:t>Международный институт холода (МИХ)</w:t>
      </w:r>
      <w:r w:rsidRPr="0041723C">
        <w:tab/>
      </w:r>
      <w:r w:rsidRPr="0041723C">
        <w:tab/>
        <w:t>12</w:t>
      </w:r>
      <w:r w:rsidR="000719E4">
        <w:tab/>
      </w:r>
      <w:r w:rsidR="000719E4" w:rsidRPr="000719E4">
        <w:t>7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B</w:t>
      </w:r>
      <w:r w:rsidRPr="0041723C">
        <w:t>.</w:t>
      </w:r>
      <w:r w:rsidRPr="0041723C">
        <w:tab/>
      </w:r>
      <w:r w:rsidR="00740CF5" w:rsidRPr="0041723C">
        <w:rPr>
          <w:bCs/>
        </w:rPr>
        <w:t>Международная федерация «Трансфригорут интернэшнл»</w:t>
      </w:r>
      <w:r w:rsidRPr="0041723C">
        <w:tab/>
      </w:r>
      <w:r w:rsidRPr="0041723C">
        <w:tab/>
        <w:t>13–14</w:t>
      </w:r>
      <w:r w:rsidR="000719E4">
        <w:tab/>
      </w:r>
      <w:r w:rsidR="000719E4" w:rsidRPr="000719E4">
        <w:t>7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C</w:t>
      </w:r>
      <w:r w:rsidRPr="0041723C">
        <w:t>.</w:t>
      </w:r>
      <w:r w:rsidRPr="0041723C">
        <w:tab/>
      </w:r>
      <w:r w:rsidR="00740CF5" w:rsidRPr="0041723C">
        <w:rPr>
          <w:bCs/>
        </w:rPr>
        <w:t>Организации по стандартизации</w:t>
      </w:r>
      <w:r w:rsidRPr="0041723C">
        <w:tab/>
      </w:r>
      <w:r w:rsidRPr="0041723C">
        <w:tab/>
        <w:t>15–24</w:t>
      </w:r>
      <w:r w:rsidR="000719E4">
        <w:tab/>
      </w:r>
      <w:r w:rsidR="000719E4" w:rsidRPr="000719E4">
        <w:t>7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V</w:t>
      </w:r>
      <w:r w:rsidRPr="0041723C">
        <w:t>.</w:t>
      </w:r>
      <w:r w:rsidRPr="0041723C">
        <w:tab/>
      </w:r>
      <w:r w:rsidR="00740CF5" w:rsidRPr="0041723C">
        <w:rPr>
          <w:bCs/>
        </w:rPr>
        <w:t xml:space="preserve">Статус и осуществление Соглашения о международных перевозках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 xml:space="preserve">скоропортящихся пищевых продуктов и о специальных транспортных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 xml:space="preserve">средствах, предназначенных для этих перевозок (СПС)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(пункт 4 повестки дня)</w:t>
      </w:r>
      <w:r w:rsidRPr="0041723C">
        <w:tab/>
      </w:r>
      <w:r w:rsidRPr="0041723C">
        <w:tab/>
        <w:t>25–45</w:t>
      </w:r>
      <w:r w:rsidR="000719E4">
        <w:tab/>
      </w:r>
      <w:r w:rsidR="000719E4" w:rsidRPr="000719E4">
        <w:t>10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A</w:t>
      </w:r>
      <w:r w:rsidRPr="0041723C">
        <w:t>.</w:t>
      </w:r>
      <w:r w:rsidRPr="0041723C">
        <w:tab/>
      </w:r>
      <w:r w:rsidR="00740CF5" w:rsidRPr="0041723C">
        <w:rPr>
          <w:bCs/>
        </w:rPr>
        <w:t>Положение в связи с применением Соглашения</w:t>
      </w:r>
      <w:r w:rsidRPr="0041723C">
        <w:tab/>
      </w:r>
      <w:r w:rsidRPr="0041723C">
        <w:tab/>
        <w:t>25</w:t>
      </w:r>
      <w:r w:rsidR="000719E4">
        <w:tab/>
      </w:r>
      <w:r w:rsidR="000719E4" w:rsidRPr="000719E4">
        <w:t>10</w:t>
      </w:r>
    </w:p>
    <w:p w:rsidR="00A5481B" w:rsidRPr="004B0D45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B</w:t>
      </w:r>
      <w:r w:rsidRPr="0041723C">
        <w:t>.</w:t>
      </w:r>
      <w:r w:rsidRPr="0041723C">
        <w:tab/>
      </w:r>
      <w:r w:rsidR="00740CF5" w:rsidRPr="0041723C">
        <w:rPr>
          <w:bCs/>
        </w:rPr>
        <w:t>Состояние поправок</w:t>
      </w:r>
      <w:r w:rsidRPr="0041723C">
        <w:tab/>
      </w:r>
      <w:r w:rsidRPr="0041723C">
        <w:tab/>
        <w:t>26–29</w:t>
      </w:r>
      <w:r w:rsidR="000719E4">
        <w:tab/>
      </w:r>
      <w:r w:rsidR="000719E4" w:rsidRPr="004B0D45">
        <w:t>10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C</w:t>
      </w:r>
      <w:r w:rsidRPr="0041723C">
        <w:t>.</w:t>
      </w:r>
      <w:r w:rsidRPr="0041723C">
        <w:tab/>
      </w:r>
      <w:r w:rsidR="00740CF5" w:rsidRPr="0041723C">
        <w:t xml:space="preserve">Испытательные станции, официально назначаемые </w:t>
      </w:r>
      <w:r w:rsidR="00740CF5" w:rsidRPr="0041723C">
        <w:br/>
      </w:r>
      <w:r w:rsidR="00740CF5" w:rsidRPr="0041723C">
        <w:tab/>
      </w:r>
      <w:r w:rsidR="00740CF5" w:rsidRPr="0041723C">
        <w:tab/>
      </w:r>
      <w:r w:rsidR="00740CF5" w:rsidRPr="0041723C">
        <w:tab/>
        <w:t>компетентными органами стран – участниц СПС</w:t>
      </w:r>
      <w:r w:rsidRPr="0041723C">
        <w:tab/>
      </w:r>
      <w:r w:rsidRPr="0041723C">
        <w:tab/>
        <w:t>30–33</w:t>
      </w:r>
      <w:r w:rsidR="000719E4">
        <w:tab/>
      </w:r>
      <w:r w:rsidR="000719E4" w:rsidRPr="000719E4">
        <w:t>10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D</w:t>
      </w:r>
      <w:r w:rsidRPr="0041723C">
        <w:t>.</w:t>
      </w:r>
      <w:r w:rsidRPr="0041723C">
        <w:tab/>
      </w:r>
      <w:r w:rsidR="00045D4E" w:rsidRPr="00B80F61">
        <w:t xml:space="preserve">Обмен информацией между Сторонами в соответствии </w:t>
      </w:r>
      <w:r w:rsidR="00045D4E">
        <w:br/>
      </w:r>
      <w:r w:rsidR="00045D4E">
        <w:tab/>
      </w:r>
      <w:r w:rsidR="00045D4E">
        <w:tab/>
      </w:r>
      <w:r w:rsidR="00045D4E">
        <w:tab/>
      </w:r>
      <w:r w:rsidR="00045D4E" w:rsidRPr="00B80F61">
        <w:t>со</w:t>
      </w:r>
      <w:r w:rsidR="00045D4E">
        <w:rPr>
          <w:lang w:val="en-US"/>
        </w:rPr>
        <w:t> </w:t>
      </w:r>
      <w:r w:rsidR="00045D4E" w:rsidRPr="00B80F61">
        <w:t>статьей 6 СПС</w:t>
      </w:r>
      <w:r w:rsidRPr="0041723C">
        <w:tab/>
      </w:r>
      <w:r w:rsidRPr="0041723C">
        <w:tab/>
        <w:t>34–37</w:t>
      </w:r>
      <w:r w:rsidR="000719E4">
        <w:tab/>
      </w:r>
      <w:r w:rsidR="000719E4" w:rsidRPr="000719E4">
        <w:t>11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E</w:t>
      </w:r>
      <w:r w:rsidRPr="0041723C">
        <w:t>.</w:t>
      </w:r>
      <w:r w:rsidRPr="0041723C">
        <w:tab/>
      </w:r>
      <w:r w:rsidR="00740CF5" w:rsidRPr="0041723C">
        <w:rPr>
          <w:bCs/>
        </w:rPr>
        <w:t xml:space="preserve">Обмен передовой практикой для более эффективного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осуществления СПС</w:t>
      </w:r>
      <w:r w:rsidRPr="0041723C">
        <w:tab/>
      </w:r>
      <w:r w:rsidRPr="0041723C">
        <w:tab/>
        <w:t>38–45</w:t>
      </w:r>
      <w:r w:rsidR="000719E4">
        <w:tab/>
      </w:r>
      <w:r w:rsidR="000719E4" w:rsidRPr="000719E4">
        <w:t>11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VI</w:t>
      </w:r>
      <w:r w:rsidRPr="0041723C">
        <w:t>.</w:t>
      </w:r>
      <w:r w:rsidRPr="0041723C">
        <w:tab/>
      </w:r>
      <w:r w:rsidR="00740CF5" w:rsidRPr="0041723C">
        <w:rPr>
          <w:bCs/>
        </w:rPr>
        <w:t>Предложения по поправкам к СПС (пункт 5 повестки дня)</w:t>
      </w:r>
      <w:r w:rsidRPr="0041723C">
        <w:tab/>
      </w:r>
      <w:r w:rsidRPr="0041723C">
        <w:tab/>
        <w:t>46–71</w:t>
      </w:r>
      <w:r w:rsidR="000719E4">
        <w:tab/>
      </w:r>
      <w:r w:rsidR="000719E4" w:rsidRPr="000719E4">
        <w:t>12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A</w:t>
      </w:r>
      <w:r w:rsidRPr="0041723C">
        <w:t>.</w:t>
      </w:r>
      <w:r w:rsidRPr="0041723C">
        <w:tab/>
      </w:r>
      <w:r w:rsidR="00740CF5" w:rsidRPr="0041723C">
        <w:rPr>
          <w:bCs/>
        </w:rPr>
        <w:t>Предложения, по которым еще не приняты решения</w:t>
      </w:r>
      <w:r w:rsidRPr="0041723C">
        <w:tab/>
      </w:r>
      <w:r w:rsidRPr="0041723C">
        <w:tab/>
        <w:t>46–53</w:t>
      </w:r>
      <w:r w:rsidR="000719E4">
        <w:tab/>
      </w:r>
      <w:r w:rsidR="000719E4" w:rsidRPr="000719E4">
        <w:t>12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1.</w:t>
      </w:r>
      <w:r w:rsidRPr="0041723C">
        <w:tab/>
      </w:r>
      <w:r w:rsidR="00740CF5" w:rsidRPr="0041723C">
        <w:rPr>
          <w:bCs/>
        </w:rPr>
        <w:t>Приложение 1, добавление 2, образцы № 9 и № 11</w:t>
      </w:r>
      <w:r w:rsidRPr="0041723C">
        <w:tab/>
      </w:r>
      <w:r w:rsidRPr="0041723C">
        <w:tab/>
        <w:t>46</w:t>
      </w:r>
      <w:r w:rsidR="000719E4">
        <w:tab/>
      </w:r>
      <w:r w:rsidR="000719E4" w:rsidRPr="000719E4">
        <w:t>12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2.</w:t>
      </w:r>
      <w:r w:rsidRPr="0041723C">
        <w:tab/>
      </w:r>
      <w:r w:rsidR="00740CF5" w:rsidRPr="0041723C">
        <w:rPr>
          <w:bCs/>
        </w:rPr>
        <w:t xml:space="preserve">Приложение 1, добавление 2, образцы протоколов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испытаний</w:t>
      </w:r>
      <w:r w:rsidRPr="0041723C">
        <w:tab/>
      </w:r>
      <w:r w:rsidRPr="0041723C">
        <w:tab/>
        <w:t>47</w:t>
      </w:r>
      <w:r w:rsidR="000719E4">
        <w:tab/>
      </w:r>
      <w:r w:rsidR="000719E4" w:rsidRPr="000719E4">
        <w:t>12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3.</w:t>
      </w:r>
      <w:r w:rsidRPr="0041723C">
        <w:tab/>
      </w:r>
      <w:r w:rsidR="00740CF5" w:rsidRPr="0041723C">
        <w:rPr>
          <w:bCs/>
        </w:rPr>
        <w:t xml:space="preserve">Методы нахождения неопределенности измерения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коэффициента K</w:t>
      </w:r>
      <w:r w:rsidRPr="0041723C">
        <w:tab/>
      </w:r>
      <w:r w:rsidRPr="0041723C">
        <w:tab/>
      </w:r>
      <w:r w:rsidR="000719E4">
        <w:tab/>
      </w:r>
      <w:r w:rsidR="000719E4" w:rsidRPr="000719E4">
        <w:t>13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4.</w:t>
      </w:r>
      <w:r w:rsidRPr="0041723C">
        <w:tab/>
      </w:r>
      <w:r w:rsidR="00740CF5" w:rsidRPr="0041723C">
        <w:rPr>
          <w:bCs/>
        </w:rPr>
        <w:t xml:space="preserve">Определения терминов для включения в приложение 1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к СПС</w:t>
      </w:r>
      <w:r w:rsidRPr="0041723C">
        <w:tab/>
      </w:r>
      <w:r w:rsidRPr="0041723C">
        <w:tab/>
      </w:r>
      <w:r w:rsidR="000719E4">
        <w:tab/>
      </w:r>
      <w:r w:rsidR="000719E4" w:rsidRPr="000719E4">
        <w:t>13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5.</w:t>
      </w:r>
      <w:r w:rsidRPr="0041723C">
        <w:tab/>
      </w:r>
      <w:r w:rsidR="00740CF5" w:rsidRPr="0041723C">
        <w:rPr>
          <w:bCs/>
        </w:rPr>
        <w:t>Поправки к пункту 1 статьи 3 СПС</w:t>
      </w:r>
      <w:r w:rsidRPr="0041723C">
        <w:tab/>
      </w:r>
      <w:r w:rsidRPr="0041723C">
        <w:tab/>
        <w:t>48–52</w:t>
      </w:r>
      <w:r w:rsidR="000719E4">
        <w:tab/>
      </w:r>
      <w:r w:rsidR="000719E4" w:rsidRPr="000719E4">
        <w:t>13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6.</w:t>
      </w:r>
      <w:r w:rsidRPr="0041723C">
        <w:tab/>
      </w:r>
      <w:r w:rsidR="00740CF5" w:rsidRPr="0041723C">
        <w:t xml:space="preserve">Требования к рассмотрению замены хладагента </w:t>
      </w:r>
      <w:r w:rsidR="00740CF5" w:rsidRPr="0041723C">
        <w:br/>
      </w:r>
      <w:r w:rsidR="00740CF5" w:rsidRPr="0041723C">
        <w:tab/>
      </w:r>
      <w:r w:rsidR="00740CF5" w:rsidRPr="0041723C">
        <w:tab/>
      </w:r>
      <w:r w:rsidR="00740CF5" w:rsidRPr="0041723C">
        <w:tab/>
      </w:r>
      <w:r w:rsidR="00740CF5" w:rsidRPr="0041723C">
        <w:tab/>
        <w:t xml:space="preserve">(альтернативным безопасным замещающим хладагентом) </w:t>
      </w:r>
      <w:r w:rsidR="00740CF5" w:rsidRPr="0041723C">
        <w:br/>
      </w:r>
      <w:r w:rsidR="00740CF5" w:rsidRPr="0041723C">
        <w:tab/>
      </w:r>
      <w:r w:rsidR="00740CF5" w:rsidRPr="0041723C">
        <w:tab/>
      </w:r>
      <w:r w:rsidR="00740CF5" w:rsidRPr="0041723C">
        <w:tab/>
      </w:r>
      <w:r w:rsidR="00740CF5" w:rsidRPr="0041723C">
        <w:tab/>
        <w:t xml:space="preserve">для признанной пригодной парокомпрессионной </w:t>
      </w:r>
      <w:r w:rsidR="00740CF5" w:rsidRPr="0041723C">
        <w:br/>
      </w:r>
      <w:r w:rsidR="00740CF5" w:rsidRPr="0041723C">
        <w:tab/>
      </w:r>
      <w:r w:rsidR="00740CF5" w:rsidRPr="0041723C">
        <w:tab/>
      </w:r>
      <w:r w:rsidR="00740CF5" w:rsidRPr="0041723C">
        <w:tab/>
      </w:r>
      <w:r w:rsidR="00740CF5" w:rsidRPr="0041723C">
        <w:tab/>
        <w:t>холодильной установки</w:t>
      </w:r>
      <w:r w:rsidRPr="0041723C">
        <w:tab/>
      </w:r>
      <w:r w:rsidRPr="0041723C">
        <w:tab/>
        <w:t>53</w:t>
      </w:r>
      <w:r w:rsidR="000719E4">
        <w:tab/>
      </w:r>
      <w:r w:rsidR="000719E4" w:rsidRPr="000719E4">
        <w:t>13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rPr>
          <w:lang w:val="en-US"/>
        </w:rPr>
        <w:t>B</w:t>
      </w:r>
      <w:r w:rsidRPr="0041723C">
        <w:t>.</w:t>
      </w:r>
      <w:r w:rsidRPr="0041723C">
        <w:tab/>
      </w:r>
      <w:r w:rsidR="00740CF5" w:rsidRPr="0041723C">
        <w:rPr>
          <w:bCs/>
        </w:rPr>
        <w:t>Новые предложения</w:t>
      </w:r>
      <w:r w:rsidRPr="0041723C">
        <w:tab/>
      </w:r>
      <w:r w:rsidRPr="0041723C">
        <w:tab/>
        <w:t>54–71</w:t>
      </w:r>
      <w:r w:rsidR="000719E4">
        <w:tab/>
      </w:r>
      <w:r w:rsidR="000719E4" w:rsidRPr="000719E4">
        <w:t>14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1.</w:t>
      </w:r>
      <w:r w:rsidRPr="0041723C">
        <w:tab/>
      </w:r>
      <w:r w:rsidR="00740CF5" w:rsidRPr="0041723C">
        <w:rPr>
          <w:bCs/>
        </w:rPr>
        <w:t xml:space="preserve">Свидетельство о соответствии новых транспортных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средств, передаваемых в страну регистрации оператора</w:t>
      </w:r>
      <w:r w:rsidRPr="0041723C">
        <w:tab/>
      </w:r>
      <w:r w:rsidRPr="0041723C">
        <w:tab/>
        <w:t>54–56</w:t>
      </w:r>
      <w:r w:rsidR="000719E4">
        <w:tab/>
      </w:r>
      <w:r w:rsidR="000719E4" w:rsidRPr="000719E4">
        <w:t>14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lastRenderedPageBreak/>
        <w:tab/>
      </w:r>
      <w:r w:rsidRPr="0041723C">
        <w:tab/>
      </w:r>
      <w:r w:rsidRPr="0041723C">
        <w:tab/>
        <w:t>2.</w:t>
      </w:r>
      <w:r w:rsidRPr="0041723C">
        <w:tab/>
      </w:r>
      <w:r w:rsidR="00740CF5" w:rsidRPr="0041723C">
        <w:rPr>
          <w:bCs/>
        </w:rPr>
        <w:t xml:space="preserve">Методология допущения холодильной установки,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 xml:space="preserve">в которой используется сжиженный газ, отдельно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от транспортного средства</w:t>
      </w:r>
      <w:r w:rsidRPr="0041723C">
        <w:tab/>
      </w:r>
      <w:r w:rsidRPr="0041723C">
        <w:tab/>
        <w:t>57</w:t>
      </w:r>
      <w:r w:rsidR="000719E4">
        <w:tab/>
      </w:r>
      <w:r w:rsidR="000719E4" w:rsidRPr="000719E4">
        <w:t>14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3.</w:t>
      </w:r>
      <w:r w:rsidRPr="0041723C">
        <w:tab/>
      </w:r>
      <w:r w:rsidR="00740CF5" w:rsidRPr="0041723C">
        <w:rPr>
          <w:bCs/>
        </w:rPr>
        <w:t xml:space="preserve">Предложение по дополнительным требованиям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 xml:space="preserve">к измерению коэффициента К несъемных перегородок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многокамерных транспортных средств</w:t>
      </w:r>
      <w:r w:rsidRPr="0041723C">
        <w:tab/>
      </w:r>
      <w:r w:rsidRPr="0041723C">
        <w:tab/>
        <w:t>58–60</w:t>
      </w:r>
      <w:r w:rsidR="000719E4">
        <w:tab/>
      </w:r>
      <w:r w:rsidR="000719E4" w:rsidRPr="000719E4">
        <w:t>14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4.</w:t>
      </w:r>
      <w:r w:rsidRPr="0041723C">
        <w:tab/>
      </w:r>
      <w:r w:rsidR="00740CF5" w:rsidRPr="0041723C">
        <w:rPr>
          <w:bCs/>
        </w:rPr>
        <w:t xml:space="preserve">Предложение о включении в пункт 6.2 добавления 2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 xml:space="preserve">к приложению 1 процедуры испытания эффективности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мультитемпературных транспортных средств-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рефрижераторов, находящихся в эксплуатации</w:t>
      </w:r>
      <w:r w:rsidRPr="0041723C">
        <w:tab/>
      </w:r>
      <w:r w:rsidRPr="0041723C">
        <w:tab/>
        <w:t>61</w:t>
      </w:r>
      <w:r w:rsidR="000719E4">
        <w:tab/>
      </w:r>
      <w:r w:rsidR="000719E4" w:rsidRPr="000719E4">
        <w:t>14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5.</w:t>
      </w:r>
      <w:r w:rsidRPr="0041723C">
        <w:tab/>
      </w:r>
      <w:r w:rsidR="00740CF5" w:rsidRPr="0041723C">
        <w:rPr>
          <w:bCs/>
        </w:rPr>
        <w:t xml:space="preserve">Пункты 2.1.8, 2.2.9, 3.1.4, 3.2.3 и 3.3.4 добавления 2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к приложению 1</w:t>
      </w:r>
      <w:r w:rsidRPr="0041723C">
        <w:tab/>
      </w:r>
      <w:r w:rsidRPr="0041723C">
        <w:tab/>
        <w:t>62–63</w:t>
      </w:r>
      <w:r w:rsidR="000719E4">
        <w:tab/>
      </w:r>
      <w:r w:rsidR="000719E4" w:rsidRPr="000719E4">
        <w:t>15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6.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 xml:space="preserve">Учет погрешности (неопределенности) измерения общего 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 xml:space="preserve">коэффициента теплопередачи кузова при установлении 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 xml:space="preserve">категории специального транспортного средства, а также 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>исправление опечатки в русскоязычном тексте</w:t>
      </w:r>
      <w:r w:rsidRPr="0041723C">
        <w:tab/>
      </w:r>
      <w:r w:rsidRPr="0041723C">
        <w:tab/>
        <w:t>64</w:t>
      </w:r>
      <w:r w:rsidR="000719E4">
        <w:tab/>
      </w:r>
      <w:r w:rsidR="000719E4" w:rsidRPr="000719E4">
        <w:t>15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7.</w:t>
      </w:r>
      <w:r w:rsidRPr="0041723C">
        <w:tab/>
      </w:r>
      <w:r w:rsidR="00740CF5" w:rsidRPr="0041723C">
        <w:rPr>
          <w:bCs/>
        </w:rPr>
        <w:t xml:space="preserve">Учет той части мощности вентиляторов, используемых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 xml:space="preserve">при теплотехнических испытаниях для обеспечения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циркуляции воздуха, которая превращается в тепло</w:t>
      </w:r>
      <w:r w:rsidRPr="0041723C">
        <w:tab/>
      </w:r>
      <w:r w:rsidRPr="0041723C">
        <w:tab/>
      </w:r>
      <w:r w:rsidR="000719E4">
        <w:tab/>
      </w:r>
      <w:r w:rsidR="000719E4" w:rsidRPr="000719E4">
        <w:t>15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8.</w:t>
      </w:r>
      <w:r w:rsidRPr="0041723C">
        <w:tab/>
      </w:r>
      <w:r w:rsidR="00740CF5" w:rsidRPr="0041723C">
        <w:rPr>
          <w:bCs/>
        </w:rPr>
        <w:t xml:space="preserve">Редакционная правка текста СПС в русскоязычном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переводе, касающаяся колесных арок</w:t>
      </w:r>
      <w:r w:rsidRPr="0041723C">
        <w:tab/>
      </w:r>
      <w:r w:rsidRPr="0041723C">
        <w:tab/>
        <w:t>65</w:t>
      </w:r>
      <w:r w:rsidR="000719E4">
        <w:tab/>
      </w:r>
      <w:r w:rsidR="000719E4" w:rsidRPr="000719E4">
        <w:t>15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9.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 xml:space="preserve">Предложение по поправке к СПС, касающееся заключения 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 xml:space="preserve">о присвоении класса транспортному средству-леднику, 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 xml:space="preserve">транспортному средству-рефрижератору, отапливаемому 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>транспортному средству и транспортному средству-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 xml:space="preserve">рефрижератору и отапливаемому при допущении новых 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>транспортных средств</w:t>
      </w:r>
      <w:r w:rsidRPr="0041723C">
        <w:tab/>
      </w:r>
      <w:r w:rsidRPr="0041723C">
        <w:tab/>
      </w:r>
      <w:r w:rsidR="000719E4">
        <w:tab/>
      </w:r>
      <w:r w:rsidR="000719E4" w:rsidRPr="000719E4">
        <w:t>15</w:t>
      </w:r>
    </w:p>
    <w:p w:rsidR="00A5481B" w:rsidRPr="004B0D45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10.</w:t>
      </w:r>
      <w:r w:rsidRPr="0041723C">
        <w:tab/>
      </w:r>
      <w:r w:rsidR="00740CF5" w:rsidRPr="0041723C">
        <w:rPr>
          <w:bCs/>
        </w:rPr>
        <w:t>Исправление к СПС</w:t>
      </w:r>
      <w:r w:rsidRPr="0041723C">
        <w:tab/>
      </w:r>
      <w:r w:rsidRPr="0041723C">
        <w:tab/>
        <w:t>66</w:t>
      </w:r>
      <w:r w:rsidR="000719E4">
        <w:tab/>
      </w:r>
      <w:r w:rsidR="000719E4" w:rsidRPr="004B0D45">
        <w:t>15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11.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 xml:space="preserve">Предложение о внесении поправок в добавления 2 и 4 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 xml:space="preserve">к приложению 1: транспортные средства </w:t>
      </w:r>
      <w:r w:rsidR="00045D4E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045D4E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045D4E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045D4E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045D4E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 xml:space="preserve">с мультитемпературным режимом – выдача </w:t>
      </w:r>
      <w:r w:rsidR="00045D4E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045D4E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045D4E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045D4E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045D4E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свидетельства и опознавательное обозначение</w:t>
      </w:r>
      <w:r w:rsidRPr="0041723C">
        <w:tab/>
      </w:r>
      <w:r w:rsidRPr="0041723C">
        <w:tab/>
        <w:t>67–68</w:t>
      </w:r>
      <w:r w:rsidR="000719E4">
        <w:tab/>
      </w:r>
      <w:r w:rsidR="000719E4" w:rsidRPr="000719E4">
        <w:t>16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12.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 xml:space="preserve">Предложения по улучшению правил принятия решений 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>и голосования</w:t>
      </w:r>
      <w:r w:rsidRPr="0041723C">
        <w:tab/>
      </w:r>
      <w:r w:rsidRPr="0041723C">
        <w:tab/>
        <w:t>69–71</w:t>
      </w:r>
      <w:r w:rsidR="000719E4">
        <w:tab/>
      </w:r>
      <w:r w:rsidR="000719E4" w:rsidRPr="000719E4">
        <w:t>16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VII</w:t>
      </w:r>
      <w:r w:rsidRPr="0041723C">
        <w:t>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Справочник СПС (пункт 6 повестки дня)</w:t>
      </w:r>
      <w:r w:rsidRPr="0041723C">
        <w:tab/>
      </w:r>
      <w:r w:rsidRPr="0041723C">
        <w:tab/>
        <w:t>72</w:t>
      </w:r>
      <w:r w:rsidR="000719E4">
        <w:tab/>
      </w:r>
      <w:r w:rsidR="000719E4" w:rsidRPr="000719E4">
        <w:t>17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1.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 xml:space="preserve">Методы нахождения неопределенности измерения </w:t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br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ab/>
        <w:t>коэффициента K</w:t>
      </w:r>
      <w:r w:rsidRPr="0041723C">
        <w:tab/>
      </w:r>
      <w:r w:rsidRPr="0041723C">
        <w:tab/>
        <w:t>72</w:t>
      </w:r>
      <w:r w:rsidR="000719E4">
        <w:tab/>
      </w:r>
      <w:r w:rsidR="000719E4" w:rsidRPr="000719E4">
        <w:t>17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VIII</w:t>
      </w:r>
      <w:r w:rsidRPr="0041723C">
        <w:t>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Сфера действия СПС (пункт 7 повестки дня)</w:t>
      </w:r>
      <w:r w:rsidRPr="0041723C">
        <w:tab/>
      </w:r>
      <w:r w:rsidRPr="0041723C">
        <w:tab/>
        <w:t>73</w:t>
      </w:r>
      <w:r w:rsidR="000719E4">
        <w:tab/>
      </w:r>
      <w:r w:rsidR="000719E4" w:rsidRPr="000719E4">
        <w:t>17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IX</w:t>
      </w:r>
      <w:r w:rsidRPr="0041723C">
        <w:t>.</w:t>
      </w:r>
      <w:r w:rsidRPr="0041723C">
        <w:tab/>
      </w:r>
      <w:r w:rsidR="00740CF5" w:rsidRPr="0041723C">
        <w:rPr>
          <w:bCs/>
        </w:rPr>
        <w:t xml:space="preserve">Энергетическая маркировка, хладагенты и вспенивающие вещества </w:t>
      </w:r>
      <w:r w:rsidR="00740CF5" w:rsidRPr="0041723C">
        <w:rPr>
          <w:bCs/>
        </w:rPr>
        <w:br/>
      </w:r>
      <w:r w:rsidR="00740CF5" w:rsidRPr="0041723C">
        <w:rPr>
          <w:bCs/>
        </w:rPr>
        <w:tab/>
      </w:r>
      <w:r w:rsidR="00740CF5" w:rsidRPr="0041723C">
        <w:rPr>
          <w:bCs/>
        </w:rPr>
        <w:tab/>
        <w:t>(пункт 8 повестки дня)</w:t>
      </w:r>
      <w:r w:rsidRPr="0041723C">
        <w:tab/>
      </w:r>
      <w:r w:rsidRPr="0041723C">
        <w:tab/>
        <w:t>74</w:t>
      </w:r>
      <w:r w:rsidR="000719E4">
        <w:tab/>
      </w:r>
      <w:r w:rsidR="000719E4" w:rsidRPr="000719E4">
        <w:t>17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X</w:t>
      </w:r>
      <w:r w:rsidRPr="0041723C">
        <w:t>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Программа работы и двухгодичная оценка (пункт 9 повестки дня)</w:t>
      </w:r>
      <w:r w:rsidRPr="0041723C">
        <w:tab/>
      </w:r>
      <w:r w:rsidRPr="0041723C">
        <w:tab/>
        <w:t>75–77</w:t>
      </w:r>
      <w:r w:rsidR="000719E4">
        <w:tab/>
      </w:r>
      <w:r w:rsidR="000719E4" w:rsidRPr="000719E4">
        <w:t>17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XI</w:t>
      </w:r>
      <w:r w:rsidRPr="0041723C">
        <w:t>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Выборы должностных лиц (пункт 10 повестки дня)</w:t>
      </w:r>
      <w:r w:rsidRPr="0041723C">
        <w:tab/>
      </w:r>
      <w:r w:rsidRPr="0041723C">
        <w:tab/>
        <w:t>78</w:t>
      </w:r>
      <w:r w:rsidR="000719E4">
        <w:tab/>
      </w:r>
      <w:r w:rsidR="000719E4" w:rsidRPr="000719E4">
        <w:t>18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XII</w:t>
      </w:r>
      <w:r w:rsidRPr="0041723C">
        <w:t>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Прочие вопросы (пункт 11 повестки дня)</w:t>
      </w:r>
      <w:r w:rsidRPr="0041723C">
        <w:tab/>
      </w:r>
      <w:r w:rsidRPr="0041723C">
        <w:tab/>
        <w:t>79–84</w:t>
      </w:r>
      <w:r w:rsidR="000719E4">
        <w:tab/>
      </w:r>
      <w:r w:rsidR="000719E4" w:rsidRPr="000719E4">
        <w:t>18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1.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Сроки проведения семьдесят четвертой сессии</w:t>
      </w:r>
      <w:r w:rsidRPr="0041723C">
        <w:tab/>
      </w:r>
      <w:r w:rsidRPr="0041723C">
        <w:tab/>
        <w:t>79</w:t>
      </w:r>
      <w:r w:rsidR="000719E4">
        <w:tab/>
      </w:r>
      <w:r w:rsidR="000719E4" w:rsidRPr="000719E4">
        <w:t>18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2.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Изменения в секретариате</w:t>
      </w:r>
      <w:r w:rsidRPr="0041723C">
        <w:tab/>
      </w:r>
      <w:r w:rsidRPr="0041723C">
        <w:tab/>
        <w:t>80–82</w:t>
      </w:r>
      <w:r w:rsidR="000719E4">
        <w:tab/>
      </w:r>
      <w:r w:rsidR="000719E4" w:rsidRPr="000719E4">
        <w:t>18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3.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Выражение признательности</w:t>
      </w:r>
      <w:r w:rsidRPr="0041723C">
        <w:tab/>
      </w:r>
      <w:r w:rsidRPr="0041723C">
        <w:tab/>
        <w:t>83</w:t>
      </w:r>
      <w:r w:rsidR="000719E4">
        <w:tab/>
      </w:r>
      <w:r w:rsidR="000719E4" w:rsidRPr="000719E4">
        <w:t>18</w:t>
      </w:r>
    </w:p>
    <w:p w:rsidR="00A5481B" w:rsidRPr="000719E4" w:rsidRDefault="00A5481B" w:rsidP="00B80F6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41723C">
        <w:tab/>
      </w:r>
      <w:r w:rsidRPr="0041723C">
        <w:tab/>
      </w:r>
      <w:r w:rsidRPr="0041723C">
        <w:tab/>
        <w:t>4.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Изменения к Правилам процедуры WP.11</w:t>
      </w:r>
      <w:r w:rsidRPr="0041723C">
        <w:tab/>
      </w:r>
      <w:r w:rsidRPr="0041723C">
        <w:tab/>
        <w:t>84</w:t>
      </w:r>
      <w:r w:rsidR="000719E4">
        <w:tab/>
      </w:r>
      <w:r w:rsidR="000719E4" w:rsidRPr="000719E4">
        <w:t>18</w:t>
      </w:r>
    </w:p>
    <w:p w:rsidR="00740CF5" w:rsidRPr="000719E4" w:rsidRDefault="00A5481B" w:rsidP="00740C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/>
        </w:rPr>
      </w:pPr>
      <w:r w:rsidRPr="0041723C">
        <w:tab/>
      </w:r>
      <w:r w:rsidRPr="0041723C">
        <w:rPr>
          <w:lang w:val="en-US"/>
        </w:rPr>
        <w:t>XIII</w:t>
      </w:r>
      <w:r w:rsidRPr="0041723C">
        <w:t>.</w:t>
      </w:r>
      <w:r w:rsidRPr="0041723C">
        <w:tab/>
      </w:r>
      <w:r w:rsidR="00740CF5" w:rsidRPr="0041723C">
        <w:rPr>
          <w:rFonts w:eastAsia="Times New Roman" w:cs="Times New Roman"/>
          <w:bCs/>
          <w:kern w:val="0"/>
          <w:szCs w:val="20"/>
          <w:lang w:eastAsia="en-US"/>
        </w:rPr>
        <w:t>Утверждение</w:t>
      </w:r>
      <w:r w:rsidR="00740CF5" w:rsidRPr="0041723C">
        <w:rPr>
          <w:b/>
          <w:bCs/>
        </w:rPr>
        <w:t xml:space="preserve"> </w:t>
      </w:r>
      <w:r w:rsidR="00740CF5" w:rsidRPr="0041723C">
        <w:rPr>
          <w:bCs/>
        </w:rPr>
        <w:t>доклада (пункт 12 повестки дня)</w:t>
      </w:r>
      <w:r w:rsidR="0041723C" w:rsidRPr="0041723C">
        <w:rPr>
          <w:bCs/>
        </w:rPr>
        <w:tab/>
      </w:r>
      <w:r w:rsidR="0041723C" w:rsidRPr="0041723C">
        <w:rPr>
          <w:bCs/>
        </w:rPr>
        <w:tab/>
        <w:t>85</w:t>
      </w:r>
      <w:r w:rsidR="000719E4">
        <w:rPr>
          <w:bCs/>
        </w:rPr>
        <w:tab/>
      </w:r>
      <w:r w:rsidR="000719E4" w:rsidRPr="000719E4">
        <w:rPr>
          <w:bCs/>
        </w:rPr>
        <w:t>19</w:t>
      </w:r>
    </w:p>
    <w:p w:rsidR="00A5481B" w:rsidRPr="0041723C" w:rsidRDefault="00A5481B" w:rsidP="0041723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bCs/>
        </w:rPr>
      </w:pPr>
      <w:r w:rsidRPr="0041723C">
        <w:rPr>
          <w:bCs/>
        </w:rPr>
        <w:lastRenderedPageBreak/>
        <w:t>Приложения</w:t>
      </w:r>
    </w:p>
    <w:p w:rsidR="00A5481B" w:rsidRPr="00FB7CE1" w:rsidRDefault="00A5481B" w:rsidP="000719E4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I</w:t>
      </w:r>
      <w:r w:rsidRPr="0041723C">
        <w:t>.</w:t>
      </w:r>
      <w:r w:rsidRPr="0041723C">
        <w:tab/>
      </w:r>
      <w:r w:rsidR="0041723C" w:rsidRPr="0041723C">
        <w:rPr>
          <w:bCs/>
        </w:rPr>
        <w:t>Предлагаемые поправки к СПС</w:t>
      </w:r>
      <w:r w:rsidRPr="0041723C">
        <w:tab/>
      </w:r>
      <w:r w:rsidR="00FB7CE1">
        <w:tab/>
      </w:r>
      <w:r w:rsidR="00FB7CE1" w:rsidRPr="00FB7CE1">
        <w:t>20</w:t>
      </w:r>
    </w:p>
    <w:p w:rsidR="00A5481B" w:rsidRPr="001D78C3" w:rsidRDefault="00A5481B" w:rsidP="00FB7CE1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II</w:t>
      </w:r>
      <w:r w:rsidRPr="0041723C">
        <w:t>.</w:t>
      </w:r>
      <w:r w:rsidRPr="0041723C">
        <w:tab/>
      </w:r>
      <w:r w:rsidR="0041723C" w:rsidRPr="0041723C">
        <w:rPr>
          <w:bCs/>
        </w:rPr>
        <w:t>Исправления к СПС</w:t>
      </w:r>
      <w:r w:rsidRPr="0041723C">
        <w:tab/>
      </w:r>
      <w:r w:rsidR="00FB7CE1">
        <w:tab/>
      </w:r>
      <w:r w:rsidR="00FB7CE1" w:rsidRPr="00FB7CE1">
        <w:t>3</w:t>
      </w:r>
      <w:r w:rsidR="00045D4E" w:rsidRPr="001D78C3">
        <w:t>3</w:t>
      </w:r>
    </w:p>
    <w:p w:rsidR="00A5481B" w:rsidRPr="00FB7CE1" w:rsidRDefault="00A5481B" w:rsidP="00FB7CE1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III</w:t>
      </w:r>
      <w:r w:rsidRPr="0041723C">
        <w:t>.</w:t>
      </w:r>
      <w:r w:rsidRPr="0041723C">
        <w:tab/>
      </w:r>
      <w:r w:rsidR="0041723C" w:rsidRPr="0041723C">
        <w:rPr>
          <w:bCs/>
        </w:rPr>
        <w:t>Дополнения для Справочника СПС</w:t>
      </w:r>
      <w:r w:rsidR="00FB7CE1">
        <w:tab/>
      </w:r>
      <w:r w:rsidR="00FB7CE1">
        <w:tab/>
      </w:r>
      <w:r w:rsidR="00FB7CE1" w:rsidRPr="00FB7CE1">
        <w:t>34</w:t>
      </w:r>
    </w:p>
    <w:p w:rsidR="00A5481B" w:rsidRPr="00FB7CE1" w:rsidRDefault="00A5481B" w:rsidP="00FB7CE1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IV</w:t>
      </w:r>
      <w:r w:rsidRPr="0041723C">
        <w:t>.</w:t>
      </w:r>
      <w:r w:rsidRPr="0041723C">
        <w:tab/>
      </w:r>
      <w:r w:rsidR="0041723C" w:rsidRPr="0041723C">
        <w:rPr>
          <w:bCs/>
        </w:rPr>
        <w:t xml:space="preserve">Результаты/виды деятельности для реализации в течение двухгодичного </w:t>
      </w:r>
      <w:r w:rsidR="0041723C" w:rsidRPr="0041723C">
        <w:rPr>
          <w:bCs/>
        </w:rPr>
        <w:br/>
      </w:r>
      <w:r w:rsidR="0041723C" w:rsidRPr="0041723C">
        <w:rPr>
          <w:bCs/>
        </w:rPr>
        <w:tab/>
      </w:r>
      <w:r w:rsidR="0041723C" w:rsidRPr="0041723C">
        <w:rPr>
          <w:bCs/>
        </w:rPr>
        <w:tab/>
        <w:t>периода 2018–2019 годов</w:t>
      </w:r>
      <w:r w:rsidRPr="0041723C">
        <w:tab/>
      </w:r>
      <w:r w:rsidRPr="0041723C">
        <w:tab/>
      </w:r>
      <w:r w:rsidR="00FB7CE1" w:rsidRPr="00FB7CE1">
        <w:t>35</w:t>
      </w:r>
    </w:p>
    <w:p w:rsidR="00A5481B" w:rsidRPr="00FB7CE1" w:rsidRDefault="00A5481B" w:rsidP="00FB7CE1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</w:pPr>
      <w:r w:rsidRPr="0041723C">
        <w:tab/>
      </w:r>
      <w:r w:rsidRPr="0041723C">
        <w:rPr>
          <w:lang w:val="en-US"/>
        </w:rPr>
        <w:t>V</w:t>
      </w:r>
      <w:r w:rsidRPr="0041723C">
        <w:t>.</w:t>
      </w:r>
      <w:r w:rsidRPr="0041723C">
        <w:tab/>
      </w:r>
      <w:r w:rsidR="0041723C" w:rsidRPr="0041723C">
        <w:rPr>
          <w:bCs/>
        </w:rPr>
        <w:t>Предлагаемая оценка на двухгодичный период 2018–2019 годов</w:t>
      </w:r>
      <w:r w:rsidRPr="0041723C">
        <w:tab/>
      </w:r>
      <w:r w:rsidRPr="0041723C">
        <w:tab/>
      </w:r>
      <w:r w:rsidR="00FB7CE1" w:rsidRPr="00FB7CE1">
        <w:t>37</w:t>
      </w:r>
    </w:p>
    <w:p w:rsidR="00B80F61" w:rsidRPr="00B80F61" w:rsidRDefault="00A5481B" w:rsidP="00A5481B">
      <w:pPr>
        <w:pStyle w:val="HChGR"/>
        <w:pageBreakBefore/>
      </w:pPr>
      <w:r>
        <w:lastRenderedPageBreak/>
        <w:tab/>
      </w:r>
      <w:r w:rsidR="00B80F61" w:rsidRPr="00B80F61">
        <w:t>I.</w:t>
      </w:r>
      <w:r w:rsidR="00B80F61" w:rsidRPr="00B80F61">
        <w:tab/>
        <w:t>Участники</w:t>
      </w:r>
      <w:bookmarkStart w:id="8" w:name="_Toc401568633"/>
      <w:bookmarkEnd w:id="7"/>
      <w:bookmarkEnd w:id="8"/>
    </w:p>
    <w:p w:rsidR="00B80F61" w:rsidRPr="00B80F61" w:rsidRDefault="00B80F61" w:rsidP="00B80F61">
      <w:pPr>
        <w:pStyle w:val="SingleTxtGR"/>
      </w:pPr>
      <w:bookmarkStart w:id="9" w:name="bookmark_41"/>
      <w:r w:rsidRPr="00B80F61">
        <w:t>1.</w:t>
      </w:r>
      <w:r w:rsidRPr="00B80F61">
        <w:tab/>
        <w:t>Рабочая группа по перевозкам скоропортящихся пищевых продуктов</w:t>
      </w:r>
      <w:r w:rsidR="004B0D45">
        <w:rPr>
          <w:lang w:val="en-US"/>
        </w:rPr>
        <w:t> </w:t>
      </w:r>
      <w:r w:rsidRPr="00B80F61">
        <w:t>(WP.11) провела свою семьдесят третью сессию 10–13 октября 2017 года; функции Председателя сессии исполнял г-н T. Нобре (Португалия), а заместителей Председателя – г-н Э. Дëвен (Франция) и г-н K. де Путтер (Нидерланды).</w:t>
      </w:r>
      <w:bookmarkEnd w:id="9"/>
    </w:p>
    <w:p w:rsidR="00B80F61" w:rsidRPr="00B80F61" w:rsidRDefault="00B80F61" w:rsidP="00B80F61">
      <w:pPr>
        <w:pStyle w:val="SingleTxtGR"/>
      </w:pPr>
      <w:bookmarkStart w:id="10" w:name="bookmark_42"/>
      <w:r w:rsidRPr="00B80F61">
        <w:t>2.</w:t>
      </w:r>
      <w:r w:rsidRPr="00B80F61">
        <w:tab/>
        <w:t xml:space="preserve">В работе сессии приняли участие представили следующих стран: </w:t>
      </w:r>
      <w:r w:rsidR="004B0D45" w:rsidRPr="004B0D45">
        <w:t xml:space="preserve">Германии, Дании, Испании, Италии, Люксембурга, Нидерландов, Польши, Португалии, Российской Федерации, Словакии, Словении, Соединенного Королевства Великобритании и Северной Ирландии, Соединенных Штатов Америки, Турции, Финляндии, Франции </w:t>
      </w:r>
      <w:r w:rsidR="004B0D45">
        <w:t>и</w:t>
      </w:r>
      <w:r w:rsidR="004B0D45" w:rsidRPr="004B0D45">
        <w:t xml:space="preserve"> Хорватии</w:t>
      </w:r>
      <w:r w:rsidRPr="00B80F61">
        <w:t>.</w:t>
      </w:r>
      <w:bookmarkEnd w:id="10"/>
    </w:p>
    <w:p w:rsidR="00B80F61" w:rsidRPr="00B80F61" w:rsidRDefault="00B80F61" w:rsidP="00B80F61">
      <w:pPr>
        <w:pStyle w:val="SingleTxtGR"/>
      </w:pPr>
      <w:bookmarkStart w:id="11" w:name="bookmark_43"/>
      <w:r w:rsidRPr="00B80F61">
        <w:t>3.</w:t>
      </w:r>
      <w:r w:rsidRPr="00B80F61">
        <w:tab/>
        <w:t>Кроме того, в ее работе участвовали представители межправительственной организации «Международный институт холода» (МИХ) и следующих неправительственных организаций: Международной ассоциации изготовителей автомобильных кузовов и прицепов (МАИАКП) и международной федерации «Трансфригорут интернэшнл» (TИ).</w:t>
      </w:r>
      <w:bookmarkEnd w:id="11"/>
    </w:p>
    <w:p w:rsidR="00B80F61" w:rsidRPr="00B80F61" w:rsidRDefault="00B80F61" w:rsidP="00A5481B">
      <w:pPr>
        <w:pStyle w:val="HChGR"/>
      </w:pPr>
      <w:bookmarkStart w:id="12" w:name="bookmark_44"/>
      <w:r w:rsidRPr="00B80F61">
        <w:tab/>
        <w:t>II.</w:t>
      </w:r>
      <w:r w:rsidRPr="00B80F61">
        <w:tab/>
        <w:t>Утверждение повестки дня (пункт 1 повестки дня)</w:t>
      </w:r>
      <w:bookmarkStart w:id="13" w:name="_Toc401568230"/>
      <w:bookmarkStart w:id="14" w:name="_Toc401568635"/>
      <w:bookmarkEnd w:id="12"/>
      <w:bookmarkEnd w:id="13"/>
      <w:bookmarkEnd w:id="14"/>
    </w:p>
    <w:p w:rsidR="00B80F61" w:rsidRPr="00B80F61" w:rsidRDefault="00B80F61" w:rsidP="00B80F61">
      <w:pPr>
        <w:pStyle w:val="SingleTxtGR"/>
      </w:pPr>
      <w:bookmarkStart w:id="15" w:name="bookmark_45"/>
      <w:r w:rsidRPr="00B80F61">
        <w:rPr>
          <w:i/>
          <w:iCs/>
        </w:rPr>
        <w:t>Документы</w:t>
      </w:r>
      <w:r w:rsidRPr="00A5481B">
        <w:rPr>
          <w:i/>
          <w:iCs/>
        </w:rPr>
        <w:t>:</w:t>
      </w:r>
      <w:r w:rsidRPr="00A5481B">
        <w:tab/>
      </w:r>
      <w:r w:rsidRPr="00A5481B">
        <w:tab/>
      </w:r>
      <w:r w:rsidRPr="00A5481B">
        <w:tab/>
      </w:r>
      <w:r w:rsidRPr="00B80F61">
        <w:rPr>
          <w:lang w:val="en-US"/>
        </w:rPr>
        <w:t>ECE</w:t>
      </w:r>
      <w:r w:rsidRPr="00A5481B">
        <w:t>/</w:t>
      </w:r>
      <w:r w:rsidRPr="00B80F61">
        <w:rPr>
          <w:lang w:val="en-US"/>
        </w:rPr>
        <w:t>TRANS</w:t>
      </w:r>
      <w:r w:rsidRPr="00A5481B">
        <w:t>/</w:t>
      </w:r>
      <w:r w:rsidRPr="00B80F61">
        <w:rPr>
          <w:lang w:val="en-US"/>
        </w:rPr>
        <w:t>WP</w:t>
      </w:r>
      <w:r w:rsidRPr="00A5481B">
        <w:t>.11/236</w:t>
      </w:r>
      <w:bookmarkStart w:id="16" w:name="bookmark_46"/>
      <w:bookmarkEnd w:id="15"/>
      <w:r w:rsidR="00A5481B" w:rsidRPr="00A5481B">
        <w:br/>
      </w:r>
      <w:r w:rsidRPr="00A5481B">
        <w:tab/>
      </w:r>
      <w:r w:rsidRPr="00A5481B">
        <w:tab/>
      </w:r>
      <w:r w:rsidRPr="00A5481B">
        <w:tab/>
      </w:r>
      <w:r w:rsidR="00A5481B" w:rsidRPr="00A5481B">
        <w:tab/>
      </w:r>
      <w:r w:rsidR="00A5481B" w:rsidRPr="00A5481B">
        <w:tab/>
      </w:r>
      <w:r w:rsidRPr="00B80F61">
        <w:rPr>
          <w:lang w:val="en-US"/>
        </w:rPr>
        <w:t>ECE</w:t>
      </w:r>
      <w:r w:rsidRPr="00A5481B">
        <w:t>/</w:t>
      </w:r>
      <w:r w:rsidRPr="00B80F61">
        <w:rPr>
          <w:lang w:val="en-US"/>
        </w:rPr>
        <w:t>TRANS</w:t>
      </w:r>
      <w:r w:rsidRPr="00A5481B">
        <w:t>/</w:t>
      </w:r>
      <w:r w:rsidRPr="00B80F61">
        <w:rPr>
          <w:lang w:val="en-US"/>
        </w:rPr>
        <w:t>WP</w:t>
      </w:r>
      <w:r w:rsidRPr="00A5481B">
        <w:t>.11/236/</w:t>
      </w:r>
      <w:r w:rsidRPr="00B80F61">
        <w:rPr>
          <w:lang w:val="en-US"/>
        </w:rPr>
        <w:t>Add</w:t>
      </w:r>
      <w:r w:rsidRPr="00A5481B">
        <w:t>.1</w:t>
      </w:r>
      <w:bookmarkStart w:id="17" w:name="bookmark_47"/>
      <w:bookmarkEnd w:id="16"/>
      <w:r w:rsidR="00A5481B" w:rsidRPr="00A5481B">
        <w:br/>
      </w:r>
      <w:r w:rsidRPr="00B80F61">
        <w:rPr>
          <w:i/>
          <w:iCs/>
        </w:rPr>
        <w:t>Неофициальный документ:</w:t>
      </w:r>
      <w:r w:rsidRPr="00B80F61">
        <w:tab/>
      </w:r>
      <w:r w:rsidRPr="00B80F61">
        <w:tab/>
        <w:t>INF.1 (секретариат)</w:t>
      </w:r>
      <w:bookmarkEnd w:id="17"/>
    </w:p>
    <w:p w:rsidR="00B80F61" w:rsidRPr="00B80F61" w:rsidRDefault="00B80F61" w:rsidP="00B80F61">
      <w:pPr>
        <w:pStyle w:val="SingleTxtGR"/>
      </w:pPr>
      <w:bookmarkStart w:id="18" w:name="bookmark_48"/>
      <w:r w:rsidRPr="00B80F61">
        <w:t>4.</w:t>
      </w:r>
      <w:r w:rsidRPr="00B80F61">
        <w:tab/>
        <w:t>Предварительная повестка дня (ECE/TRANS/WP.11/236 и -/Add.1) была утверждена с поправками, содержащимися в неофициальном документе INF.1, с учетом неофициальных документов INF.1–INF.13.</w:t>
      </w:r>
      <w:bookmarkEnd w:id="18"/>
    </w:p>
    <w:p w:rsidR="00B80F61" w:rsidRPr="00B80F61" w:rsidRDefault="00B80F61" w:rsidP="00A5481B">
      <w:pPr>
        <w:pStyle w:val="HChGR"/>
      </w:pPr>
      <w:bookmarkStart w:id="19" w:name="bookmark_49"/>
      <w:r w:rsidRPr="00B80F61">
        <w:tab/>
        <w:t>III.</w:t>
      </w:r>
      <w:r w:rsidRPr="00B80F61">
        <w:tab/>
        <w:t>Деятельность органов ЕЭК, представляющая интерес для Рабочей группы (пункт 2 повестки дня)</w:t>
      </w:r>
      <w:bookmarkStart w:id="20" w:name="_Toc401568231"/>
      <w:bookmarkStart w:id="21" w:name="_Toc401568636"/>
      <w:bookmarkEnd w:id="19"/>
      <w:bookmarkEnd w:id="20"/>
      <w:bookmarkEnd w:id="21"/>
    </w:p>
    <w:p w:rsidR="00B80F61" w:rsidRPr="00B80F61" w:rsidRDefault="00B80F61" w:rsidP="00A5481B">
      <w:pPr>
        <w:pStyle w:val="H1GR"/>
      </w:pPr>
      <w:bookmarkStart w:id="22" w:name="bookmark_50"/>
      <w:r w:rsidRPr="00B80F61">
        <w:tab/>
      </w:r>
      <w:r w:rsidRPr="00B80F61">
        <w:rPr>
          <w:bCs/>
        </w:rPr>
        <w:t>A</w:t>
      </w:r>
      <w:r w:rsidR="004B0D45">
        <w:rPr>
          <w:bCs/>
        </w:rPr>
        <w:t>.</w:t>
      </w:r>
      <w:r w:rsidRPr="00B80F61">
        <w:tab/>
        <w:t>Комитет по внутреннему транспорту</w:t>
      </w:r>
      <w:bookmarkEnd w:id="22"/>
    </w:p>
    <w:p w:rsidR="00B80F61" w:rsidRPr="00B80F61" w:rsidRDefault="00B80F61" w:rsidP="00B80F61">
      <w:pPr>
        <w:pStyle w:val="SingleTxtGR"/>
      </w:pPr>
      <w:bookmarkStart w:id="23" w:name="bookmark_51"/>
      <w:r w:rsidRPr="00B80F61">
        <w:t>5.</w:t>
      </w:r>
      <w:r w:rsidRPr="00B80F61">
        <w:tab/>
        <w:t>Рабочая группа была проинформирована о результатах семьдесят девятой сессии Комитета по внутреннему транспорту (КВТ) (21−24 февраля 2017 года), отраженных в его докладе (ECE/TRANS/270, пункты 96–98).</w:t>
      </w:r>
      <w:bookmarkEnd w:id="23"/>
    </w:p>
    <w:p w:rsidR="00B80F61" w:rsidRPr="00B80F61" w:rsidRDefault="00B80F61" w:rsidP="00B80F61">
      <w:pPr>
        <w:pStyle w:val="SingleTxtGR"/>
      </w:pPr>
      <w:bookmarkStart w:id="24" w:name="bookmark_52"/>
      <w:r w:rsidRPr="00B80F61">
        <w:rPr>
          <w:i/>
          <w:iCs/>
        </w:rPr>
        <w:t>Неофициальные документы:</w:t>
      </w:r>
      <w:r w:rsidRPr="00B80F61">
        <w:tab/>
      </w:r>
      <w:r w:rsidRPr="00B80F61">
        <w:tab/>
        <w:t>INF.2, INF.3 и INF.12 (секретариат)</w:t>
      </w:r>
      <w:bookmarkEnd w:id="24"/>
    </w:p>
    <w:p w:rsidR="00B80F61" w:rsidRPr="00B80F61" w:rsidRDefault="00B80F61" w:rsidP="00B80F61">
      <w:pPr>
        <w:pStyle w:val="SingleTxtGR"/>
      </w:pPr>
      <w:bookmarkStart w:id="25" w:name="bookmark_53"/>
      <w:r w:rsidRPr="00B80F61">
        <w:t>6.</w:t>
      </w:r>
      <w:r w:rsidRPr="00B80F61">
        <w:tab/>
        <w:t xml:space="preserve">Секретарь КВТ Отдела устойчивого транспорта Европейской экономической комиссии (ЕЭК ООН) представил Рабочей группе проект стратегии Комитета по внутреннему транспорту. Он напомнил о том, что Комитет предложил рабочим группам передать секретариату свои замечания и рекомендации, с тем чтобы опубликовать пересмотренный вариант, который будет рассматриваться Комитетом на его сессии в 2018 году. </w:t>
      </w:r>
      <w:bookmarkEnd w:id="25"/>
    </w:p>
    <w:p w:rsidR="00B80F61" w:rsidRPr="00B80F61" w:rsidRDefault="00B80F61" w:rsidP="00B80F61">
      <w:pPr>
        <w:pStyle w:val="SingleTxtGR"/>
      </w:pPr>
      <w:bookmarkStart w:id="26" w:name="bookmark_54"/>
      <w:r w:rsidRPr="00B80F61">
        <w:t>7.</w:t>
      </w:r>
      <w:r w:rsidRPr="00B80F61">
        <w:tab/>
        <w:t>В частности, Комитет предложил рабочим группам проанализировать вопросы, сформулированные в пункте 46 проекта стратегии. Что касается деятельности Рабочей группы по перевозкам скоропортящихся пищевых продуктов, то в этой связи могут быть поставлены следующие вопросы:</w:t>
      </w:r>
      <w:bookmarkEnd w:id="26"/>
    </w:p>
    <w:p w:rsidR="00B80F61" w:rsidRPr="00B80F61" w:rsidRDefault="00B80F61" w:rsidP="00A5481B">
      <w:pPr>
        <w:pStyle w:val="Bullet1GR"/>
      </w:pPr>
      <w:bookmarkStart w:id="27" w:name="bookmark_55"/>
      <w:r w:rsidRPr="00B80F61">
        <w:t>Каким образом содействовать достижению соответствующих целей Организации Объединенных Наций в области устойчивого развития (ЦУР) применительно к деятельности Рабочей группы?</w:t>
      </w:r>
      <w:bookmarkEnd w:id="27"/>
    </w:p>
    <w:p w:rsidR="00B80F61" w:rsidRPr="00B80F61" w:rsidRDefault="00B80F61" w:rsidP="00A5481B">
      <w:pPr>
        <w:pStyle w:val="Bullet1GR"/>
      </w:pPr>
      <w:bookmarkStart w:id="28" w:name="bookmark_56"/>
      <w:r w:rsidRPr="00B80F61">
        <w:t>Каким образом содействовать применению СПС и присоединению к нему?</w:t>
      </w:r>
      <w:bookmarkEnd w:id="28"/>
    </w:p>
    <w:p w:rsidR="00B80F61" w:rsidRPr="00B80F61" w:rsidRDefault="00B80F61" w:rsidP="00A5481B">
      <w:pPr>
        <w:pStyle w:val="Bullet1GR"/>
      </w:pPr>
      <w:bookmarkStart w:id="29" w:name="bookmark_57"/>
      <w:r w:rsidRPr="00B80F61">
        <w:t xml:space="preserve">Какие изменения можно ожидать в области перевозок скоропортящихся пищевых </w:t>
      </w:r>
      <w:r w:rsidR="004B0D45">
        <w:t>продуктов к 2030 году, например</w:t>
      </w:r>
      <w:r w:rsidRPr="00B80F61">
        <w:t xml:space="preserve"> в том, что касается географиче</w:t>
      </w:r>
      <w:r w:rsidRPr="00B80F61">
        <w:lastRenderedPageBreak/>
        <w:t>ского охвата СПС, выбросов загрязняющих веществ транспортными средствами и использования хладагентов с низким потенциалом глобального потепления (ПГП)? Каким образом СПС и деятельность Рабочей группы могли бы позволить предвосхитить эти изменения и адаптироваться к ним?</w:t>
      </w:r>
      <w:bookmarkEnd w:id="29"/>
    </w:p>
    <w:p w:rsidR="00B80F61" w:rsidRPr="00B80F61" w:rsidRDefault="00B80F61" w:rsidP="00B80F61">
      <w:pPr>
        <w:pStyle w:val="SingleTxtGR"/>
      </w:pPr>
      <w:bookmarkStart w:id="30" w:name="bookmark_58"/>
      <w:r w:rsidRPr="00B80F61">
        <w:t>8.</w:t>
      </w:r>
      <w:r w:rsidRPr="00B80F61">
        <w:tab/>
        <w:t>Ряд делегаций отметили важность того, чтобы Рабочая группа корректировала свою программу работы с учетом технического прогресса. Секретарь КВТ отметил, что на уровне КВТ по-прежнему существует обеспокоенность по поводу предусмотренного в статье 18.4 СПС принципа единогласия и темпов принятия поправок. Было подчеркнуто также, что крайне важно сохранять актуальность правовых документов, относящихся к ведению КВТ.</w:t>
      </w:r>
      <w:bookmarkEnd w:id="30"/>
    </w:p>
    <w:p w:rsidR="00B80F61" w:rsidRPr="00B80F61" w:rsidRDefault="00B80F61" w:rsidP="00B80F61">
      <w:pPr>
        <w:pStyle w:val="SingleTxtGR"/>
      </w:pPr>
      <w:bookmarkStart w:id="31" w:name="bookmark_59"/>
      <w:r w:rsidRPr="00B80F61">
        <w:t>9.</w:t>
      </w:r>
      <w:r w:rsidRPr="00B80F61">
        <w:tab/>
        <w:t>Что касается обсуждений вопроса о совершенствовании методов работы, то Рабочая группа приняла следующие решения:</w:t>
      </w:r>
      <w:bookmarkEnd w:id="31"/>
    </w:p>
    <w:p w:rsidR="00B80F61" w:rsidRPr="00A5481B" w:rsidRDefault="00B80F61" w:rsidP="00A5481B">
      <w:pPr>
        <w:pStyle w:val="Bullet1GR"/>
      </w:pPr>
      <w:bookmarkStart w:id="32" w:name="bookmark_60"/>
      <w:r w:rsidRPr="00A5481B">
        <w:t>изменить правило 35 Правил процедуры WP.11, с тем чтобы отразить вариант принятия предложений по поправкам к СПС и поправок к Справочнику СПС на основе консенсуса;</w:t>
      </w:r>
      <w:bookmarkEnd w:id="32"/>
    </w:p>
    <w:p w:rsidR="00B80F61" w:rsidRPr="00A5481B" w:rsidRDefault="00B80F61" w:rsidP="00A5481B">
      <w:pPr>
        <w:pStyle w:val="Bullet1GR"/>
      </w:pPr>
      <w:bookmarkStart w:id="33" w:name="bookmark_61"/>
      <w:r w:rsidRPr="00A5481B">
        <w:t>изменить правило 35 Правил процедуры WP.11, исключив из него – только в рамках сессии – принцип единогласия для принятия предложений по поправкам к СПС. Дания и Российская Федерация голосовали против этих изменений;</w:t>
      </w:r>
      <w:bookmarkEnd w:id="33"/>
    </w:p>
    <w:p w:rsidR="00B80F61" w:rsidRPr="00A5481B" w:rsidRDefault="00B80F61" w:rsidP="00A5481B">
      <w:pPr>
        <w:pStyle w:val="Bullet1GR"/>
      </w:pPr>
      <w:bookmarkStart w:id="34" w:name="bookmark_62"/>
      <w:r w:rsidRPr="00A5481B">
        <w:t>найти новые способы достижения компромисса и проведения переговоров с другими Договаривающимися сторонами в целях увеличения числа предложений по поправкам, принимаемых на каждой сессии;</w:t>
      </w:r>
      <w:bookmarkEnd w:id="34"/>
    </w:p>
    <w:p w:rsidR="00B80F61" w:rsidRPr="00A5481B" w:rsidRDefault="00B80F61" w:rsidP="00A5481B">
      <w:pPr>
        <w:pStyle w:val="Bullet1GR"/>
      </w:pPr>
      <w:bookmarkStart w:id="35" w:name="bookmark_63"/>
      <w:r w:rsidRPr="00A5481B">
        <w:t>изучить образцы передовой практики и извлечь уроки из опыта работы других рабочих групп;</w:t>
      </w:r>
      <w:bookmarkEnd w:id="35"/>
    </w:p>
    <w:p w:rsidR="00B80F61" w:rsidRPr="00A5481B" w:rsidRDefault="00B80F61" w:rsidP="00A5481B">
      <w:pPr>
        <w:pStyle w:val="Bullet1GR"/>
      </w:pPr>
      <w:bookmarkStart w:id="36" w:name="bookmark_64"/>
      <w:r w:rsidRPr="00A5481B">
        <w:t>четко определить область применения СПС;</w:t>
      </w:r>
      <w:bookmarkEnd w:id="36"/>
    </w:p>
    <w:p w:rsidR="00B80F61" w:rsidRPr="00A5481B" w:rsidRDefault="00B80F61" w:rsidP="00A5481B">
      <w:pPr>
        <w:pStyle w:val="Bullet1GR"/>
      </w:pPr>
      <w:bookmarkStart w:id="37" w:name="bookmark_65"/>
      <w:r w:rsidRPr="00A5481B">
        <w:t>продлить следующую сессию WP.11 до 5 дней и провести совещание за «круглым столом» в понедельник, 8 октября 2018 года, с тем чтобы обсудить пути повышения эффективности деятельности WP.11.</w:t>
      </w:r>
      <w:bookmarkEnd w:id="37"/>
    </w:p>
    <w:p w:rsidR="00B80F61" w:rsidRPr="00B80F61" w:rsidRDefault="00B80F61" w:rsidP="00B80F61">
      <w:pPr>
        <w:pStyle w:val="SingleTxtGR"/>
      </w:pPr>
      <w:bookmarkStart w:id="38" w:name="bookmark_66"/>
      <w:r w:rsidRPr="00B80F61">
        <w:t>10.</w:t>
      </w:r>
      <w:r w:rsidRPr="00B80F61">
        <w:tab/>
        <w:t>Что касается предложения КВТ о проведении обсуждения за «круглым столом», посвященного сложным аспектам организации и осуществления перевозок скоропортящихся пищевых продуктов, и о поиске политических, технических и юридических решений для проблем, которые остаются нерешенными в рамках СПС, то было уточнено, что этот вопрос следует вновь обсудить на следующей сессии КВТ, а Рабочей группе было предложено представить свои замечания и предложения по поводу организации этой дискуссии.</w:t>
      </w:r>
      <w:bookmarkEnd w:id="38"/>
    </w:p>
    <w:p w:rsidR="00B80F61" w:rsidRPr="00B80F61" w:rsidRDefault="00B80F61" w:rsidP="00A5481B">
      <w:pPr>
        <w:pStyle w:val="H1GR"/>
      </w:pPr>
      <w:bookmarkStart w:id="39" w:name="bookmark_67"/>
      <w:r w:rsidRPr="00B80F61">
        <w:tab/>
        <w:t>B.</w:t>
      </w:r>
      <w:r w:rsidRPr="00B80F61">
        <w:tab/>
        <w:t>Рабочая группа по сельскохозяйственным стандартам качества (WP.7)</w:t>
      </w:r>
      <w:bookmarkStart w:id="40" w:name="_Toc401568233"/>
      <w:bookmarkStart w:id="41" w:name="_Toc401568638"/>
      <w:bookmarkEnd w:id="39"/>
      <w:bookmarkEnd w:id="40"/>
      <w:bookmarkEnd w:id="41"/>
    </w:p>
    <w:p w:rsidR="00B80F61" w:rsidRPr="00B80F61" w:rsidRDefault="00B80F61" w:rsidP="00B80F61">
      <w:pPr>
        <w:pStyle w:val="SingleTxtGR"/>
      </w:pPr>
      <w:bookmarkStart w:id="42" w:name="bookmark_68"/>
      <w:r w:rsidRPr="00B80F61">
        <w:rPr>
          <w:i/>
          <w:iCs/>
        </w:rPr>
        <w:t>Неофициальный документ:</w:t>
      </w:r>
      <w:r w:rsidRPr="00B80F61">
        <w:tab/>
      </w:r>
      <w:r w:rsidRPr="00B80F61">
        <w:tab/>
        <w:t>INF.4 (секретариат)</w:t>
      </w:r>
      <w:bookmarkEnd w:id="42"/>
    </w:p>
    <w:p w:rsidR="00B80F61" w:rsidRPr="00B80F61" w:rsidRDefault="00B80F61" w:rsidP="00B80F61">
      <w:pPr>
        <w:pStyle w:val="SingleTxtGR"/>
      </w:pPr>
      <w:bookmarkStart w:id="43" w:name="bookmark_69"/>
      <w:r w:rsidRPr="00B80F61">
        <w:t>11.</w:t>
      </w:r>
      <w:r w:rsidRPr="00B80F61">
        <w:tab/>
        <w:t>WP.11 была проинформирована о недавней деятельности WP.7 по разработке коммерческих сельскохозяйственных стандартов качества и о мероприятиях WP.7, представляющих интерес для WP.11, включая:</w:t>
      </w:r>
      <w:bookmarkEnd w:id="43"/>
    </w:p>
    <w:p w:rsidR="00B80F61" w:rsidRPr="00166A51" w:rsidRDefault="00B80F61" w:rsidP="00166A51">
      <w:pPr>
        <w:pStyle w:val="Bullet1GR"/>
      </w:pPr>
      <w:bookmarkStart w:id="44" w:name="bookmark_70"/>
      <w:r w:rsidRPr="00B80F61">
        <w:t xml:space="preserve">рабочее совещание по устойчивому </w:t>
      </w:r>
      <w:r w:rsidRPr="00166A51">
        <w:t>развитию мясных рынков, трансграничной торговле и пищевому качеству, 10 и 11 августа 2017 года, Дублин, Ирландия;</w:t>
      </w:r>
      <w:bookmarkEnd w:id="44"/>
    </w:p>
    <w:p w:rsidR="00B80F61" w:rsidRPr="00166A51" w:rsidRDefault="00B80F61" w:rsidP="00166A51">
      <w:pPr>
        <w:pStyle w:val="Bullet1GR"/>
      </w:pPr>
      <w:bookmarkStart w:id="45" w:name="bookmark_71"/>
      <w:r w:rsidRPr="00166A51">
        <w:t>рабочее совещание по трансграничной торговле мясом и электронной сертификации, 19–21 сентября 2017 года, Нанкин и Тяньцзин, Китай;</w:t>
      </w:r>
      <w:bookmarkEnd w:id="45"/>
    </w:p>
    <w:p w:rsidR="00B80F61" w:rsidRPr="00166A51" w:rsidRDefault="00B80F61" w:rsidP="00166A51">
      <w:pPr>
        <w:pStyle w:val="Bullet1GR"/>
      </w:pPr>
      <w:bookmarkStart w:id="46" w:name="bookmark_72"/>
      <w:r w:rsidRPr="00166A51">
        <w:t>двадцать шестую сессию Специализированной секции по разработке стандартов на мясо (GE.11), 6 ноября 2017 года, Дворец Наций, Женева, Швейцария;</w:t>
      </w:r>
      <w:bookmarkEnd w:id="46"/>
    </w:p>
    <w:p w:rsidR="00B80F61" w:rsidRPr="00166A51" w:rsidRDefault="00B80F61" w:rsidP="00166A51">
      <w:pPr>
        <w:pStyle w:val="Bullet1GR"/>
      </w:pPr>
      <w:bookmarkStart w:id="47" w:name="bookmark_73"/>
      <w:r w:rsidRPr="00B80F61">
        <w:lastRenderedPageBreak/>
        <w:t>семьдесят третью сессию Рабочей группы по сельскохозяйственным стандартам качества (WP.7), 6–8 ноября 2017 года, Дворец Наций, Женева, Швейцария.</w:t>
      </w:r>
      <w:bookmarkEnd w:id="47"/>
    </w:p>
    <w:p w:rsidR="00B80F61" w:rsidRPr="00B80F61" w:rsidRDefault="00B80F61" w:rsidP="00B80F61">
      <w:pPr>
        <w:pStyle w:val="SingleTxtGR"/>
        <w:rPr>
          <w:bCs/>
        </w:rPr>
      </w:pPr>
      <w:bookmarkStart w:id="48" w:name="bookmark_74"/>
      <w:r w:rsidRPr="00B80F61">
        <w:t>С дополнительной информацией можно ознакомиться по следующему адресу</w:t>
      </w:r>
      <w:r w:rsidR="004B0D45">
        <w:t>:</w:t>
      </w:r>
      <w:r w:rsidRPr="00B80F61">
        <w:t xml:space="preserve"> </w:t>
      </w:r>
      <w:hyperlink r:id="rId9" w:history="1">
        <w:r w:rsidRPr="00166A51">
          <w:rPr>
            <w:rStyle w:val="Hyperlink"/>
            <w:color w:val="auto"/>
          </w:rPr>
          <w:t>http://www.unece.org/trade/agr/welcome.html</w:t>
        </w:r>
      </w:hyperlink>
      <w:r w:rsidRPr="00B80F61">
        <w:t>.</w:t>
      </w:r>
      <w:bookmarkEnd w:id="48"/>
    </w:p>
    <w:p w:rsidR="00B80F61" w:rsidRPr="00B80F61" w:rsidRDefault="00B80F61" w:rsidP="00166A51">
      <w:pPr>
        <w:pStyle w:val="HChGR"/>
      </w:pPr>
      <w:bookmarkStart w:id="49" w:name="bookmark_75"/>
      <w:r w:rsidRPr="00B80F61">
        <w:tab/>
        <w:t>IV.</w:t>
      </w:r>
      <w:r w:rsidRPr="00B80F61">
        <w:tab/>
        <w:t>Деятельность других международных организаций, занимающихся вопросами, которые представляют интерес для Рабочей группы (пункт 3 повестки дня)</w:t>
      </w:r>
      <w:bookmarkStart w:id="50" w:name="_Toc401568234"/>
      <w:bookmarkStart w:id="51" w:name="_Toc401568639"/>
      <w:bookmarkEnd w:id="49"/>
      <w:bookmarkEnd w:id="50"/>
      <w:bookmarkEnd w:id="51"/>
    </w:p>
    <w:p w:rsidR="00B80F61" w:rsidRPr="00B80F61" w:rsidRDefault="00B80F61" w:rsidP="00166A51">
      <w:pPr>
        <w:pStyle w:val="H1GR"/>
      </w:pPr>
      <w:bookmarkStart w:id="52" w:name="bookmark_76"/>
      <w:r w:rsidRPr="00B80F61">
        <w:tab/>
        <w:t>A.</w:t>
      </w:r>
      <w:r w:rsidRPr="00B80F61">
        <w:tab/>
        <w:t>Международный институт холода (МИХ)</w:t>
      </w:r>
      <w:bookmarkStart w:id="53" w:name="_Toc401568235"/>
      <w:bookmarkStart w:id="54" w:name="_Toc401568640"/>
      <w:bookmarkEnd w:id="52"/>
      <w:bookmarkEnd w:id="53"/>
      <w:bookmarkEnd w:id="54"/>
    </w:p>
    <w:p w:rsidR="00B80F61" w:rsidRPr="00B80F61" w:rsidRDefault="00B80F61" w:rsidP="00B80F61">
      <w:pPr>
        <w:pStyle w:val="SingleTxtGR"/>
      </w:pPr>
      <w:bookmarkStart w:id="55" w:name="bookmark_77"/>
      <w:r w:rsidRPr="00B80F61">
        <w:rPr>
          <w:i/>
          <w:iCs/>
        </w:rPr>
        <w:t>Неофициальный документ:</w:t>
      </w:r>
      <w:r w:rsidRPr="00B80F61">
        <w:tab/>
      </w:r>
      <w:r w:rsidRPr="00B80F61">
        <w:tab/>
        <w:t>INF.3 (МИХ)</w:t>
      </w:r>
      <w:bookmarkEnd w:id="55"/>
    </w:p>
    <w:p w:rsidR="00B80F61" w:rsidRPr="00B80F61" w:rsidRDefault="00B80F61" w:rsidP="00B80F61">
      <w:pPr>
        <w:pStyle w:val="SingleTxtGR"/>
      </w:pPr>
      <w:bookmarkStart w:id="56" w:name="bookmark_78"/>
      <w:r w:rsidRPr="00B80F61">
        <w:t>12.</w:t>
      </w:r>
      <w:r w:rsidRPr="00B80F61">
        <w:tab/>
        <w:t xml:space="preserve">WP.11 заслушала информацию об итогах совещания Подкомиссии МИХ по перевозкам холодильным транспортом, которое проводилось 26 и 27 апреля </w:t>
      </w:r>
      <w:r w:rsidR="00FD3CED">
        <w:br/>
      </w:r>
      <w:r w:rsidRPr="00B80F61">
        <w:t>2017 года в Мадриде, Испания. Подкомиссия поддержала предложения, представленные на рассмотрение WP.11, включая предложения о</w:t>
      </w:r>
      <w:bookmarkEnd w:id="56"/>
    </w:p>
    <w:p w:rsidR="00B80F61" w:rsidRPr="00166A51" w:rsidRDefault="00B80F61" w:rsidP="00166A51">
      <w:pPr>
        <w:pStyle w:val="Bullet1GR"/>
      </w:pPr>
      <w:bookmarkStart w:id="57" w:name="bookmark_79"/>
      <w:r w:rsidRPr="00166A51">
        <w:t>системах сжиженного газа,</w:t>
      </w:r>
      <w:bookmarkEnd w:id="57"/>
    </w:p>
    <w:p w:rsidR="00B80F61" w:rsidRPr="00166A51" w:rsidRDefault="00B80F61" w:rsidP="00166A51">
      <w:pPr>
        <w:pStyle w:val="Bullet1GR"/>
      </w:pPr>
      <w:bookmarkStart w:id="58" w:name="bookmark_80"/>
      <w:r w:rsidRPr="00166A51">
        <w:t xml:space="preserve">хладагенте-заменителе, </w:t>
      </w:r>
      <w:bookmarkEnd w:id="58"/>
    </w:p>
    <w:p w:rsidR="00B80F61" w:rsidRPr="00166A51" w:rsidRDefault="00B80F61" w:rsidP="00166A51">
      <w:pPr>
        <w:pStyle w:val="Bullet1GR"/>
      </w:pPr>
      <w:bookmarkStart w:id="59" w:name="bookmark_81"/>
      <w:r w:rsidRPr="00166A51">
        <w:t xml:space="preserve">изменении образцов протоколов испытаний № 9 и 11, </w:t>
      </w:r>
      <w:bookmarkEnd w:id="59"/>
    </w:p>
    <w:p w:rsidR="00B80F61" w:rsidRPr="00166A51" w:rsidRDefault="00B80F61" w:rsidP="00166A51">
      <w:pPr>
        <w:pStyle w:val="Bullet1GR"/>
      </w:pPr>
      <w:bookmarkStart w:id="60" w:name="bookmark_82"/>
      <w:r w:rsidRPr="00166A51">
        <w:t xml:space="preserve">изменении дат протоколов испытаний, </w:t>
      </w:r>
      <w:bookmarkEnd w:id="60"/>
    </w:p>
    <w:p w:rsidR="00B80F61" w:rsidRPr="00166A51" w:rsidRDefault="00B80F61" w:rsidP="00166A51">
      <w:pPr>
        <w:pStyle w:val="Bullet1GR"/>
      </w:pPr>
      <w:bookmarkStart w:id="61" w:name="bookmark_83"/>
      <w:r w:rsidRPr="00166A51">
        <w:t xml:space="preserve">согласовании протоколов испытаний, </w:t>
      </w:r>
      <w:bookmarkEnd w:id="61"/>
    </w:p>
    <w:p w:rsidR="00B80F61" w:rsidRPr="00166A51" w:rsidRDefault="00B80F61" w:rsidP="00166A51">
      <w:pPr>
        <w:pStyle w:val="Bullet1GR"/>
      </w:pPr>
      <w:bookmarkStart w:id="62" w:name="bookmark_84"/>
      <w:r w:rsidRPr="00166A51">
        <w:t xml:space="preserve">определении параметров мультитемпературных холодильных установок согласно пункту 7.3 СПС, </w:t>
      </w:r>
      <w:bookmarkEnd w:id="62"/>
    </w:p>
    <w:p w:rsidR="00B80F61" w:rsidRPr="00166A51" w:rsidRDefault="00B80F61" w:rsidP="00166A51">
      <w:pPr>
        <w:pStyle w:val="Bullet1GR"/>
      </w:pPr>
      <w:bookmarkStart w:id="63" w:name="bookmark_85"/>
      <w:r w:rsidRPr="00166A51">
        <w:t xml:space="preserve">сертификации и маркировки мультитемпературных холодильных установок, </w:t>
      </w:r>
      <w:bookmarkEnd w:id="63"/>
    </w:p>
    <w:p w:rsidR="00B80F61" w:rsidRPr="00166A51" w:rsidRDefault="00B80F61" w:rsidP="00166A51">
      <w:pPr>
        <w:pStyle w:val="Bullet1GR"/>
      </w:pPr>
      <w:bookmarkStart w:id="64" w:name="bookmark_86"/>
      <w:r w:rsidRPr="00166A51">
        <w:t xml:space="preserve">а также предложение, касающееся несъемных перегородок. </w:t>
      </w:r>
      <w:bookmarkEnd w:id="64"/>
    </w:p>
    <w:p w:rsidR="00B80F61" w:rsidRPr="00B80F61" w:rsidRDefault="00B80F61" w:rsidP="00166A51">
      <w:pPr>
        <w:pStyle w:val="H1GR"/>
        <w:rPr>
          <w:u w:val="single"/>
        </w:rPr>
      </w:pPr>
      <w:bookmarkStart w:id="65" w:name="bookmark_87"/>
      <w:r w:rsidRPr="00B80F61">
        <w:tab/>
        <w:t>B.</w:t>
      </w:r>
      <w:r w:rsidRPr="00B80F61">
        <w:tab/>
        <w:t>Международная федерация «Трансфригорут интернэшнл»</w:t>
      </w:r>
      <w:bookmarkStart w:id="66" w:name="_Toc401568236"/>
      <w:bookmarkStart w:id="67" w:name="_Toc401568641"/>
      <w:bookmarkEnd w:id="65"/>
      <w:bookmarkEnd w:id="66"/>
      <w:bookmarkEnd w:id="67"/>
    </w:p>
    <w:p w:rsidR="00B80F61" w:rsidRPr="00B80F61" w:rsidRDefault="00B80F61" w:rsidP="00B80F61">
      <w:pPr>
        <w:pStyle w:val="SingleTxtGR"/>
      </w:pPr>
      <w:bookmarkStart w:id="68" w:name="bookmark_88"/>
      <w:r w:rsidRPr="00B80F61">
        <w:rPr>
          <w:i/>
          <w:iCs/>
        </w:rPr>
        <w:t>Неофициальный документ:</w:t>
      </w:r>
      <w:r w:rsidRPr="00B80F61">
        <w:tab/>
      </w:r>
      <w:r w:rsidRPr="00B80F61">
        <w:tab/>
        <w:t>INF.11 («Трансфригорут интернэшнл»)</w:t>
      </w:r>
      <w:bookmarkEnd w:id="68"/>
    </w:p>
    <w:p w:rsidR="00B80F61" w:rsidRPr="00B80F61" w:rsidRDefault="00B80F61" w:rsidP="00B80F61">
      <w:pPr>
        <w:pStyle w:val="SingleTxtGR"/>
      </w:pPr>
      <w:bookmarkStart w:id="69" w:name="bookmark_89"/>
      <w:r w:rsidRPr="00B80F61">
        <w:t>13.</w:t>
      </w:r>
      <w:r w:rsidRPr="00B80F61">
        <w:tab/>
        <w:t>Представитель международной федерации «Трансфригорут интер</w:t>
      </w:r>
      <w:r w:rsidR="004B0D45">
        <w:t>-</w:t>
      </w:r>
      <w:r w:rsidRPr="00B80F61">
        <w:t>нэшнл»</w:t>
      </w:r>
      <w:r w:rsidR="004B0D45">
        <w:t> </w:t>
      </w:r>
      <w:r w:rsidRPr="00B80F61">
        <w:t>(ТИ) проинформировал WP.11 о деятельности ТИ, которая направлена на поддержку усилий сектора перевозок холодильным транспортом и описание которой приведено в неофициальном документе INF.11.</w:t>
      </w:r>
      <w:bookmarkEnd w:id="69"/>
    </w:p>
    <w:p w:rsidR="00B80F61" w:rsidRPr="00B80F61" w:rsidRDefault="00B80F61" w:rsidP="00B80F61">
      <w:pPr>
        <w:pStyle w:val="SingleTxtGR"/>
      </w:pPr>
      <w:bookmarkStart w:id="70" w:name="bookmark_90"/>
      <w:r w:rsidRPr="00B80F61">
        <w:t>14.</w:t>
      </w:r>
      <w:r w:rsidRPr="00B80F61">
        <w:tab/>
        <w:t>Рабочая группа приняла к сведению вопросы, затронутые в INF.11, в частности вопросы, касающиеся недостаточного регулирования национальных, междугородных и городских перевозок, выбросов загрязняющих веществ транспортными средствами и использования хладагентов с низким потенциалом глобального потепления (ПГП).</w:t>
      </w:r>
      <w:bookmarkEnd w:id="70"/>
    </w:p>
    <w:p w:rsidR="00B80F61" w:rsidRPr="00B80F61" w:rsidRDefault="00B80F61" w:rsidP="00166A51">
      <w:pPr>
        <w:pStyle w:val="H1GR"/>
      </w:pPr>
      <w:bookmarkStart w:id="71" w:name="bookmark_91"/>
      <w:r w:rsidRPr="00B80F61">
        <w:tab/>
        <w:t>C.</w:t>
      </w:r>
      <w:r w:rsidRPr="00B80F61">
        <w:tab/>
        <w:t>Организации по стандартизации</w:t>
      </w:r>
      <w:bookmarkStart w:id="72" w:name="_Toc401568237"/>
      <w:bookmarkStart w:id="73" w:name="_Toc401568642"/>
      <w:bookmarkEnd w:id="71"/>
      <w:bookmarkEnd w:id="72"/>
      <w:bookmarkEnd w:id="73"/>
    </w:p>
    <w:p w:rsidR="00B80F61" w:rsidRPr="00B80F61" w:rsidRDefault="00B80F61" w:rsidP="00166A51">
      <w:pPr>
        <w:pStyle w:val="H23GR"/>
      </w:pPr>
      <w:bookmarkStart w:id="74" w:name="bookmark_92"/>
      <w:r w:rsidRPr="00B80F61">
        <w:tab/>
      </w:r>
      <w:r w:rsidRPr="00B80F61">
        <w:tab/>
        <w:t>Доклад о деятельности ЕКС</w:t>
      </w:r>
      <w:bookmarkEnd w:id="74"/>
    </w:p>
    <w:p w:rsidR="00B80F61" w:rsidRPr="00B80F61" w:rsidRDefault="00B80F61" w:rsidP="00B80F61">
      <w:pPr>
        <w:pStyle w:val="SingleTxtGR"/>
        <w:rPr>
          <w:b/>
        </w:rPr>
      </w:pPr>
      <w:bookmarkStart w:id="75" w:name="bookmark_93"/>
      <w:r w:rsidRPr="00B80F61">
        <w:t>15.</w:t>
      </w:r>
      <w:r w:rsidRPr="00B80F61">
        <w:tab/>
        <w:t>WP.11 была проинформирована о ходе деятельности по разработке и пересмотру стандартов.</w:t>
      </w:r>
      <w:bookmarkEnd w:id="75"/>
    </w:p>
    <w:p w:rsidR="00B80F61" w:rsidRPr="00B80F61" w:rsidRDefault="00B80F61" w:rsidP="00166A51">
      <w:pPr>
        <w:pStyle w:val="H23GR"/>
      </w:pPr>
      <w:bookmarkStart w:id="76" w:name="bookmark_94"/>
      <w:r w:rsidRPr="00B80F61">
        <w:lastRenderedPageBreak/>
        <w:tab/>
        <w:t>i)</w:t>
      </w:r>
      <w:r w:rsidRPr="00B80F61">
        <w:tab/>
        <w:t>CEN/TC 413 WG 2</w:t>
      </w:r>
      <w:bookmarkEnd w:id="76"/>
    </w:p>
    <w:p w:rsidR="00B80F61" w:rsidRPr="00B80F61" w:rsidRDefault="00B80F61" w:rsidP="00B80F61">
      <w:pPr>
        <w:pStyle w:val="SingleTxtGR"/>
      </w:pPr>
      <w:bookmarkStart w:id="77" w:name="bookmark_95"/>
      <w:r w:rsidRPr="00B80F61">
        <w:t>16.</w:t>
      </w:r>
      <w:r w:rsidRPr="00B80F61">
        <w:tab/>
        <w:t>Эксперты от Франции, Италии, Соединенного Королевства и Германии провели в течение последних 12 месяцев несколько встреч и совещаний Рабочей группы, в которых в неофициальном порядке участие принимали также эксперты от ряда других европейских государств.</w:t>
      </w:r>
      <w:bookmarkEnd w:id="77"/>
    </w:p>
    <w:p w:rsidR="00B80F61" w:rsidRPr="00B80F61" w:rsidRDefault="00B80F61" w:rsidP="00B80F61">
      <w:pPr>
        <w:pStyle w:val="SingleTxtGR"/>
      </w:pPr>
      <w:bookmarkStart w:id="78" w:name="bookmark_96"/>
      <w:r w:rsidRPr="00B80F61">
        <w:t>17.</w:t>
      </w:r>
      <w:r w:rsidRPr="00B80F61">
        <w:tab/>
        <w:t xml:space="preserve">Стандарт EN 16440 – 1:2015-01 Методологии испытания оборудования охлаждения изотермических транспортных средств – Часть 1: Установки рефрижераторные с испарителем с принудительной циркуляцией воздуха и с нагревательными устройствами или без таковых. Окончательный вариант был опубликован в январе 2015 года. </w:t>
      </w:r>
      <w:bookmarkEnd w:id="78"/>
    </w:p>
    <w:p w:rsidR="00B80F61" w:rsidRPr="00B80F61" w:rsidRDefault="00B80F61" w:rsidP="00B80F61">
      <w:pPr>
        <w:pStyle w:val="SingleTxtGR"/>
      </w:pPr>
      <w:bookmarkStart w:id="79" w:name="bookmark_97"/>
      <w:r w:rsidRPr="00B80F61">
        <w:t>18.</w:t>
      </w:r>
      <w:r w:rsidRPr="00B80F61">
        <w:tab/>
        <w:t>На рассмотрение будут вынесены следующие дополнительные части.</w:t>
      </w:r>
      <w:bookmarkEnd w:id="79"/>
    </w:p>
    <w:p w:rsidR="00B80F61" w:rsidRPr="00166A51" w:rsidRDefault="00B80F61" w:rsidP="00166A51">
      <w:pPr>
        <w:pStyle w:val="Bullet1GR"/>
      </w:pPr>
      <w:bookmarkStart w:id="80" w:name="bookmark_98"/>
      <w:r w:rsidRPr="00B80F61">
        <w:t>Часть 2: Эвтектические системы: нынешний рабочий проект все еще находится на стадии рассмот</w:t>
      </w:r>
      <w:r w:rsidRPr="00166A51">
        <w:t>рения для подготовки окончательного варианта и, в частности, положений, касающихся испытаний для определения холодопроизводительности и потребления при эксплуатации нового оборудования с эвтектическими системами и использовании оборудования в повседневных технологических процессах.</w:t>
      </w:r>
      <w:bookmarkEnd w:id="80"/>
    </w:p>
    <w:p w:rsidR="00B80F61" w:rsidRPr="00166A51" w:rsidRDefault="00B80F61" w:rsidP="00166A51">
      <w:pPr>
        <w:pStyle w:val="Bullet1GR"/>
      </w:pPr>
      <w:bookmarkStart w:id="81" w:name="bookmark_99"/>
      <w:r w:rsidRPr="00166A51">
        <w:t>Часть 3: Транспортные холодильные системы с сухим льдом: эксперты приступили к рассмотрению требований для холодильных установок с сухим льдом.</w:t>
      </w:r>
      <w:bookmarkEnd w:id="81"/>
    </w:p>
    <w:p w:rsidR="00B80F61" w:rsidRPr="00166A51" w:rsidRDefault="00B80F61" w:rsidP="00166A51">
      <w:pPr>
        <w:pStyle w:val="Bullet1GR"/>
      </w:pPr>
      <w:bookmarkStart w:id="82" w:name="bookmark_100"/>
      <w:r w:rsidRPr="00166A51">
        <w:t>Часть 4: Контролируемые газовые холодильные системы с непосредственным испарением: от этой части следует отказаться, поскольку такие системы не пользуются спросом.</w:t>
      </w:r>
      <w:bookmarkEnd w:id="82"/>
    </w:p>
    <w:p w:rsidR="00B80F61" w:rsidRPr="00166A51" w:rsidRDefault="00B80F61" w:rsidP="00166A51">
      <w:pPr>
        <w:pStyle w:val="Bullet1GR"/>
      </w:pPr>
      <w:bookmarkStart w:id="83" w:name="bookmark_101"/>
      <w:r w:rsidRPr="00166A51">
        <w:t>Часть 5: Контролируемые газовые холодильные системы с косвенным испарением.</w:t>
      </w:r>
      <w:bookmarkEnd w:id="83"/>
    </w:p>
    <w:p w:rsidR="00B80F61" w:rsidRPr="00B80F61" w:rsidRDefault="00B80F61" w:rsidP="00166A51">
      <w:pPr>
        <w:pStyle w:val="Bullet1GR"/>
      </w:pPr>
      <w:bookmarkStart w:id="84" w:name="bookmark_102"/>
      <w:r w:rsidRPr="00166A51">
        <w:t>Дополнительная часть 6: Особые требования для мультитемпературных систем. Разработка этой части зап</w:t>
      </w:r>
      <w:r w:rsidRPr="00B80F61">
        <w:t>ланирована в качестве следующего проекта.</w:t>
      </w:r>
      <w:bookmarkEnd w:id="84"/>
    </w:p>
    <w:p w:rsidR="00B80F61" w:rsidRPr="00B80F61" w:rsidRDefault="00B80F61" w:rsidP="00166A51">
      <w:pPr>
        <w:pStyle w:val="H23GR"/>
      </w:pPr>
      <w:bookmarkStart w:id="85" w:name="bookmark_103"/>
      <w:r w:rsidRPr="00B80F61">
        <w:tab/>
        <w:t>ii)</w:t>
      </w:r>
      <w:r w:rsidRPr="00B80F61">
        <w:tab/>
        <w:t>CEN/TC 413 WG 1</w:t>
      </w:r>
      <w:bookmarkEnd w:id="85"/>
    </w:p>
    <w:p w:rsidR="00B80F61" w:rsidRPr="00B80F61" w:rsidRDefault="00B80F61" w:rsidP="00B80F61">
      <w:pPr>
        <w:pStyle w:val="SingleTxtGR"/>
      </w:pPr>
      <w:bookmarkStart w:id="86" w:name="bookmark_104"/>
      <w:r w:rsidRPr="00B80F61">
        <w:t>19.</w:t>
      </w:r>
      <w:r w:rsidRPr="00B80F61">
        <w:tab/>
        <w:t>Эксперты от Франции, Финляндии, Италии, Словацкой Республики, Соединенного Королевства и Германии приступили к реализации проекта в декабре 2011 года при неофициальном участии экспертов от ряда других европейских государств и провели в течение года несколько встреч и совещаний Рабочей группы.</w:t>
      </w:r>
      <w:bookmarkEnd w:id="86"/>
    </w:p>
    <w:p w:rsidR="00B80F61" w:rsidRPr="00B80F61" w:rsidRDefault="00B80F61" w:rsidP="00B80F61">
      <w:pPr>
        <w:pStyle w:val="SingleTxtGR"/>
      </w:pPr>
      <w:bookmarkStart w:id="87" w:name="bookmark_105"/>
      <w:r w:rsidRPr="00B80F61">
        <w:t>20.</w:t>
      </w:r>
      <w:r w:rsidRPr="00B80F61">
        <w:tab/>
        <w:t>Проектный комитет будет заниматься разработкой стандарта под названием: «Изотермические транспортные средства для перевозки чувствительных к температуре грузов – требования и испытания». Этот стандарт распространяется на изотермические транспортные средства для перевозки чувствительных к температуре грузов, предназначенные для ограничения теплообмена с внешней средой. При необходимости поддержания определенных температур эти транспортные средства могут быть дополнительно оснащены охладительными и/или нагревательными устройствами. Предусматриваются конкретные решения с учетом необходимости поддержания внутренних температур в диапазоне от –30 °С до +25 °С и при температуре внешней среды от –30 °C до +43 °C.</w:t>
      </w:r>
      <w:bookmarkEnd w:id="87"/>
    </w:p>
    <w:p w:rsidR="00B80F61" w:rsidRPr="00B80F61" w:rsidRDefault="00B80F61" w:rsidP="00B80F61">
      <w:pPr>
        <w:pStyle w:val="SingleTxtGR"/>
      </w:pPr>
      <w:bookmarkStart w:id="88" w:name="bookmark_106"/>
      <w:r w:rsidRPr="00B80F61">
        <w:t>21.</w:t>
      </w:r>
      <w:r w:rsidRPr="00B80F61">
        <w:tab/>
        <w:t xml:space="preserve">Предполагается, что этот стандарт будет состоять из нескольких частей: </w:t>
      </w:r>
      <w:bookmarkEnd w:id="88"/>
    </w:p>
    <w:p w:rsidR="00B80F61" w:rsidRPr="00166A51" w:rsidRDefault="00B80F61" w:rsidP="00166A51">
      <w:pPr>
        <w:pStyle w:val="Bullet1GR"/>
      </w:pPr>
      <w:bookmarkStart w:id="89" w:name="bookmark_107"/>
      <w:r w:rsidRPr="00B80F61">
        <w:t>prEN 17066 Часть 1: Контейнеры – Изотермические транспортные средства для перевозки чувствительных к температуре грузов – Требования и испытания; в этой части будут опреде</w:t>
      </w:r>
      <w:r w:rsidRPr="00166A51">
        <w:t>лены термины, конкретные требования, положения, касающиеся испытаний, и параметры изотермических кузовов, включая оценку значения k.</w:t>
      </w:r>
      <w:bookmarkEnd w:id="89"/>
    </w:p>
    <w:p w:rsidR="00B80F61" w:rsidRPr="00166A51" w:rsidRDefault="00B80F61" w:rsidP="00166A51">
      <w:pPr>
        <w:pStyle w:val="Bullet1GR"/>
      </w:pPr>
      <w:bookmarkStart w:id="90" w:name="bookmark_108"/>
      <w:r w:rsidRPr="00166A51">
        <w:t xml:space="preserve">Часть 2: Оборудование – Сочетание изотермических кузовов и их охладительных и/или нагревательных устройств, включая проверку холодо- и </w:t>
      </w:r>
      <w:r w:rsidRPr="00166A51">
        <w:lastRenderedPageBreak/>
        <w:t>теплопроизводительности для перевозок грузов на большие расстояния и их доставки.</w:t>
      </w:r>
      <w:bookmarkEnd w:id="90"/>
    </w:p>
    <w:p w:rsidR="00B80F61" w:rsidRPr="00166A51" w:rsidRDefault="00B80F61" w:rsidP="00166A51">
      <w:pPr>
        <w:pStyle w:val="Bullet1GR"/>
      </w:pPr>
      <w:bookmarkStart w:id="91" w:name="bookmark_109"/>
      <w:r w:rsidRPr="00166A51">
        <w:t>Часть 3: Малые контейнеры многократного использования с внутренним объемом не более 2 м</w:t>
      </w:r>
      <w:r w:rsidRPr="004B0D45">
        <w:rPr>
          <w:vertAlign w:val="superscript"/>
        </w:rPr>
        <w:t>3</w:t>
      </w:r>
      <w:r w:rsidRPr="00166A51">
        <w:t>.</w:t>
      </w:r>
      <w:bookmarkEnd w:id="91"/>
    </w:p>
    <w:p w:rsidR="00B80F61" w:rsidRPr="00B80F61" w:rsidRDefault="00B80F61" w:rsidP="00166A51">
      <w:pPr>
        <w:pStyle w:val="Bullet1GR"/>
      </w:pPr>
      <w:bookmarkStart w:id="92" w:name="bookmark_110"/>
      <w:r w:rsidRPr="00166A51">
        <w:t>Дополнительная часть: Особые требования для мультитемпературных систем. Разработка этой части запланирова</w:t>
      </w:r>
      <w:r w:rsidRPr="00B80F61">
        <w:t>на в качестве следующего проекта.</w:t>
      </w:r>
      <w:bookmarkEnd w:id="92"/>
    </w:p>
    <w:p w:rsidR="00B80F61" w:rsidRPr="00B80F61" w:rsidRDefault="00B80F61" w:rsidP="00B80F61">
      <w:pPr>
        <w:pStyle w:val="SingleTxtGR"/>
      </w:pPr>
      <w:bookmarkStart w:id="93" w:name="bookmark_111"/>
      <w:r w:rsidRPr="00B80F61">
        <w:t>22.</w:t>
      </w:r>
      <w:r w:rsidRPr="00B80F61">
        <w:tab/>
        <w:t>В ходе следующего совещания, которое состоится в конце ноября 2017 года в Берлине, будет рассмотрен ход реализации этого проекта.</w:t>
      </w:r>
      <w:bookmarkEnd w:id="93"/>
    </w:p>
    <w:p w:rsidR="00B80F61" w:rsidRPr="00B80F61" w:rsidRDefault="00B80F61" w:rsidP="00166A51">
      <w:pPr>
        <w:pStyle w:val="H23GR"/>
      </w:pPr>
      <w:bookmarkStart w:id="94" w:name="bookmark_112"/>
      <w:r w:rsidRPr="00B80F61">
        <w:tab/>
        <w:t>iii)</w:t>
      </w:r>
      <w:r w:rsidRPr="00B80F61">
        <w:tab/>
        <w:t>Пересмотр стандарта EN 12830</w:t>
      </w:r>
      <w:bookmarkEnd w:id="94"/>
    </w:p>
    <w:p w:rsidR="00B80F61" w:rsidRPr="00B80F61" w:rsidRDefault="00B80F61" w:rsidP="00B80F61">
      <w:pPr>
        <w:pStyle w:val="SingleTxtGR"/>
      </w:pPr>
      <w:bookmarkStart w:id="95" w:name="bookmark_113"/>
      <w:r w:rsidRPr="00B80F61">
        <w:t>23.</w:t>
      </w:r>
      <w:r w:rsidRPr="00B80F61">
        <w:tab/>
        <w:t xml:space="preserve">Пересмотр стандарта EN 12830:1999 «Датчики температуры, используемые в процессе перевозки, складирования и доставки охлажденных, замороженных, глубокозамороженных/быстрозамороженных пищевых продуктов и мороженого – Испытания, рабочие характеристики, пригодность». Проектный комитет № 423 CEN/TC «Способы измерения и/или регистрации температуры в холодильной цепи» работает над принятием стандарта, соответствующего фактическому положению дел в отрасли. Было проведено несколько совещаний с участием экспертов от Франции, Германии, Италии, Испании и других заинтересованных стран. Пересмотренный стандарт должен обеспечить учет нынешнего состояния технического прогресса и современных требований. Его область применения следует расширить с тем, чтобы он охватывал диапазон температур </w:t>
      </w:r>
      <w:r w:rsidR="00FD3CED">
        <w:br/>
      </w:r>
      <w:r w:rsidRPr="00B80F61">
        <w:t>от –80 °С до +85 °С для чувствительных к температуре грузов в холодильной цепи. Предварительный вариант был опубликован в августе 2016 года для получения замечаний. Представленные замечания были изучены и утверждены в ходе последнего совещания в Мюнхене в сентябре 2017 года. Окончательный проект должен быть опубликован для рассмотрения к концу этого года.</w:t>
      </w:r>
      <w:bookmarkEnd w:id="95"/>
    </w:p>
    <w:p w:rsidR="00B80F61" w:rsidRPr="00B80F61" w:rsidRDefault="00B80F61" w:rsidP="00B80F61">
      <w:pPr>
        <w:pStyle w:val="SingleTxtGR"/>
      </w:pPr>
      <w:bookmarkStart w:id="96" w:name="bookmark_114"/>
      <w:r w:rsidRPr="00B80F61">
        <w:t>24.</w:t>
      </w:r>
      <w:r w:rsidRPr="00B80F61">
        <w:tab/>
        <w:t>Для морских по тепловым характеристикам изотермических контейнеров-рефрижераторов разрабатываются два стандарта ИСО:</w:t>
      </w:r>
      <w:bookmarkEnd w:id="96"/>
    </w:p>
    <w:p w:rsidR="00B80F61" w:rsidRPr="00B80F61" w:rsidRDefault="00B80F61" w:rsidP="00166A51">
      <w:pPr>
        <w:pStyle w:val="SingleTxtGR"/>
        <w:ind w:left="1701" w:hanging="567"/>
      </w:pPr>
      <w:bookmarkStart w:id="97" w:name="bookmark_115"/>
      <w:r w:rsidRPr="00B80F61">
        <w:t>i)</w:t>
      </w:r>
      <w:r w:rsidRPr="00B80F61">
        <w:tab/>
        <w:t>стандарт ISO 1496 ЧАСТЬ II ISO/TC104/SC2/WG1 – Технические требования и методы испытаний – Контейнеры изотермические (заключительное рассмотрение и публикация намечены на мар</w:t>
      </w:r>
      <w:r w:rsidR="004B0D45">
        <w:t>т 2018 года), предусматривающий</w:t>
      </w:r>
      <w:r w:rsidRPr="00B80F61">
        <w:t xml:space="preserve"> в том числе следующее:</w:t>
      </w:r>
      <w:bookmarkEnd w:id="97"/>
    </w:p>
    <w:p w:rsidR="00B80F61" w:rsidRPr="00166A51" w:rsidRDefault="00B80F61" w:rsidP="00166A51">
      <w:pPr>
        <w:pStyle w:val="Bullet1GR"/>
      </w:pPr>
      <w:bookmarkStart w:id="98" w:name="bookmark_116"/>
      <w:r w:rsidRPr="00B80F61">
        <w:t>новый контейнер, значен</w:t>
      </w:r>
      <w:r w:rsidRPr="00166A51">
        <w:t>ие коэффициента K фактически равно 0,3</w:t>
      </w:r>
      <w:r w:rsidR="00166A51">
        <w:rPr>
          <w:lang w:val="en-US"/>
        </w:rPr>
        <w:t> </w:t>
      </w:r>
      <w:r w:rsidRPr="00166A51">
        <w:t>Вт/м</w:t>
      </w:r>
      <w:r w:rsidRPr="004B0D45">
        <w:rPr>
          <w:vertAlign w:val="superscript"/>
        </w:rPr>
        <w:t>2</w:t>
      </w:r>
      <w:r w:rsidRPr="00166A51">
        <w:t>/°C;</w:t>
      </w:r>
      <w:bookmarkEnd w:id="98"/>
    </w:p>
    <w:p w:rsidR="00B80F61" w:rsidRPr="00166A51" w:rsidRDefault="00B80F61" w:rsidP="00166A51">
      <w:pPr>
        <w:pStyle w:val="Bullet1GR"/>
      </w:pPr>
      <w:bookmarkStart w:id="99" w:name="bookmark_117"/>
      <w:r w:rsidRPr="00166A51">
        <w:t>испытание для измерения коэффициента K соответствует испытанию, предусмотренному в СПС;</w:t>
      </w:r>
      <w:bookmarkEnd w:id="99"/>
    </w:p>
    <w:p w:rsidR="00B80F61" w:rsidRPr="00166A51" w:rsidRDefault="00B80F61" w:rsidP="00166A51">
      <w:pPr>
        <w:pStyle w:val="Bullet1GR"/>
      </w:pPr>
      <w:bookmarkStart w:id="100" w:name="bookmark_118"/>
      <w:r w:rsidRPr="00166A51">
        <w:t>новое приложение H, предусматривающее факультативный резервный генератор;</w:t>
      </w:r>
      <w:bookmarkEnd w:id="100"/>
    </w:p>
    <w:p w:rsidR="00B80F61" w:rsidRPr="00B80F61" w:rsidRDefault="00B80F61" w:rsidP="00166A51">
      <w:pPr>
        <w:pStyle w:val="Bullet1GR"/>
      </w:pPr>
      <w:bookmarkStart w:id="101" w:name="bookmark_119"/>
      <w:r w:rsidRPr="00166A51">
        <w:t>пересмотренное новое приложение I, касающееся износа, с информацией об ухудшении изоляционных характер</w:t>
      </w:r>
      <w:r w:rsidRPr="00B80F61">
        <w:t>истик со временем;</w:t>
      </w:r>
      <w:bookmarkEnd w:id="101"/>
    </w:p>
    <w:p w:rsidR="00B80F61" w:rsidRPr="00B80F61" w:rsidRDefault="00B80F61" w:rsidP="00166A51">
      <w:pPr>
        <w:pStyle w:val="SingleTxtGR"/>
        <w:ind w:left="1701" w:hanging="567"/>
      </w:pPr>
      <w:bookmarkStart w:id="102" w:name="bookmark_120"/>
      <w:r w:rsidRPr="00B80F61">
        <w:t>ii)</w:t>
      </w:r>
      <w:r w:rsidRPr="00B80F61">
        <w:tab/>
        <w:t>стандарт ISO 20854-1 ISO/TC104/SC2/WG1 – Огнеопасные хладагенты – Контейнеры изотермические (заключительное рассмотрение и публикация намечены на 2019 год). Этот стандарт предусматривает дифференцированный режим для опасных зон внутри и снаружи контейнера и дифференцированный режим для хладагентов A3 и A2L.</w:t>
      </w:r>
      <w:bookmarkEnd w:id="102"/>
    </w:p>
    <w:p w:rsidR="00B80F61" w:rsidRPr="00B80F61" w:rsidRDefault="00B80F61" w:rsidP="00166A51">
      <w:pPr>
        <w:pStyle w:val="HChGR"/>
      </w:pPr>
      <w:bookmarkStart w:id="103" w:name="bookmark_121"/>
      <w:r w:rsidRPr="00B80F61">
        <w:lastRenderedPageBreak/>
        <w:tab/>
        <w:t>V.</w:t>
      </w:r>
      <w:r w:rsidRPr="00B80F61">
        <w:tab/>
        <w:t>Статус и осуществление Соглашения о</w:t>
      </w:r>
      <w:r w:rsidR="00FD3CED">
        <w:rPr>
          <w:lang w:val="en-US"/>
        </w:rPr>
        <w:t> </w:t>
      </w:r>
      <w:r w:rsidRPr="00B80F61">
        <w:t>международных перевозках скоропортящихся пищевых продуктов и о специальных транспортных средствах, предназначенных для этих перевозок (СПС) (пункт 4 повестки дня)</w:t>
      </w:r>
      <w:bookmarkStart w:id="104" w:name="_Toc401568238"/>
      <w:bookmarkStart w:id="105" w:name="_Toc401568643"/>
      <w:bookmarkEnd w:id="103"/>
      <w:bookmarkEnd w:id="104"/>
      <w:bookmarkEnd w:id="105"/>
    </w:p>
    <w:p w:rsidR="00B80F61" w:rsidRPr="00B80F61" w:rsidRDefault="00B80F61" w:rsidP="00166A51">
      <w:pPr>
        <w:pStyle w:val="H1GR"/>
      </w:pPr>
      <w:bookmarkStart w:id="106" w:name="bookmark_122"/>
      <w:r w:rsidRPr="00B80F61">
        <w:tab/>
        <w:t>A.</w:t>
      </w:r>
      <w:r w:rsidRPr="00B80F61">
        <w:tab/>
        <w:t>Положение в связи с применением Соглашения</w:t>
      </w:r>
      <w:bookmarkStart w:id="107" w:name="_Toc401568239"/>
      <w:bookmarkStart w:id="108" w:name="_Toc401568644"/>
      <w:bookmarkEnd w:id="106"/>
      <w:bookmarkEnd w:id="107"/>
      <w:bookmarkEnd w:id="108"/>
    </w:p>
    <w:p w:rsidR="00B80F61" w:rsidRPr="00B80F61" w:rsidRDefault="00B80F61" w:rsidP="00B80F61">
      <w:pPr>
        <w:pStyle w:val="SingleTxtGR"/>
      </w:pPr>
      <w:bookmarkStart w:id="109" w:name="bookmark_123"/>
      <w:r w:rsidRPr="00B80F61">
        <w:t>25.</w:t>
      </w:r>
      <w:r w:rsidRPr="00B80F61">
        <w:tab/>
        <w:t>За период, прошедший после прошлой сессии Рабочей группы, к СПС не присоединилось ни одной новой страны, и поэтому число Договаривающихся сторон по-прежнему составляет 50.</w:t>
      </w:r>
      <w:bookmarkEnd w:id="109"/>
    </w:p>
    <w:p w:rsidR="00B80F61" w:rsidRPr="00B80F61" w:rsidRDefault="00B80F61" w:rsidP="00166A51">
      <w:pPr>
        <w:pStyle w:val="H1GR"/>
      </w:pPr>
      <w:bookmarkStart w:id="110" w:name="bookmark_124"/>
      <w:r w:rsidRPr="00B80F61">
        <w:tab/>
        <w:t>B.</w:t>
      </w:r>
      <w:r w:rsidRPr="00B80F61">
        <w:tab/>
        <w:t>Состояние поправок</w:t>
      </w:r>
      <w:bookmarkStart w:id="111" w:name="_Toc401568240"/>
      <w:bookmarkStart w:id="112" w:name="_Toc401568645"/>
      <w:bookmarkEnd w:id="110"/>
      <w:bookmarkEnd w:id="111"/>
      <w:bookmarkEnd w:id="112"/>
    </w:p>
    <w:p w:rsidR="00B80F61" w:rsidRPr="00B80F61" w:rsidRDefault="00B80F61" w:rsidP="00B80F61">
      <w:pPr>
        <w:pStyle w:val="SingleTxtGR"/>
      </w:pPr>
      <w:bookmarkStart w:id="113" w:name="bookmark_125"/>
      <w:r w:rsidRPr="00B80F61">
        <w:t>26.</w:t>
      </w:r>
      <w:r w:rsidRPr="00B80F61">
        <w:tab/>
        <w:t>Поправки к СПС, принятые WP.11 на ее семьдесят первой сессии в 2015 году и содержащиеся в приложении I к докладу о работе этой сессии (ECE/TRANS/WP.11/233) (уведомление депозитария C.N.135.2016.TREATIES-XI.B.22), считаются принятыми с 6 июля 2017 года (уведомление депозитария C.N.401.2017.TREATIES-XI.B.22) для вступления в силу 6 января 2018 года.</w:t>
      </w:r>
      <w:bookmarkEnd w:id="113"/>
    </w:p>
    <w:p w:rsidR="00B80F61" w:rsidRPr="00B80F61" w:rsidRDefault="00B80F61" w:rsidP="00B80F61">
      <w:pPr>
        <w:pStyle w:val="SingleTxtGR"/>
      </w:pPr>
      <w:bookmarkStart w:id="114" w:name="bookmark_126"/>
      <w:r w:rsidRPr="00B80F61">
        <w:t>27.</w:t>
      </w:r>
      <w:r w:rsidRPr="00B80F61">
        <w:tab/>
        <w:t>Предложенные поправки и исправления к СПС, принятые на семьдесят второй сессии WP.11 в 2016 году (ECE/TRANS/WP.11/235, приложения I и II), были доведены до сведения Договаривающихся сторон СПС Договорной секцией Организации Объединенных Наций 8 февраля 2017 года (C.N.58.2017.</w:t>
      </w:r>
      <w:r w:rsidR="00166A51">
        <w:br/>
      </w:r>
      <w:r w:rsidRPr="00B80F61">
        <w:t>TREATIES-XI.B.22 и C.N.54.2017.TREATIES-XI.B.22 соответственно). Исправления были сочтены принятыми 15 мая 2017 года (C.N.267.2017.TREATIES-XI.B.22).</w:t>
      </w:r>
      <w:bookmarkEnd w:id="114"/>
    </w:p>
    <w:p w:rsidR="00B80F61" w:rsidRPr="00B80F61" w:rsidRDefault="00B80F61" w:rsidP="00B80F61">
      <w:pPr>
        <w:pStyle w:val="SingleTxtGR"/>
      </w:pPr>
      <w:bookmarkStart w:id="115" w:name="bookmark_127"/>
      <w:r w:rsidRPr="00B80F61">
        <w:t>28.</w:t>
      </w:r>
      <w:r w:rsidRPr="00B80F61">
        <w:tab/>
        <w:t>30 марта 2017 года правительство Германии, согласно статье 18 2) b) СПС, проинформировало Генерального секретаря о том, что, хотя оно и намерено принять эти предложения, условия для такого принятия еще не выполнены (C.N.159.2017.TREATIES-XI.B.22). Следовательно, поправки, принятые на сессии WP.11 в 2016 году, будут сочтены принятыми только в том случае, если до истечения девятимесячного срока после первоначального шестимесячного периода уведомления правительство Германии не уведомит о возражении против предложенных поправок.</w:t>
      </w:r>
      <w:bookmarkEnd w:id="115"/>
    </w:p>
    <w:p w:rsidR="00B80F61" w:rsidRPr="00B80F61" w:rsidRDefault="00B80F61" w:rsidP="00B80F61">
      <w:pPr>
        <w:pStyle w:val="SingleTxtGR"/>
      </w:pPr>
      <w:bookmarkStart w:id="116" w:name="bookmark_128"/>
      <w:r w:rsidRPr="00B80F61">
        <w:t>29.</w:t>
      </w:r>
      <w:r w:rsidRPr="00B80F61">
        <w:tab/>
        <w:t>WP.11 была проинформирована о том, что обычная практика уведомления о поправках после каждого совещания впредь использоваться не может. В будущем уведомления о новых сериях поправок могут направляться только после того, как поправки предыдущей серии были сочтены принятыми. Это делается во избежание привнесения ошибок в юридический текст СПС.</w:t>
      </w:r>
      <w:bookmarkEnd w:id="116"/>
    </w:p>
    <w:p w:rsidR="00B80F61" w:rsidRPr="00B80F61" w:rsidRDefault="00B80F61" w:rsidP="00166A51">
      <w:pPr>
        <w:pStyle w:val="H1GR"/>
      </w:pPr>
      <w:bookmarkStart w:id="117" w:name="bookmark_129"/>
      <w:r w:rsidRPr="00B80F61">
        <w:rPr>
          <w:bCs/>
        </w:rPr>
        <w:tab/>
        <w:t>C.</w:t>
      </w:r>
      <w:r w:rsidRPr="00B80F61">
        <w:tab/>
        <w:t>Испытательные станции, официально назначаемые компетентными органами стран – участниц СПС</w:t>
      </w:r>
      <w:bookmarkStart w:id="118" w:name="_Toc401568241"/>
      <w:bookmarkStart w:id="119" w:name="_Toc401568646"/>
      <w:bookmarkEnd w:id="117"/>
      <w:bookmarkEnd w:id="118"/>
      <w:bookmarkEnd w:id="119"/>
    </w:p>
    <w:p w:rsidR="00B80F61" w:rsidRPr="00166A51" w:rsidRDefault="00B80F61" w:rsidP="00B80F61">
      <w:pPr>
        <w:pStyle w:val="SingleTxtGR"/>
      </w:pPr>
      <w:bookmarkStart w:id="120" w:name="bookmark_130"/>
      <w:r w:rsidRPr="00B80F61">
        <w:t>30.</w:t>
      </w:r>
      <w:r w:rsidRPr="00B80F61">
        <w:tab/>
        <w:t xml:space="preserve">WP.11 приняла к сведению обновленный перечень официально назначаемых компетентных органов и испытательных станций, с которым можно также ознакомиться по следующему адресу: </w:t>
      </w:r>
      <w:hyperlink r:id="rId10" w:history="1">
        <w:r w:rsidR="00166A51" w:rsidRPr="00166A51">
          <w:rPr>
            <w:rStyle w:val="Hyperlink"/>
            <w:color w:val="auto"/>
          </w:rPr>
          <w:t>http://www.unece.org/trans/main/wp11/</w:t>
        </w:r>
        <w:r w:rsidR="00166A51" w:rsidRPr="00166A51">
          <w:rPr>
            <w:rStyle w:val="Hyperlink"/>
            <w:color w:val="auto"/>
          </w:rPr>
          <w:br/>
          <w:t>teststationsnew.html</w:t>
        </w:r>
      </w:hyperlink>
      <w:r w:rsidRPr="00166A51">
        <w:t>.</w:t>
      </w:r>
      <w:bookmarkEnd w:id="120"/>
    </w:p>
    <w:p w:rsidR="00B80F61" w:rsidRPr="00B80F61" w:rsidRDefault="00B80F61" w:rsidP="00B80F61">
      <w:pPr>
        <w:pStyle w:val="SingleTxtGR"/>
      </w:pPr>
      <w:bookmarkStart w:id="121" w:name="bookmark_131"/>
      <w:r w:rsidRPr="00B80F61">
        <w:t>31.</w:t>
      </w:r>
      <w:r w:rsidRPr="00B80F61">
        <w:tab/>
        <w:t>WP.11 обратила особое внимание на то, что в случае любых сомнений относительно аутентичности свидетельств СПС необходимо связаться с соответствующим компетентным органом.</w:t>
      </w:r>
      <w:bookmarkEnd w:id="121"/>
    </w:p>
    <w:p w:rsidR="00B80F61" w:rsidRPr="00B80F61" w:rsidRDefault="00B80F61" w:rsidP="00B80F61">
      <w:pPr>
        <w:pStyle w:val="SingleTxtGR"/>
      </w:pPr>
      <w:bookmarkStart w:id="122" w:name="bookmark_132"/>
      <w:r w:rsidRPr="00B80F61">
        <w:t>32.</w:t>
      </w:r>
      <w:r w:rsidRPr="00B80F61">
        <w:tab/>
        <w:t xml:space="preserve">Хотя Рабочая группа и признала, что за назначение и аккредитацию испытательных станций отвечает компетентный орган каждой Договаривающейся </w:t>
      </w:r>
      <w:r w:rsidRPr="00B80F61">
        <w:lastRenderedPageBreak/>
        <w:t>стороны, необходимо иметь объективные и согласованные критерии аккредитации.</w:t>
      </w:r>
      <w:bookmarkEnd w:id="122"/>
    </w:p>
    <w:p w:rsidR="00B80F61" w:rsidRPr="00B80F61" w:rsidRDefault="00B80F61" w:rsidP="00B80F61">
      <w:pPr>
        <w:pStyle w:val="SingleTxtGR"/>
      </w:pPr>
      <w:bookmarkStart w:id="123" w:name="bookmark_133"/>
      <w:r w:rsidRPr="00B80F61">
        <w:t>33.</w:t>
      </w:r>
      <w:r w:rsidRPr="00B80F61">
        <w:tab/>
        <w:t xml:space="preserve">В вопросник 2017 </w:t>
      </w:r>
      <w:r w:rsidR="004B0D45" w:rsidRPr="00B80F61">
        <w:t xml:space="preserve">года </w:t>
      </w:r>
      <w:r w:rsidRPr="00B80F61">
        <w:t>было решено включить вопрос о критериях, используемых в каждой Договаривающейся стороне для аккредитации испытательных станций, с тем чтобы получить общее представление об этом процессе и выявить образцы передовой практики. На основе этой информации в рамках совещания Подкомиссии CERTE будут разработаны руководящие принципы для согласования протоколов испытаний и облегчения их взаимного признания.</w:t>
      </w:r>
      <w:bookmarkEnd w:id="123"/>
    </w:p>
    <w:p w:rsidR="00B80F61" w:rsidRPr="00B80F61" w:rsidRDefault="00B80F61" w:rsidP="00166A51">
      <w:pPr>
        <w:pStyle w:val="H1GR"/>
      </w:pPr>
      <w:bookmarkStart w:id="124" w:name="bookmark_134"/>
      <w:r w:rsidRPr="00B80F61">
        <w:tab/>
        <w:t>D.</w:t>
      </w:r>
      <w:r w:rsidRPr="00B80F61">
        <w:tab/>
        <w:t>Обмен информацией между Сторонами в соответствии со</w:t>
      </w:r>
      <w:r w:rsidR="00FD3CED">
        <w:rPr>
          <w:lang w:val="en-US"/>
        </w:rPr>
        <w:t> </w:t>
      </w:r>
      <w:r w:rsidRPr="00B80F61">
        <w:t>статьей 6 СПС</w:t>
      </w:r>
      <w:bookmarkEnd w:id="124"/>
    </w:p>
    <w:p w:rsidR="00B80F61" w:rsidRPr="00B80F61" w:rsidRDefault="00B80F61" w:rsidP="00B80F61">
      <w:pPr>
        <w:pStyle w:val="SingleTxtGR"/>
      </w:pPr>
      <w:bookmarkStart w:id="125" w:name="bookmark_135"/>
      <w:r w:rsidRPr="00B80F61">
        <w:rPr>
          <w:i/>
          <w:iCs/>
        </w:rPr>
        <w:t>Документы:</w:t>
      </w:r>
      <w:r w:rsidRPr="00B80F61">
        <w:tab/>
      </w:r>
      <w:r w:rsidRPr="00B80F61">
        <w:tab/>
      </w:r>
      <w:r w:rsidRPr="00B80F61">
        <w:tab/>
        <w:t xml:space="preserve">ECE/TRANS/WP.11/2017/1 (секретариат) </w:t>
      </w:r>
      <w:r w:rsidRPr="00B80F61">
        <w:tab/>
      </w:r>
      <w:r w:rsidRPr="00B80F61">
        <w:tab/>
      </w:r>
      <w:r w:rsidRPr="00B80F61">
        <w:tab/>
      </w:r>
      <w:r w:rsidRPr="00B80F61">
        <w:tab/>
      </w:r>
      <w:r w:rsidRPr="00B80F61">
        <w:tab/>
      </w:r>
      <w:r w:rsidRPr="00B80F61">
        <w:tab/>
      </w:r>
      <w:r w:rsidRPr="00B80F61">
        <w:tab/>
        <w:t>ECE/TRANS/WP.11/2017/2 (секретариат)</w:t>
      </w:r>
      <w:bookmarkEnd w:id="125"/>
    </w:p>
    <w:p w:rsidR="00B80F61" w:rsidRPr="00B80F61" w:rsidRDefault="00B80F61" w:rsidP="00B80F61">
      <w:pPr>
        <w:pStyle w:val="SingleTxtGR"/>
      </w:pPr>
      <w:bookmarkStart w:id="126" w:name="bookmark_136"/>
      <w:r w:rsidRPr="00B80F61">
        <w:t>34.</w:t>
      </w:r>
      <w:r w:rsidRPr="00B80F61">
        <w:tab/>
        <w:t>На прошлой сессии WP.11 поблагодарила 22 страны, представившие данные в ответ на вопросник об осуществлении СПС в 2015 году, подчеркнув, что необходимо в обязательном порядке располагать информацией от всех Договаривающихся сторон СПС и что такая информация служит одним из средств согласования усилий по осуществлению Соглашения. WP.11 приняла к сведению ответы на дополнительный вопрос, касающийся применения СПС.</w:t>
      </w:r>
      <w:bookmarkEnd w:id="126"/>
    </w:p>
    <w:p w:rsidR="00B80F61" w:rsidRPr="00B80F61" w:rsidRDefault="00B80F61" w:rsidP="00B80F61">
      <w:pPr>
        <w:pStyle w:val="SingleTxtGR"/>
      </w:pPr>
      <w:bookmarkStart w:id="127" w:name="bookmark_137"/>
      <w:r w:rsidRPr="00B80F61">
        <w:t>35.</w:t>
      </w:r>
      <w:r w:rsidRPr="00B80F61">
        <w:tab/>
        <w:t>WP.11 просила секретариат направить всем Договаривающимся сторонам письмо с напоминанием о том, что им необходимо соблюдать свое обязательство по статье 6 СПС и отвечать на ежегодный вопросник, рассылаемый секретариатом.</w:t>
      </w:r>
      <w:bookmarkEnd w:id="127"/>
    </w:p>
    <w:p w:rsidR="00B80F61" w:rsidRPr="00FD3CED" w:rsidRDefault="00B80F61" w:rsidP="00B80F61">
      <w:pPr>
        <w:pStyle w:val="SingleTxtGR"/>
      </w:pPr>
      <w:bookmarkStart w:id="128" w:name="bookmark_138"/>
      <w:r w:rsidRPr="00B80F61">
        <w:t>36.</w:t>
      </w:r>
      <w:r w:rsidRPr="00B80F61">
        <w:tab/>
      </w:r>
      <w:r w:rsidRPr="00FD3CED">
        <w:t>Было отмечено также, что число стран, участвующих в работе сессий WP.11, является относительно низким по сравнению с общим числом Договаривающихся сторон. Было предложено использовать режим телеконференций (или другое средство для проведения виртуальных совещаний), с тем чтобы обеспечить участие стран, которые не могут направить делегатов из-за нехватки ресурсов.</w:t>
      </w:r>
      <w:bookmarkEnd w:id="128"/>
    </w:p>
    <w:p w:rsidR="00B80F61" w:rsidRPr="00B80F61" w:rsidRDefault="00B80F61" w:rsidP="00B80F61">
      <w:pPr>
        <w:pStyle w:val="SingleTxtGR"/>
      </w:pPr>
      <w:bookmarkStart w:id="129" w:name="bookmark_139"/>
      <w:r w:rsidRPr="00B80F61">
        <w:t>37.</w:t>
      </w:r>
      <w:r w:rsidRPr="00B80F61">
        <w:tab/>
        <w:t>Был утвержден новый образец вопросника с предлагаемыми изменениями, представленный в документе ECE/TRANS/WP.11/2017/2. В вопросник 2017 года будет включен следующий вопрос: «Каковы критерии/требования, используемые для аккредитации испытательных станций в Вашей стране?».</w:t>
      </w:r>
      <w:bookmarkEnd w:id="129"/>
    </w:p>
    <w:p w:rsidR="00B80F61" w:rsidRPr="00B80F61" w:rsidRDefault="00B80F61" w:rsidP="00166A51">
      <w:pPr>
        <w:pStyle w:val="H1GR"/>
      </w:pPr>
      <w:bookmarkStart w:id="130" w:name="bookmark_140"/>
      <w:r w:rsidRPr="00B80F61">
        <w:tab/>
        <w:t>E.</w:t>
      </w:r>
      <w:r w:rsidRPr="00B80F61">
        <w:tab/>
        <w:t>Обмен передовой практикой для более эффективного осуществления СПС</w:t>
      </w:r>
      <w:bookmarkEnd w:id="130"/>
    </w:p>
    <w:p w:rsidR="00B80F61" w:rsidRPr="00B80F61" w:rsidRDefault="00B80F61" w:rsidP="00FD3CED">
      <w:pPr>
        <w:pStyle w:val="SingleTxtGR"/>
        <w:jc w:val="left"/>
      </w:pPr>
      <w:bookmarkStart w:id="131" w:name="bookmark_141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ECE/TRANS/WP.11/2017/12 (Международная </w:t>
      </w:r>
      <w:r w:rsidR="00FD3CED">
        <w:br/>
      </w:r>
      <w:r w:rsidR="00FD3CED">
        <w:tab/>
      </w:r>
      <w:r w:rsidR="00FD3CED">
        <w:tab/>
      </w:r>
      <w:r w:rsidR="00FD3CED">
        <w:tab/>
      </w:r>
      <w:r w:rsidR="00FD3CED">
        <w:tab/>
      </w:r>
      <w:r w:rsidR="00FD3CED">
        <w:tab/>
      </w:r>
      <w:r w:rsidRPr="00B80F61">
        <w:t xml:space="preserve">федерация </w:t>
      </w:r>
      <w:bookmarkEnd w:id="131"/>
      <w:r w:rsidRPr="00B80F61">
        <w:t>«Трансфригорут интернэшнл»)</w:t>
      </w:r>
    </w:p>
    <w:p w:rsidR="00B80F61" w:rsidRPr="00B80F61" w:rsidRDefault="00B80F61" w:rsidP="00B80F61">
      <w:pPr>
        <w:pStyle w:val="SingleTxtGR"/>
      </w:pPr>
      <w:bookmarkStart w:id="132" w:name="bookmark_142"/>
      <w:r w:rsidRPr="00B80F61">
        <w:t>38.</w:t>
      </w:r>
      <w:r w:rsidRPr="00B80F61">
        <w:tab/>
        <w:t>Было уточнено, что в сферу охвата этого документа входят лишь прототипы, которые необходимо подвергнуть дорожным испытаниям в различных климатических условиях. Рабочая группа согласилась с тем, что такие ситуации возможны, и в отношении этих прототипов было предложено использовать отступления или специальные разрешения.</w:t>
      </w:r>
      <w:bookmarkEnd w:id="132"/>
    </w:p>
    <w:p w:rsidR="00B80F61" w:rsidRPr="00B80F61" w:rsidRDefault="00B80F61" w:rsidP="00B80F61">
      <w:pPr>
        <w:pStyle w:val="SingleTxtGR"/>
      </w:pPr>
      <w:bookmarkStart w:id="133" w:name="bookmark_143"/>
      <w:r w:rsidRPr="00B80F61">
        <w:t>39.</w:t>
      </w:r>
      <w:r w:rsidRPr="00B80F61">
        <w:tab/>
        <w:t>Международная федерация «Трансфригорут интернэшнл» вызвалась представить пересмотренное предложение, включая необходимые поправки к СПС, на следующей сессии.</w:t>
      </w:r>
      <w:bookmarkEnd w:id="133"/>
    </w:p>
    <w:p w:rsidR="00B80F61" w:rsidRPr="00B80F61" w:rsidRDefault="00B80F61" w:rsidP="00FD3CED">
      <w:pPr>
        <w:pStyle w:val="SingleTxtGR"/>
        <w:jc w:val="left"/>
      </w:pPr>
      <w:bookmarkStart w:id="134" w:name="bookmark_144"/>
      <w:r w:rsidRPr="00B80F61">
        <w:rPr>
          <w:i/>
          <w:iCs/>
        </w:rPr>
        <w:t>Документ:</w:t>
      </w:r>
      <w:r w:rsidR="00166A51">
        <w:tab/>
      </w:r>
      <w:r w:rsidR="00166A51">
        <w:tab/>
      </w:r>
      <w:r w:rsidR="00FD3CED">
        <w:tab/>
      </w:r>
      <w:r w:rsidR="00FD3CED">
        <w:tab/>
      </w:r>
      <w:r w:rsidRPr="00B80F61">
        <w:t xml:space="preserve">ECE/TRANS/WP.11/2017/13 (Международная </w:t>
      </w:r>
      <w:r w:rsidR="00FD3CED">
        <w:br/>
      </w:r>
      <w:r w:rsidR="00FD3CED">
        <w:tab/>
      </w:r>
      <w:r w:rsidR="00FD3CED">
        <w:tab/>
      </w:r>
      <w:r w:rsidR="00FD3CED">
        <w:tab/>
      </w:r>
      <w:r w:rsidR="00FD3CED">
        <w:tab/>
      </w:r>
      <w:r w:rsidR="00FD3CED">
        <w:tab/>
      </w:r>
      <w:r w:rsidRPr="00B80F61">
        <w:t>федерация «Трансфригорут интернэшнл»)</w:t>
      </w:r>
      <w:bookmarkEnd w:id="134"/>
    </w:p>
    <w:p w:rsidR="00B80F61" w:rsidRPr="00B80F61" w:rsidRDefault="00B80F61" w:rsidP="00B80F61">
      <w:pPr>
        <w:pStyle w:val="SingleTxtGR"/>
      </w:pPr>
      <w:bookmarkStart w:id="135" w:name="bookmark_145"/>
      <w:r w:rsidRPr="00B80F61">
        <w:t>40.</w:t>
      </w:r>
      <w:r w:rsidRPr="00B80F61">
        <w:tab/>
        <w:t xml:space="preserve">Было отмечено, что испытания серий оборудования относятся к компетенции соответствующих органов в стране изготовления. Некоторые страны заявили, что требование о соответствии стандарту ISO 9000 для целей проверок не </w:t>
      </w:r>
      <w:r w:rsidRPr="00B80F61">
        <w:lastRenderedPageBreak/>
        <w:t>является достаточным и что в СПС следует включить конкретные положения о проверках. Представитель Франции напомнил Рабочей группе о том, что документ, содержащий перечень проверок, которые необходимо выполнять в ходе этих инспекций, был представлен на семьдесят второй сессии и мог бы использоваться в качестве основы для нового предложения.</w:t>
      </w:r>
      <w:bookmarkEnd w:id="135"/>
    </w:p>
    <w:p w:rsidR="00B80F61" w:rsidRPr="00B80F61" w:rsidRDefault="00B80F61" w:rsidP="00B80F61">
      <w:pPr>
        <w:pStyle w:val="SingleTxtGR"/>
      </w:pPr>
      <w:bookmarkStart w:id="136" w:name="bookmark_146"/>
      <w:r w:rsidRPr="00B80F61">
        <w:t>41.</w:t>
      </w:r>
      <w:r w:rsidRPr="00B80F61">
        <w:tab/>
        <w:t>На следующей сессии международная федерация «Трансфригорут интернэшнл», возможно, представит пересмотренное предложение, включая необходимые поправки к СПС.</w:t>
      </w:r>
      <w:bookmarkEnd w:id="136"/>
    </w:p>
    <w:p w:rsidR="00B80F61" w:rsidRPr="00B80F61" w:rsidRDefault="00B80F61" w:rsidP="00FD3CED">
      <w:pPr>
        <w:pStyle w:val="SingleTxtGR"/>
        <w:jc w:val="left"/>
      </w:pPr>
      <w:bookmarkStart w:id="137" w:name="bookmark_147"/>
      <w:r w:rsidRPr="00B80F61">
        <w:rPr>
          <w:i/>
          <w:iCs/>
        </w:rPr>
        <w:t>Документ:</w:t>
      </w:r>
      <w:r w:rsidR="00166A51">
        <w:tab/>
      </w:r>
      <w:r w:rsidR="00166A51">
        <w:tab/>
      </w:r>
      <w:r w:rsidR="00FD3CED">
        <w:tab/>
      </w:r>
      <w:r w:rsidR="00FD3CED">
        <w:tab/>
      </w:r>
      <w:r w:rsidRPr="00B80F61">
        <w:t xml:space="preserve">ECE/TRANS/WP.11/2017/14 (международная </w:t>
      </w:r>
      <w:r w:rsidR="00FD3CED">
        <w:br/>
      </w:r>
      <w:r w:rsidR="00FD3CED">
        <w:tab/>
      </w:r>
      <w:r w:rsidR="00FD3CED">
        <w:tab/>
      </w:r>
      <w:r w:rsidR="00FD3CED">
        <w:tab/>
      </w:r>
      <w:r w:rsidR="00FD3CED">
        <w:tab/>
      </w:r>
      <w:r w:rsidR="00FD3CED">
        <w:tab/>
      </w:r>
      <w:r w:rsidRPr="00B80F61">
        <w:t>федерация</w:t>
      </w:r>
      <w:r w:rsidR="00FD3CED" w:rsidRPr="00FD3CED">
        <w:t xml:space="preserve"> </w:t>
      </w:r>
      <w:r w:rsidRPr="00B80F61">
        <w:t>«Трансфригорут Интернэшнл»)</w:t>
      </w:r>
      <w:bookmarkEnd w:id="137"/>
    </w:p>
    <w:p w:rsidR="00B80F61" w:rsidRPr="00B80F61" w:rsidRDefault="00B80F61" w:rsidP="00B80F61">
      <w:pPr>
        <w:pStyle w:val="SingleTxtGR"/>
      </w:pPr>
      <w:bookmarkStart w:id="138" w:name="bookmark_148"/>
      <w:r w:rsidRPr="00B80F61">
        <w:t>42.</w:t>
      </w:r>
      <w:r w:rsidRPr="00B80F61">
        <w:tab/>
        <w:t>Было решено, что в случае аналогичных двигателей испытательная станция, которая выдала протокол испытания оригинального двигателя, должна выдать официальный документ, подтверждающий эквивалентность нового и оригинального двигателей.</w:t>
      </w:r>
      <w:bookmarkEnd w:id="138"/>
    </w:p>
    <w:p w:rsidR="00B80F61" w:rsidRPr="00B80F61" w:rsidRDefault="00B80F61" w:rsidP="00B80F61">
      <w:pPr>
        <w:pStyle w:val="SingleTxtGR"/>
      </w:pPr>
      <w:bookmarkStart w:id="139" w:name="bookmark_149"/>
      <w:r w:rsidRPr="00B80F61">
        <w:t>43.</w:t>
      </w:r>
      <w:r w:rsidRPr="00B80F61">
        <w:tab/>
        <w:t>Порядок выдачи этого официального документа будет уточнен в рамках совещания Подкомиссии CERTE.</w:t>
      </w:r>
      <w:bookmarkEnd w:id="139"/>
    </w:p>
    <w:p w:rsidR="00B80F61" w:rsidRPr="00B80F61" w:rsidRDefault="00B80F61" w:rsidP="00FD3CED">
      <w:pPr>
        <w:pStyle w:val="SingleTxtGR"/>
        <w:jc w:val="left"/>
      </w:pPr>
      <w:bookmarkStart w:id="140" w:name="bookmark_150"/>
      <w:r w:rsidRPr="00B80F61">
        <w:rPr>
          <w:i/>
          <w:iCs/>
        </w:rPr>
        <w:t>Документ:</w:t>
      </w:r>
      <w:r w:rsidR="00166A51">
        <w:tab/>
      </w:r>
      <w:r w:rsidR="00166A51">
        <w:tab/>
      </w:r>
      <w:r w:rsidR="00FD3CED">
        <w:tab/>
      </w:r>
      <w:r w:rsidR="00FD3CED">
        <w:tab/>
      </w:r>
      <w:r w:rsidRPr="00B80F61">
        <w:t xml:space="preserve">ECE/TRANS/WP.11/2017/15 (международная </w:t>
      </w:r>
      <w:r w:rsidR="00FD3CED">
        <w:br/>
      </w:r>
      <w:r w:rsidR="00FD3CED">
        <w:tab/>
      </w:r>
      <w:r w:rsidR="00FD3CED">
        <w:tab/>
      </w:r>
      <w:r w:rsidR="00FD3CED">
        <w:tab/>
      </w:r>
      <w:r w:rsidR="00FD3CED">
        <w:tab/>
      </w:r>
      <w:r w:rsidR="00FD3CED">
        <w:tab/>
      </w:r>
      <w:r w:rsidRPr="00B80F61">
        <w:t>федерация «Трансфригорут Интернэшнл»)</w:t>
      </w:r>
      <w:bookmarkEnd w:id="140"/>
    </w:p>
    <w:p w:rsidR="00B80F61" w:rsidRPr="00B80F61" w:rsidRDefault="00B80F61" w:rsidP="00B80F61">
      <w:pPr>
        <w:pStyle w:val="SingleTxtGR"/>
      </w:pPr>
      <w:bookmarkStart w:id="141" w:name="bookmark_151"/>
      <w:r w:rsidRPr="00B80F61">
        <w:t>44.</w:t>
      </w:r>
      <w:r w:rsidRPr="00B80F61">
        <w:tab/>
        <w:t>Было уточнено, что свидетельство СПС, выдаваемое компетентным органом в стране изготовления, в случае экспорта транспортного средства в другую страну уже является действительным в течение шести месяцев начиная с 6 января 2018 года, и поэтому необходимости в обсуждении этого документа нет.</w:t>
      </w:r>
      <w:bookmarkEnd w:id="141"/>
    </w:p>
    <w:p w:rsidR="00B80F61" w:rsidRPr="00B80F61" w:rsidRDefault="00B80F61" w:rsidP="00B80F61">
      <w:pPr>
        <w:pStyle w:val="SingleTxtGR"/>
      </w:pPr>
      <w:bookmarkStart w:id="142" w:name="bookmark_152"/>
      <w:r w:rsidRPr="00B80F61">
        <w:t>45.</w:t>
      </w:r>
      <w:r w:rsidRPr="00B80F61">
        <w:tab/>
        <w:t xml:space="preserve">Представитель Финляндии проинформировал Рабочую группу о разрабатываемом предложении относительно изменения так называемого «правила 150 км» для морских перевозок скоропортящихся пищевых продуктов. В целях сбора информации о нынешней практике среди Договаривающихся сторон в </w:t>
      </w:r>
      <w:r w:rsidR="00FD3CED">
        <w:br/>
      </w:r>
      <w:r w:rsidRPr="00B80F61">
        <w:t>2018 году будет распространен вопросник.</w:t>
      </w:r>
      <w:bookmarkEnd w:id="142"/>
    </w:p>
    <w:p w:rsidR="00B80F61" w:rsidRPr="00B80F61" w:rsidRDefault="00B80F61" w:rsidP="00166A51">
      <w:pPr>
        <w:pStyle w:val="HChGR"/>
      </w:pPr>
      <w:bookmarkStart w:id="143" w:name="bookmark_153"/>
      <w:r w:rsidRPr="00B80F61">
        <w:tab/>
        <w:t>VI.</w:t>
      </w:r>
      <w:r w:rsidRPr="00B80F61">
        <w:tab/>
        <w:t xml:space="preserve">Предложения по поправкам к СПС </w:t>
      </w:r>
      <w:r w:rsidR="00FD3CED">
        <w:br/>
      </w:r>
      <w:r w:rsidRPr="00B80F61">
        <w:t>(пункт 5 повестки дня)</w:t>
      </w:r>
      <w:bookmarkEnd w:id="143"/>
    </w:p>
    <w:p w:rsidR="00B80F61" w:rsidRPr="00B80F61" w:rsidRDefault="00B80F61" w:rsidP="00166A51">
      <w:pPr>
        <w:pStyle w:val="H1GR"/>
      </w:pPr>
      <w:bookmarkStart w:id="144" w:name="bookmark_154"/>
      <w:r w:rsidRPr="00B80F61">
        <w:tab/>
        <w:t>A.</w:t>
      </w:r>
      <w:r w:rsidRPr="00B80F61">
        <w:tab/>
        <w:t>Предложения, по которым еще не приняты решения</w:t>
      </w:r>
      <w:bookmarkStart w:id="145" w:name="_Toc401568246"/>
      <w:bookmarkStart w:id="146" w:name="_Toc401568651"/>
      <w:bookmarkEnd w:id="144"/>
      <w:bookmarkEnd w:id="145"/>
      <w:bookmarkEnd w:id="146"/>
    </w:p>
    <w:p w:rsidR="00B80F61" w:rsidRPr="00B80F61" w:rsidRDefault="00B80F61" w:rsidP="00166A51">
      <w:pPr>
        <w:pStyle w:val="H23GR"/>
      </w:pPr>
      <w:bookmarkStart w:id="147" w:name="bookmark_155"/>
      <w:r w:rsidRPr="00B80F61">
        <w:tab/>
        <w:t>1.</w:t>
      </w:r>
      <w:r w:rsidRPr="00B80F61">
        <w:tab/>
        <w:t>Приложение 1, добавление 2, образцы № 9 и № 11</w:t>
      </w:r>
      <w:bookmarkEnd w:id="147"/>
    </w:p>
    <w:p w:rsidR="00B80F61" w:rsidRPr="00B80F61" w:rsidRDefault="00B80F61" w:rsidP="00B80F61">
      <w:pPr>
        <w:pStyle w:val="SingleTxtGR"/>
      </w:pPr>
      <w:bookmarkStart w:id="148" w:name="bookmark_156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ECE/TRANS/WP.11/2017/10 </w:t>
      </w:r>
      <w:r w:rsidR="00FD3CED">
        <w:br/>
      </w:r>
      <w:r w:rsidR="00FD3CED">
        <w:tab/>
      </w:r>
      <w:r w:rsidR="00FD3CED">
        <w:tab/>
      </w:r>
      <w:r w:rsidR="00FD3CED">
        <w:tab/>
      </w:r>
      <w:r w:rsidR="00FD3CED">
        <w:tab/>
      </w:r>
      <w:r w:rsidR="00FD3CED">
        <w:tab/>
      </w:r>
      <w:r w:rsidRPr="00B80F61">
        <w:t>(Соединенное Королевство)</w:t>
      </w:r>
      <w:bookmarkEnd w:id="148"/>
    </w:p>
    <w:p w:rsidR="00B80F61" w:rsidRPr="00B80F61" w:rsidRDefault="00B80F61" w:rsidP="00B80F61">
      <w:pPr>
        <w:pStyle w:val="SingleTxtGR"/>
      </w:pPr>
      <w:bookmarkStart w:id="149" w:name="bookmark_157"/>
      <w:r w:rsidRPr="00B80F61">
        <w:t>46.</w:t>
      </w:r>
      <w:r w:rsidRPr="00B80F61">
        <w:tab/>
        <w:t>Было отмечено, что, хотя общий подход WP.11 состоит в том, чтобы избегать ссылок на национальные стандарты, ссылку на стандарт Американского общества инженеров по отоплению, холодильной технике и кондиционированию воздуха (ASHRAE) необходимо сохранить, поскольку он заполняет существующие пробелы в действующем стандарте ИСО. После этого разъяснения документ был принят с поправками и теперь включает образцы № 5 и 7 (см. приложение</w:t>
      </w:r>
      <w:r w:rsidR="00FD3CED">
        <w:rPr>
          <w:lang w:val="en-US"/>
        </w:rPr>
        <w:t> </w:t>
      </w:r>
      <w:r w:rsidRPr="00B80F61">
        <w:t>I).</w:t>
      </w:r>
      <w:bookmarkEnd w:id="149"/>
    </w:p>
    <w:p w:rsidR="00B80F61" w:rsidRPr="00B80F61" w:rsidRDefault="00B80F61" w:rsidP="00166A51">
      <w:pPr>
        <w:pStyle w:val="H23GR"/>
      </w:pPr>
      <w:bookmarkStart w:id="150" w:name="bookmark_158"/>
      <w:r w:rsidRPr="00B80F61">
        <w:tab/>
        <w:t>2.</w:t>
      </w:r>
      <w:r w:rsidRPr="00B80F61">
        <w:tab/>
        <w:t>Приложение 1, добавление 2, образцы протоколов испытаний</w:t>
      </w:r>
      <w:bookmarkEnd w:id="150"/>
    </w:p>
    <w:p w:rsidR="00B80F61" w:rsidRPr="00B80F61" w:rsidRDefault="00B80F61" w:rsidP="00B80F61">
      <w:pPr>
        <w:pStyle w:val="SingleTxtGR"/>
      </w:pPr>
      <w:bookmarkStart w:id="151" w:name="bookmark_159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ECE/TRANS/WP.11/2017/11 </w:t>
      </w:r>
      <w:r w:rsidR="00FD3CED">
        <w:br/>
      </w:r>
      <w:r w:rsidR="00FD3CED">
        <w:tab/>
      </w:r>
      <w:r w:rsidR="00FD3CED">
        <w:tab/>
      </w:r>
      <w:r w:rsidR="00FD3CED">
        <w:tab/>
      </w:r>
      <w:r w:rsidR="00FD3CED">
        <w:tab/>
      </w:r>
      <w:r w:rsidR="00FD3CED">
        <w:tab/>
      </w:r>
      <w:r w:rsidRPr="00B80F61">
        <w:t>(Соединенное Королевство)</w:t>
      </w:r>
      <w:bookmarkEnd w:id="151"/>
    </w:p>
    <w:p w:rsidR="00B80F61" w:rsidRPr="00B80F61" w:rsidRDefault="00B80F61" w:rsidP="00B80F61">
      <w:pPr>
        <w:pStyle w:val="SingleTxtGR"/>
      </w:pPr>
      <w:bookmarkStart w:id="152" w:name="bookmark_160"/>
      <w:r w:rsidRPr="00B80F61">
        <w:t>47.</w:t>
      </w:r>
      <w:r w:rsidRPr="00B80F61">
        <w:tab/>
        <w:t>Этот документ был принят (см. приложение I).</w:t>
      </w:r>
      <w:bookmarkEnd w:id="152"/>
    </w:p>
    <w:p w:rsidR="00B80F61" w:rsidRPr="00B80F61" w:rsidRDefault="00B80F61" w:rsidP="00166A51">
      <w:pPr>
        <w:pStyle w:val="H23GR"/>
      </w:pPr>
      <w:bookmarkStart w:id="153" w:name="bookmark_161"/>
      <w:r w:rsidRPr="00B80F61">
        <w:lastRenderedPageBreak/>
        <w:tab/>
        <w:t>3.</w:t>
      </w:r>
      <w:r w:rsidRPr="00B80F61">
        <w:tab/>
        <w:t xml:space="preserve">Методы нахождения неопределенности измерения коэффициента K </w:t>
      </w:r>
      <w:bookmarkEnd w:id="153"/>
    </w:p>
    <w:p w:rsidR="00B80F61" w:rsidRPr="00B80F61" w:rsidRDefault="00B80F61" w:rsidP="00FD3CED">
      <w:pPr>
        <w:pStyle w:val="SingleTxtGR"/>
        <w:jc w:val="left"/>
      </w:pPr>
      <w:bookmarkStart w:id="154" w:name="bookmark_162"/>
      <w:r w:rsidRPr="00B80F61">
        <w:rPr>
          <w:i/>
          <w:iCs/>
        </w:rPr>
        <w:t>Документы:</w:t>
      </w:r>
      <w:r w:rsidRPr="00B80F61">
        <w:tab/>
      </w:r>
      <w:r w:rsidRPr="00B80F61">
        <w:tab/>
      </w:r>
      <w:r w:rsidR="00FD3CED">
        <w:tab/>
      </w:r>
      <w:r w:rsidRPr="00B80F61">
        <w:t xml:space="preserve">ECE/TRANS/WP.11/2017/16 </w:t>
      </w:r>
      <w:r w:rsidR="004B0D45">
        <w:br/>
      </w:r>
      <w:r w:rsidR="004B0D45">
        <w:tab/>
      </w:r>
      <w:r w:rsidR="004B0D45">
        <w:tab/>
      </w:r>
      <w:r w:rsidR="004B0D45">
        <w:tab/>
      </w:r>
      <w:r w:rsidR="004B0D45">
        <w:tab/>
      </w:r>
      <w:r w:rsidR="004B0D45">
        <w:tab/>
      </w:r>
      <w:r w:rsidRPr="00B80F61">
        <w:t xml:space="preserve">(Российская Федерация) </w:t>
      </w:r>
      <w:r w:rsidRPr="00B80F61">
        <w:tab/>
      </w:r>
      <w:r w:rsidRPr="00B80F61">
        <w:tab/>
      </w:r>
      <w:r w:rsidRPr="00B80F61">
        <w:tab/>
      </w:r>
      <w:r w:rsidR="00FD3CED">
        <w:br/>
      </w:r>
      <w:r w:rsidR="00FD3CED">
        <w:tab/>
      </w:r>
      <w:r w:rsidR="00FD3CED">
        <w:tab/>
      </w:r>
      <w:r w:rsidR="00FD3CED">
        <w:tab/>
      </w:r>
      <w:r w:rsidR="00FD3CED">
        <w:tab/>
      </w:r>
      <w:r w:rsidR="00FD3CED">
        <w:tab/>
      </w:r>
      <w:r w:rsidR="004B0D45" w:rsidRPr="00B80F61">
        <w:t>н</w:t>
      </w:r>
      <w:r w:rsidRPr="00B80F61">
        <w:t>еофициальный документ INF.6 (секретариат)</w:t>
      </w:r>
      <w:bookmarkEnd w:id="154"/>
    </w:p>
    <w:p w:rsidR="00B80F61" w:rsidRPr="00B80F61" w:rsidRDefault="00B80F61" w:rsidP="00166A51">
      <w:pPr>
        <w:pStyle w:val="H23GR"/>
      </w:pPr>
      <w:bookmarkStart w:id="155" w:name="bookmark_163"/>
      <w:r w:rsidRPr="00B80F61">
        <w:tab/>
        <w:t>4.</w:t>
      </w:r>
      <w:r w:rsidRPr="00B80F61">
        <w:tab/>
        <w:t xml:space="preserve">Определения терминов для включения в приложение 1 к СПС </w:t>
      </w:r>
      <w:bookmarkEnd w:id="155"/>
    </w:p>
    <w:p w:rsidR="00B80F61" w:rsidRPr="00B80F61" w:rsidRDefault="00B80F61" w:rsidP="00FD3CED">
      <w:pPr>
        <w:pStyle w:val="SingleTxtGR"/>
        <w:jc w:val="left"/>
      </w:pPr>
      <w:bookmarkStart w:id="156" w:name="bookmark_164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ECE/TRANS/WP.11/2017/17 </w:t>
      </w:r>
      <w:r w:rsidR="004B0D45">
        <w:br/>
      </w:r>
      <w:r w:rsidR="004B0D45">
        <w:tab/>
      </w:r>
      <w:r w:rsidR="004B0D45">
        <w:tab/>
      </w:r>
      <w:r w:rsidR="004B0D45">
        <w:tab/>
      </w:r>
      <w:r w:rsidR="004B0D45">
        <w:tab/>
      </w:r>
      <w:r w:rsidR="004B0D45">
        <w:tab/>
      </w:r>
      <w:r w:rsidRPr="00B80F61">
        <w:t>(Российская Федерация)</w:t>
      </w:r>
      <w:bookmarkEnd w:id="156"/>
    </w:p>
    <w:p w:rsidR="00B80F61" w:rsidRPr="00B80F61" w:rsidRDefault="00B80F61" w:rsidP="00166A51">
      <w:pPr>
        <w:pStyle w:val="H23GR"/>
      </w:pPr>
      <w:bookmarkStart w:id="157" w:name="bookmark_165"/>
      <w:r w:rsidRPr="00B80F61">
        <w:tab/>
        <w:t>5.</w:t>
      </w:r>
      <w:r w:rsidRPr="00B80F61">
        <w:tab/>
        <w:t>Поправки к пункту 1 статьи 3 СПС</w:t>
      </w:r>
      <w:bookmarkEnd w:id="157"/>
    </w:p>
    <w:p w:rsidR="00B80F61" w:rsidRPr="00B80F61" w:rsidRDefault="00B80F61" w:rsidP="00FD3CED">
      <w:pPr>
        <w:pStyle w:val="SingleTxtGR"/>
        <w:jc w:val="left"/>
      </w:pPr>
      <w:bookmarkStart w:id="158" w:name="bookmark_166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ECE/TRANS/WP.11/2017/20 </w:t>
      </w:r>
      <w:r w:rsidR="004B0D45">
        <w:br/>
      </w:r>
      <w:r w:rsidR="004B0D45">
        <w:tab/>
      </w:r>
      <w:r w:rsidR="004B0D45">
        <w:tab/>
      </w:r>
      <w:r w:rsidR="004B0D45">
        <w:tab/>
      </w:r>
      <w:r w:rsidR="004B0D45">
        <w:tab/>
      </w:r>
      <w:r w:rsidR="004B0D45">
        <w:tab/>
      </w:r>
      <w:r w:rsidRPr="00B80F61">
        <w:t>(Российская Федерация)</w:t>
      </w:r>
      <w:bookmarkEnd w:id="158"/>
    </w:p>
    <w:p w:rsidR="00B80F61" w:rsidRPr="00B80F61" w:rsidRDefault="00B80F61" w:rsidP="00B80F61">
      <w:pPr>
        <w:pStyle w:val="SingleTxtGR"/>
      </w:pPr>
      <w:bookmarkStart w:id="159" w:name="bookmark_167"/>
      <w:r w:rsidRPr="00B80F61">
        <w:t>48.</w:t>
      </w:r>
      <w:r w:rsidRPr="00B80F61">
        <w:tab/>
        <w:t>Было отмечено, что переводы документов ECE/TRANS/WP.11/2017/16, ECE/TRANS/WP.11/2017/17 и ECE/TRANS/WP.11/2017/20 на английский и французский языки были представлены с опозданием или отсутствовали и у делегаций не было возможности обсудить предложения по поправкам со своими национальными экспертами. В этой связи рассмотрение указанных предложений было решено отложить до следующей сессии. Делегациям было рекомендовано представлять документы в установленный срок во избежание таких проблем в будущем. Секретариат также взаимодействует с Секцией документации с целью совершенствования процесса представления и перевода документов.</w:t>
      </w:r>
      <w:bookmarkEnd w:id="159"/>
    </w:p>
    <w:p w:rsidR="00B80F61" w:rsidRPr="00B80F61" w:rsidRDefault="00B80F61" w:rsidP="00B80F61">
      <w:pPr>
        <w:pStyle w:val="SingleTxtGR"/>
      </w:pPr>
      <w:bookmarkStart w:id="160" w:name="bookmark_168"/>
      <w:r w:rsidRPr="00B80F61">
        <w:t>49.</w:t>
      </w:r>
      <w:r w:rsidRPr="00B80F61">
        <w:tab/>
        <w:t xml:space="preserve">Представитель Российской Федерации направил Рабочей группе документы для получения общих замечаний и предложений. Секретариату было предложено также разместить документы на всех трех языках в хранилище </w:t>
      </w:r>
      <w:r w:rsidR="00166A51">
        <w:br/>
      </w:r>
      <w:r w:rsidRPr="00B80F61">
        <w:t>Google Drive (</w:t>
      </w:r>
      <w:hyperlink r:id="rId11" w:history="1">
        <w:r w:rsidR="00166A51" w:rsidRPr="00166A51">
          <w:rPr>
            <w:rStyle w:val="Hyperlink"/>
            <w:color w:val="auto"/>
          </w:rPr>
          <w:t>https://drive.google.com/drive/folders/0B99gSeDXsPxIQkVZTWda</w:t>
        </w:r>
        <w:r w:rsidR="00166A51" w:rsidRPr="00166A51">
          <w:rPr>
            <w:rStyle w:val="Hyperlink"/>
            <w:color w:val="auto"/>
          </w:rPr>
          <w:br/>
          <w:t>RThCbWM</w:t>
        </w:r>
      </w:hyperlink>
      <w:r w:rsidRPr="00166A51">
        <w:t>), с те</w:t>
      </w:r>
      <w:r w:rsidRPr="00B80F61">
        <w:t>м чтобы члены WP.11 могли направить свои замечания и предложения. Пересмотренные варианты документов, подготовленные с учетом всех полученных комментариев, будут представлены на следующей сессии.</w:t>
      </w:r>
      <w:bookmarkEnd w:id="160"/>
    </w:p>
    <w:p w:rsidR="00B80F61" w:rsidRPr="00B80F61" w:rsidRDefault="00B80F61" w:rsidP="00B80F61">
      <w:pPr>
        <w:pStyle w:val="SingleTxtGR"/>
      </w:pPr>
      <w:bookmarkStart w:id="161" w:name="bookmark_169"/>
      <w:r w:rsidRPr="00B80F61">
        <w:t>50.</w:t>
      </w:r>
      <w:r w:rsidRPr="00B80F61">
        <w:tab/>
        <w:t>Что касается документа ECE/TRANS/WP.11/2017/20, то некоторые страны выразили мнение о том, что возобновление дискуссии по поводу пункта 1 статьи 3 (так называемое «правило 150 км») не является целесообразным, поскольку возможные проблемы можно было бы предотвратить или разрешить посредством надлежащего контроля за качеством продуктов питания.</w:t>
      </w:r>
      <w:bookmarkEnd w:id="161"/>
    </w:p>
    <w:p w:rsidR="00B80F61" w:rsidRPr="00B80F61" w:rsidRDefault="00B80F61" w:rsidP="00B80F61">
      <w:pPr>
        <w:pStyle w:val="SingleTxtGR"/>
      </w:pPr>
      <w:bookmarkStart w:id="162" w:name="bookmark_170"/>
      <w:r w:rsidRPr="00B80F61">
        <w:t>51.</w:t>
      </w:r>
      <w:r w:rsidRPr="00B80F61">
        <w:tab/>
        <w:t>Было отмечено также, что для перевозки скоропортящихся грузов по всему миру используются миллионы контейнеров и что выполнить требование о сертификации этих контейнеров на основании СПС будет технически невозможно. Кроме того, стандарты ИСО для морских контейнеров все в большей степени соответствуют положениям СПС, и поэтому нет необходимости в расширении области применения СПС с целью охвата этих контейнеров.</w:t>
      </w:r>
      <w:bookmarkEnd w:id="162"/>
    </w:p>
    <w:p w:rsidR="00B80F61" w:rsidRPr="00B80F61" w:rsidRDefault="00B80F61" w:rsidP="00B80F61">
      <w:pPr>
        <w:pStyle w:val="SingleTxtGR"/>
      </w:pPr>
      <w:bookmarkStart w:id="163" w:name="bookmark_171"/>
      <w:r w:rsidRPr="00B80F61">
        <w:t>52.</w:t>
      </w:r>
      <w:r w:rsidRPr="00B80F61">
        <w:tab/>
        <w:t>Представитель Российской Федерации уточнил, что цель этого документа заключалась в том, чтобы обеспечить взаимное признание свидетельств ИСО и СПС, поскольку нет никакой практической необходимости в повторной сертификации контейнеров, которые уже были сертифицированы на основании стандартов ИСО или СПС.</w:t>
      </w:r>
      <w:bookmarkEnd w:id="163"/>
    </w:p>
    <w:p w:rsidR="00B80F61" w:rsidRPr="00B80F61" w:rsidRDefault="00B80F61" w:rsidP="00166A51">
      <w:pPr>
        <w:pStyle w:val="H23GR"/>
      </w:pPr>
      <w:bookmarkStart w:id="164" w:name="bookmark_172"/>
      <w:r w:rsidRPr="00B80F61">
        <w:tab/>
        <w:t>6.</w:t>
      </w:r>
      <w:r w:rsidRPr="00B80F61">
        <w:tab/>
        <w:t>Требования к рассмотрению замены хладагента (альтернативным безопасным замещающим хладагентом) для признанной пригодной парокомпрессионной холодильной установки</w:t>
      </w:r>
      <w:bookmarkEnd w:id="164"/>
    </w:p>
    <w:p w:rsidR="00B80F61" w:rsidRPr="00B80F61" w:rsidRDefault="00B80F61" w:rsidP="00FD3CED">
      <w:pPr>
        <w:pStyle w:val="SingleTxtGR"/>
        <w:jc w:val="left"/>
      </w:pPr>
      <w:bookmarkStart w:id="165" w:name="bookmark_173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ECE/TRANS/WP.11/2017/23 (международная </w:t>
      </w:r>
      <w:r w:rsidR="00FD3CED">
        <w:br/>
      </w:r>
      <w:r w:rsidR="00FD3CED">
        <w:tab/>
      </w:r>
      <w:r w:rsidR="00FD3CED">
        <w:tab/>
      </w:r>
      <w:r w:rsidR="00FD3CED">
        <w:tab/>
      </w:r>
      <w:r w:rsidR="00FD3CED">
        <w:tab/>
      </w:r>
      <w:r w:rsidR="00FD3CED">
        <w:tab/>
      </w:r>
      <w:r w:rsidRPr="00B80F61">
        <w:t>федерация «Трансфригорут Интернэшнл»)</w:t>
      </w:r>
      <w:bookmarkEnd w:id="165"/>
    </w:p>
    <w:p w:rsidR="00B80F61" w:rsidRPr="00B80F61" w:rsidRDefault="00B80F61" w:rsidP="00B80F61">
      <w:pPr>
        <w:pStyle w:val="SingleTxtGR"/>
      </w:pPr>
      <w:bookmarkStart w:id="166" w:name="bookmark_174"/>
      <w:r w:rsidRPr="00B80F61">
        <w:t>53.</w:t>
      </w:r>
      <w:r w:rsidRPr="00B80F61">
        <w:tab/>
        <w:t>После некоторых уточнений в отношении пределов неопределенности и испытаний, которые необходимо провести в случае замены используемого хладагента, этот документ был принят с внесенными в него поправками (см. приложение I).</w:t>
      </w:r>
      <w:bookmarkEnd w:id="166"/>
    </w:p>
    <w:p w:rsidR="00B80F61" w:rsidRPr="00B80F61" w:rsidRDefault="00B80F61" w:rsidP="00166A51">
      <w:pPr>
        <w:pStyle w:val="H1GR"/>
      </w:pPr>
      <w:bookmarkStart w:id="167" w:name="bookmark_175"/>
      <w:r w:rsidRPr="00B80F61">
        <w:lastRenderedPageBreak/>
        <w:tab/>
        <w:t>B.</w:t>
      </w:r>
      <w:r w:rsidRPr="00B80F61">
        <w:tab/>
        <w:t>Новые предложения</w:t>
      </w:r>
      <w:bookmarkEnd w:id="167"/>
    </w:p>
    <w:p w:rsidR="00B80F61" w:rsidRPr="00B80F61" w:rsidRDefault="00B80F61" w:rsidP="00166A51">
      <w:pPr>
        <w:pStyle w:val="H23GR"/>
      </w:pPr>
      <w:bookmarkStart w:id="168" w:name="bookmark_176"/>
      <w:r w:rsidRPr="00B80F61">
        <w:tab/>
        <w:t>1.</w:t>
      </w:r>
      <w:r w:rsidRPr="00B80F61">
        <w:tab/>
        <w:t>Свидетельство о соответствии новых транспортных средств, передаваемых в страну регистрации оператора</w:t>
      </w:r>
      <w:bookmarkEnd w:id="168"/>
    </w:p>
    <w:p w:rsidR="00B80F61" w:rsidRPr="00B80F61" w:rsidRDefault="00B80F61" w:rsidP="00B80F61">
      <w:pPr>
        <w:pStyle w:val="SingleTxtGR"/>
      </w:pPr>
      <w:bookmarkStart w:id="169" w:name="bookmark_177"/>
      <w:r w:rsidRPr="00B80F61">
        <w:rPr>
          <w:i/>
          <w:iCs/>
        </w:rPr>
        <w:t>Документы:</w:t>
      </w:r>
      <w:r w:rsidRPr="00B80F61">
        <w:tab/>
      </w:r>
      <w:r w:rsidRPr="00B80F61">
        <w:tab/>
      </w:r>
      <w:r w:rsidR="00FD3CED">
        <w:tab/>
      </w:r>
      <w:r w:rsidRPr="00B80F61">
        <w:t>ECE/TRANS/WP.</w:t>
      </w:r>
      <w:r w:rsidR="00166A51">
        <w:t xml:space="preserve">11/2017/4 (Нидерланды) </w:t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4B0D45" w:rsidRPr="00B80F61">
        <w:t>н</w:t>
      </w:r>
      <w:r w:rsidRPr="00B80F61">
        <w:t>еофициальный документ INF.9 (Нидерланды)</w:t>
      </w:r>
      <w:bookmarkEnd w:id="169"/>
    </w:p>
    <w:p w:rsidR="00B80F61" w:rsidRPr="00B80F61" w:rsidRDefault="00B80F61" w:rsidP="00B80F61">
      <w:pPr>
        <w:pStyle w:val="SingleTxtGR"/>
      </w:pPr>
      <w:bookmarkStart w:id="170" w:name="bookmark_178"/>
      <w:r w:rsidRPr="00B80F61">
        <w:t>54.</w:t>
      </w:r>
      <w:r w:rsidRPr="00B80F61">
        <w:tab/>
        <w:t>Было подчеркнуто, что ответственность за выдачу свидетельств о соответствии несет компетентный орган страны изготовления. Было разъяснено также, что компетентный орган может назначить компетентное учреждение/компетентную структуру по выдаче этих свидетельств.</w:t>
      </w:r>
      <w:bookmarkEnd w:id="170"/>
    </w:p>
    <w:p w:rsidR="00B80F61" w:rsidRPr="00B80F61" w:rsidRDefault="00B80F61" w:rsidP="00B80F61">
      <w:pPr>
        <w:pStyle w:val="SingleTxtGR"/>
      </w:pPr>
      <w:bookmarkStart w:id="171" w:name="bookmark_179"/>
      <w:r w:rsidRPr="00B80F61">
        <w:t>55.</w:t>
      </w:r>
      <w:r w:rsidRPr="00B80F61">
        <w:tab/>
        <w:t>Это предложение принято не было. Поскольку, по мнению некоторых делегаций, передачу транспортных средств между странами следует упростить, Рабочая группа решила учредить неофициальную рабочую группу, организованную представителем Нидерландов, со следующим мандатом:</w:t>
      </w:r>
      <w:bookmarkEnd w:id="171"/>
    </w:p>
    <w:p w:rsidR="00B80F61" w:rsidRPr="00B80F61" w:rsidRDefault="00B80F61" w:rsidP="00B80F61">
      <w:pPr>
        <w:pStyle w:val="SingleTxtGR"/>
        <w:rPr>
          <w:i/>
          <w:iCs/>
        </w:rPr>
      </w:pPr>
      <w:bookmarkStart w:id="172" w:name="bookmark_180"/>
      <w:r w:rsidRPr="00B80F61">
        <w:rPr>
          <w:i/>
          <w:iCs/>
        </w:rPr>
        <w:t xml:space="preserve">Обсуждение и разработка предложений по созданию максимально эффективной системы допущения и сертификации транспортных средств, экономия усилий по получению и продлению срока действия допущений/свидетельств и обеспечение соответствия транспортных средств применимым требованиям путем оправданного наблюдения и надзора за рынком. </w:t>
      </w:r>
      <w:bookmarkEnd w:id="172"/>
    </w:p>
    <w:p w:rsidR="00B80F61" w:rsidRPr="00B80F61" w:rsidRDefault="00B80F61" w:rsidP="00B80F61">
      <w:pPr>
        <w:pStyle w:val="SingleTxtGR"/>
        <w:rPr>
          <w:i/>
          <w:iCs/>
        </w:rPr>
      </w:pPr>
      <w:bookmarkStart w:id="173" w:name="bookmark_181"/>
      <w:r w:rsidRPr="00B80F61">
        <w:rPr>
          <w:i/>
          <w:iCs/>
        </w:rPr>
        <w:t>Рабочая группа должна представить свои выводы и предложения WP.11.</w:t>
      </w:r>
      <w:bookmarkEnd w:id="173"/>
    </w:p>
    <w:p w:rsidR="00B80F61" w:rsidRPr="00B80F61" w:rsidRDefault="00B80F61" w:rsidP="00B80F61">
      <w:pPr>
        <w:pStyle w:val="SingleTxtGR"/>
      </w:pPr>
      <w:bookmarkStart w:id="174" w:name="bookmark_182"/>
      <w:r w:rsidRPr="00B80F61">
        <w:t>56.</w:t>
      </w:r>
      <w:r w:rsidRPr="00B80F61">
        <w:tab/>
        <w:t>Все члены WP.11 получат приглашение от организатора неофициальной рабочей группы.</w:t>
      </w:r>
      <w:bookmarkEnd w:id="174"/>
    </w:p>
    <w:p w:rsidR="00B80F61" w:rsidRPr="00B80F61" w:rsidRDefault="00B80F61" w:rsidP="00166A51">
      <w:pPr>
        <w:pStyle w:val="H23GR"/>
      </w:pPr>
      <w:bookmarkStart w:id="175" w:name="bookmark_183"/>
      <w:r w:rsidRPr="00B80F61">
        <w:tab/>
        <w:t>2.</w:t>
      </w:r>
      <w:r w:rsidRPr="00B80F61">
        <w:tab/>
        <w:t>Методология допущения холодильной установки, в которой используется сжиженный газ, отдельно от транспортного средства</w:t>
      </w:r>
      <w:bookmarkEnd w:id="175"/>
    </w:p>
    <w:p w:rsidR="00B80F61" w:rsidRPr="00B80F61" w:rsidRDefault="00B80F61" w:rsidP="00166A51">
      <w:pPr>
        <w:pStyle w:val="SingleTxtGR"/>
        <w:jc w:val="left"/>
      </w:pPr>
      <w:bookmarkStart w:id="176" w:name="bookmark_184"/>
      <w:r w:rsidRPr="00B80F61">
        <w:rPr>
          <w:i/>
          <w:iCs/>
        </w:rPr>
        <w:t>Документы:</w:t>
      </w:r>
      <w:r w:rsidRPr="00B80F61">
        <w:tab/>
      </w:r>
      <w:r w:rsidRPr="00B80F61">
        <w:tab/>
      </w:r>
      <w:r w:rsidR="00FD3CED">
        <w:tab/>
      </w:r>
      <w:r w:rsidRPr="00B80F61">
        <w:t xml:space="preserve">ECE/TRANS/WP.11/2017/5 и Corr.1 </w:t>
      </w:r>
      <w:r w:rsidR="00166A51">
        <w:br/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FD3CED">
        <w:tab/>
      </w:r>
      <w:r w:rsidRPr="00B80F61">
        <w:t>(Франция и Нидерланды)</w:t>
      </w:r>
      <w:bookmarkEnd w:id="176"/>
    </w:p>
    <w:p w:rsidR="00B80F61" w:rsidRPr="00B80F61" w:rsidRDefault="00B80F61" w:rsidP="00B80F61">
      <w:pPr>
        <w:pStyle w:val="SingleTxtGR"/>
      </w:pPr>
      <w:bookmarkStart w:id="177" w:name="bookmark_185"/>
      <w:r w:rsidRPr="00B80F61">
        <w:t>57.</w:t>
      </w:r>
      <w:r w:rsidRPr="00B80F61">
        <w:tab/>
        <w:t>После нескольких уточнений этот документ был принят с исправлениями, содержащимися в Corr.1 (см. приложение I).</w:t>
      </w:r>
      <w:bookmarkEnd w:id="177"/>
    </w:p>
    <w:p w:rsidR="00B80F61" w:rsidRPr="00B80F61" w:rsidRDefault="00B80F61" w:rsidP="00166A51">
      <w:pPr>
        <w:pStyle w:val="H23GR"/>
      </w:pPr>
      <w:bookmarkStart w:id="178" w:name="bookmark_186"/>
      <w:r w:rsidRPr="00B80F61">
        <w:tab/>
        <w:t>3.</w:t>
      </w:r>
      <w:r w:rsidRPr="00B80F61">
        <w:tab/>
        <w:t>Предложение по дополнительным требованиям к измерению коэффициента К несъемных перегородок многокамерных транспортных средств</w:t>
      </w:r>
      <w:bookmarkEnd w:id="178"/>
    </w:p>
    <w:p w:rsidR="00B80F61" w:rsidRPr="00B80F61" w:rsidRDefault="00B80F61" w:rsidP="00B80F61">
      <w:pPr>
        <w:pStyle w:val="SingleTxtGR"/>
      </w:pPr>
      <w:bookmarkStart w:id="179" w:name="bookmark_187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>ECE/TRANS/WP.11/2017/7 (Франция)</w:t>
      </w:r>
      <w:bookmarkEnd w:id="179"/>
    </w:p>
    <w:p w:rsidR="00B80F61" w:rsidRPr="00B80F61" w:rsidRDefault="00B80F61" w:rsidP="00B80F61">
      <w:pPr>
        <w:pStyle w:val="SingleTxtGR"/>
      </w:pPr>
      <w:bookmarkStart w:id="180" w:name="bookmark_188"/>
      <w:r w:rsidRPr="00B80F61">
        <w:t>58.</w:t>
      </w:r>
      <w:r w:rsidRPr="00B80F61">
        <w:tab/>
        <w:t>Было отмечено, что в этом предложении не учтены возможные частичные потери через стенку кузова для испытуемой камеры, которые приводят к снижению теплового потока и уменьшению значения К, и что методика расчета коэффициента K не была четко разработана.</w:t>
      </w:r>
      <w:bookmarkEnd w:id="180"/>
    </w:p>
    <w:p w:rsidR="00B80F61" w:rsidRPr="00B80F61" w:rsidRDefault="00B80F61" w:rsidP="00B80F61">
      <w:pPr>
        <w:pStyle w:val="SingleTxtGR"/>
      </w:pPr>
      <w:bookmarkStart w:id="181" w:name="bookmark_189"/>
      <w:r w:rsidRPr="00B80F61">
        <w:t>59.</w:t>
      </w:r>
      <w:r w:rsidRPr="00B80F61">
        <w:tab/>
        <w:t>Представитель Российской Федерации отметил, что перевод этого документа на русский язык является весьма слабым и содержит ряд технических ошибок, и по этой причине Российская Федерация не смогла занять четкую позицию по предложенным поправкам. Секретариату было поручено переиздать этот документ, улучшив качество его перевода на русский язык.</w:t>
      </w:r>
      <w:bookmarkEnd w:id="181"/>
    </w:p>
    <w:p w:rsidR="00B80F61" w:rsidRPr="00B80F61" w:rsidRDefault="00B80F61" w:rsidP="00B80F61">
      <w:pPr>
        <w:pStyle w:val="SingleTxtGR"/>
      </w:pPr>
      <w:bookmarkStart w:id="182" w:name="bookmark_190"/>
      <w:r w:rsidRPr="00B80F61">
        <w:t>60.</w:t>
      </w:r>
      <w:r w:rsidRPr="00B80F61">
        <w:tab/>
        <w:t>Представитель Франции решил представить пересмотренное предложение на следующей сессии с учетом замечаний, высказанных в ходе обсуждения.</w:t>
      </w:r>
      <w:bookmarkEnd w:id="182"/>
    </w:p>
    <w:p w:rsidR="00B80F61" w:rsidRPr="00B80F61" w:rsidRDefault="00B80F61" w:rsidP="00166A51">
      <w:pPr>
        <w:pStyle w:val="H23GR"/>
      </w:pPr>
      <w:bookmarkStart w:id="183" w:name="bookmark_191"/>
      <w:r w:rsidRPr="00B80F61">
        <w:tab/>
        <w:t>4.</w:t>
      </w:r>
      <w:r w:rsidRPr="00B80F61">
        <w:tab/>
        <w:t>Предложение о включении в пункт 6.2 добавления 2 к приложению 1 процедуры испытания эффективности мультитемпературных транспортных средств-рефрижераторов, находящихся в эксплуатации</w:t>
      </w:r>
      <w:bookmarkEnd w:id="183"/>
    </w:p>
    <w:p w:rsidR="00B80F61" w:rsidRPr="00B80F61" w:rsidRDefault="00B80F61" w:rsidP="00B80F61">
      <w:pPr>
        <w:pStyle w:val="SingleTxtGR"/>
      </w:pPr>
      <w:bookmarkStart w:id="184" w:name="bookmark_192"/>
      <w:r w:rsidRPr="00B80F61">
        <w:rPr>
          <w:i/>
          <w:iCs/>
        </w:rPr>
        <w:t>Документы:</w:t>
      </w:r>
      <w:r w:rsidRPr="00B80F61">
        <w:tab/>
      </w:r>
      <w:r w:rsidRPr="00B80F61">
        <w:tab/>
      </w:r>
      <w:r w:rsidR="00FD3CED">
        <w:tab/>
      </w:r>
      <w:r w:rsidRPr="00B80F61">
        <w:t>ECE/TRANS/WP.11/2017/8 и Corr.1 (Франция)</w:t>
      </w:r>
      <w:bookmarkEnd w:id="184"/>
    </w:p>
    <w:p w:rsidR="00B80F61" w:rsidRPr="00B80F61" w:rsidRDefault="00B80F61" w:rsidP="00B80F61">
      <w:pPr>
        <w:pStyle w:val="SingleTxtGR"/>
      </w:pPr>
      <w:bookmarkStart w:id="185" w:name="bookmark_193"/>
      <w:r w:rsidRPr="00B80F61">
        <w:t>Этот документ был принят с исправлениями, содержащимися в Corr.1 (см. приложение I).</w:t>
      </w:r>
      <w:bookmarkEnd w:id="185"/>
    </w:p>
    <w:p w:rsidR="00B80F61" w:rsidRPr="00B80F61" w:rsidRDefault="00B80F61" w:rsidP="00B80F61">
      <w:pPr>
        <w:pStyle w:val="SingleTxtGR"/>
      </w:pPr>
      <w:bookmarkStart w:id="186" w:name="bookmark_194"/>
      <w:r w:rsidRPr="00B80F61">
        <w:lastRenderedPageBreak/>
        <w:t>61.</w:t>
      </w:r>
      <w:r w:rsidRPr="00B80F61">
        <w:tab/>
        <w:t>Рабочая группа просила делегацию Франции представить предложение для включения в Справочник СПС на следующей сессии, содержащее уточнения/разъяснения в отношении принятой процедуры для облегчения ее применения.</w:t>
      </w:r>
      <w:bookmarkEnd w:id="186"/>
    </w:p>
    <w:p w:rsidR="00B80F61" w:rsidRPr="00B80F61" w:rsidRDefault="00B80F61" w:rsidP="00166A51">
      <w:pPr>
        <w:pStyle w:val="H23GR"/>
      </w:pPr>
      <w:bookmarkStart w:id="187" w:name="bookmark_195"/>
      <w:r w:rsidRPr="00B80F61">
        <w:tab/>
        <w:t>5.</w:t>
      </w:r>
      <w:r w:rsidRPr="00B80F61">
        <w:tab/>
        <w:t>Пункты 2.1.8, 2.2.9, 3.1.4, 3.2.3 и 3.3.4 добавления 2 к приложению 1</w:t>
      </w:r>
      <w:bookmarkEnd w:id="187"/>
    </w:p>
    <w:p w:rsidR="00B80F61" w:rsidRPr="00B80F61" w:rsidRDefault="00B80F61" w:rsidP="00FD3CED">
      <w:pPr>
        <w:pStyle w:val="SingleTxtGR"/>
        <w:jc w:val="left"/>
      </w:pPr>
      <w:bookmarkStart w:id="188" w:name="bookmark_196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ECE/TRANS/WP.11/2017/9 </w:t>
      </w:r>
      <w:r w:rsidR="004B0D45">
        <w:br/>
      </w:r>
      <w:r w:rsidR="004B0D45">
        <w:tab/>
      </w:r>
      <w:r w:rsidR="004B0D45">
        <w:tab/>
      </w:r>
      <w:r w:rsidR="004B0D45">
        <w:tab/>
      </w:r>
      <w:r w:rsidR="004B0D45">
        <w:tab/>
      </w:r>
      <w:r w:rsidR="004B0D45">
        <w:tab/>
      </w:r>
      <w:r w:rsidR="004B0D45">
        <w:tab/>
      </w:r>
      <w:r w:rsidRPr="00B80F61">
        <w:t>(Соединенное Королевство)</w:t>
      </w:r>
      <w:bookmarkEnd w:id="188"/>
    </w:p>
    <w:p w:rsidR="00B80F61" w:rsidRPr="00B80F61" w:rsidRDefault="00B80F61" w:rsidP="00B80F61">
      <w:pPr>
        <w:pStyle w:val="SingleTxtGR"/>
      </w:pPr>
      <w:bookmarkStart w:id="189" w:name="bookmark_197"/>
      <w:r w:rsidRPr="00B80F61">
        <w:t>62.</w:t>
      </w:r>
      <w:r w:rsidRPr="00B80F61">
        <w:tab/>
        <w:t>Было принято предложение, сформулированное в варианте 2 (см. приложение I).</w:t>
      </w:r>
      <w:bookmarkEnd w:id="189"/>
    </w:p>
    <w:p w:rsidR="00B80F61" w:rsidRPr="00B80F61" w:rsidRDefault="00B80F61" w:rsidP="00B80F61">
      <w:pPr>
        <w:pStyle w:val="SingleTxtGR"/>
      </w:pPr>
      <w:bookmarkStart w:id="190" w:name="bookmark_198"/>
      <w:r w:rsidRPr="00B80F61">
        <w:t>63.</w:t>
      </w:r>
      <w:r w:rsidRPr="00B80F61">
        <w:tab/>
        <w:t>Обсуждение предложений, содержащихся в документах ECE/TRANS/</w:t>
      </w:r>
      <w:r w:rsidR="00FD3CED">
        <w:br/>
      </w:r>
      <w:r w:rsidRPr="00B80F61">
        <w:t>WP.11/2017/18, ECE/TRANS/WP.11/2017/19 и ECE/TRANS/WP.11/2017/22, было перенесено на следующую сессию по причинам, о которых уже говорилось в пунктах 47 и 48 настоящего доклада.</w:t>
      </w:r>
      <w:bookmarkEnd w:id="190"/>
    </w:p>
    <w:p w:rsidR="00B80F61" w:rsidRPr="00B80F61" w:rsidRDefault="00B80F61" w:rsidP="00166A51">
      <w:pPr>
        <w:pStyle w:val="H23GR"/>
      </w:pPr>
      <w:bookmarkStart w:id="191" w:name="bookmark_199"/>
      <w:r w:rsidRPr="00B80F61">
        <w:tab/>
        <w:t>6.</w:t>
      </w:r>
      <w:r w:rsidRPr="00B80F61">
        <w:tab/>
        <w:t>Учет погрешности (неопределенности) измерения общего коэффициента теплопередачи кузова при установлении категории специального транспортного средства, а также исправление опечатки в русскоязычном тексте</w:t>
      </w:r>
      <w:bookmarkEnd w:id="191"/>
    </w:p>
    <w:p w:rsidR="00B80F61" w:rsidRPr="00B80F61" w:rsidRDefault="00B80F61" w:rsidP="00FD3CED">
      <w:pPr>
        <w:pStyle w:val="SingleTxtGR"/>
        <w:jc w:val="left"/>
      </w:pPr>
      <w:bookmarkStart w:id="192" w:name="bookmark_200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(ECE/TRANS/WP.11/2017/18) </w:t>
      </w:r>
      <w:r w:rsidR="00A307CE">
        <w:br/>
      </w:r>
      <w:r w:rsidR="00A307CE">
        <w:tab/>
      </w:r>
      <w:r w:rsidR="00A307CE">
        <w:tab/>
      </w:r>
      <w:r w:rsidR="00A307CE">
        <w:tab/>
      </w:r>
      <w:r w:rsidR="00A307CE">
        <w:tab/>
      </w:r>
      <w:r w:rsidR="00A307CE">
        <w:tab/>
      </w:r>
      <w:r w:rsidRPr="00B80F61">
        <w:t>(Российская Федерация)</w:t>
      </w:r>
      <w:bookmarkEnd w:id="192"/>
    </w:p>
    <w:p w:rsidR="00B80F61" w:rsidRPr="00B80F61" w:rsidRDefault="00B80F61" w:rsidP="00B80F61">
      <w:pPr>
        <w:pStyle w:val="SingleTxtGR"/>
      </w:pPr>
      <w:bookmarkStart w:id="193" w:name="bookmark_201"/>
      <w:r w:rsidRPr="00B80F61">
        <w:t>64.</w:t>
      </w:r>
      <w:r w:rsidRPr="00B80F61">
        <w:tab/>
        <w:t>Часть предложения, касающаяся исправления опечатки в тексте СПС на русском языке, была принята (см. приложение II).</w:t>
      </w:r>
      <w:bookmarkEnd w:id="193"/>
    </w:p>
    <w:p w:rsidR="00B80F61" w:rsidRPr="00B80F61" w:rsidRDefault="00B80F61" w:rsidP="00166A51">
      <w:pPr>
        <w:pStyle w:val="H23GR"/>
      </w:pPr>
      <w:bookmarkStart w:id="194" w:name="bookmark_202"/>
      <w:r w:rsidRPr="00B80F61">
        <w:tab/>
        <w:t>7.</w:t>
      </w:r>
      <w:r w:rsidRPr="00B80F61">
        <w:tab/>
        <w:t>Учет той части мощности вентиляторов, используемых при теплотехнических испытаниях для обеспечения циркуляции воздуха, которая превращается в тепло</w:t>
      </w:r>
      <w:bookmarkEnd w:id="194"/>
    </w:p>
    <w:p w:rsidR="00B80F61" w:rsidRPr="00B80F61" w:rsidRDefault="00B80F61" w:rsidP="00FD3CED">
      <w:pPr>
        <w:pStyle w:val="SingleTxtGR"/>
        <w:jc w:val="left"/>
      </w:pPr>
      <w:bookmarkStart w:id="195" w:name="bookmark_203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(ECE/TRANS/WP.11/2017/19) </w:t>
      </w:r>
      <w:r w:rsidR="00A307CE">
        <w:br/>
      </w:r>
      <w:r w:rsidR="00A307CE">
        <w:tab/>
      </w:r>
      <w:r w:rsidR="00A307CE">
        <w:tab/>
      </w:r>
      <w:r w:rsidR="00A307CE">
        <w:tab/>
      </w:r>
      <w:r w:rsidR="00A307CE">
        <w:tab/>
      </w:r>
      <w:r w:rsidR="00A307CE">
        <w:tab/>
      </w:r>
      <w:r w:rsidRPr="00B80F61">
        <w:t>(Российская Федерация)</w:t>
      </w:r>
      <w:bookmarkEnd w:id="195"/>
    </w:p>
    <w:p w:rsidR="00B80F61" w:rsidRPr="00B80F61" w:rsidRDefault="00B80F61" w:rsidP="00166A51">
      <w:pPr>
        <w:pStyle w:val="H23GR"/>
      </w:pPr>
      <w:bookmarkStart w:id="196" w:name="bookmark_204"/>
      <w:r w:rsidRPr="00B80F61">
        <w:tab/>
        <w:t>8.</w:t>
      </w:r>
      <w:r w:rsidRPr="00B80F61">
        <w:tab/>
        <w:t>Редакционная правка текста СПС в русскоязычном переводе, касающаяся колесных арок</w:t>
      </w:r>
      <w:bookmarkEnd w:id="196"/>
    </w:p>
    <w:p w:rsidR="00B80F61" w:rsidRPr="00B80F61" w:rsidRDefault="00B80F61" w:rsidP="00FD3CED">
      <w:pPr>
        <w:pStyle w:val="SingleTxtGR"/>
        <w:jc w:val="left"/>
      </w:pPr>
      <w:bookmarkStart w:id="197" w:name="bookmark_205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(ECE/TRANS/WP.11/2017/21) </w:t>
      </w:r>
      <w:r w:rsidR="00A307CE">
        <w:br/>
      </w:r>
      <w:r w:rsidR="00A307CE">
        <w:tab/>
      </w:r>
      <w:r w:rsidR="00A307CE">
        <w:tab/>
      </w:r>
      <w:r w:rsidR="00A307CE">
        <w:tab/>
      </w:r>
      <w:r w:rsidR="00A307CE">
        <w:tab/>
      </w:r>
      <w:r w:rsidR="00A307CE">
        <w:tab/>
      </w:r>
      <w:r w:rsidRPr="00B80F61">
        <w:t>(Российская Федерация)</w:t>
      </w:r>
      <w:bookmarkEnd w:id="197"/>
    </w:p>
    <w:p w:rsidR="00B80F61" w:rsidRPr="00B80F61" w:rsidRDefault="00B80F61" w:rsidP="00B80F61">
      <w:pPr>
        <w:pStyle w:val="SingleTxtGR"/>
      </w:pPr>
      <w:bookmarkStart w:id="198" w:name="bookmark_206"/>
      <w:r w:rsidRPr="00B80F61">
        <w:t>65.</w:t>
      </w:r>
      <w:r w:rsidRPr="00B80F61">
        <w:tab/>
        <w:t>Предложение об исправлении опечатки в тексте СПС на русском языке было принято (см. приложение II).</w:t>
      </w:r>
      <w:bookmarkEnd w:id="198"/>
    </w:p>
    <w:p w:rsidR="00B80F61" w:rsidRPr="00B80F61" w:rsidRDefault="00B80F61" w:rsidP="00166A51">
      <w:pPr>
        <w:pStyle w:val="H23GR"/>
      </w:pPr>
      <w:bookmarkStart w:id="199" w:name="bookmark_207"/>
      <w:r w:rsidRPr="00B80F61">
        <w:tab/>
        <w:t>9.</w:t>
      </w:r>
      <w:r w:rsidRPr="00B80F61">
        <w:tab/>
        <w:t>Предложение по поправке к СПС, касающееся заключения о присвоении класса транспортному средству-леднику, транспортному средству-рефрижератору, отапливаемому транспортному средству и транспортному средству-рефрижератору и отапливаемому при допущении новых транспортных средств</w:t>
      </w:r>
      <w:bookmarkEnd w:id="199"/>
    </w:p>
    <w:p w:rsidR="00B80F61" w:rsidRPr="00B80F61" w:rsidRDefault="00B80F61" w:rsidP="00FD3CED">
      <w:pPr>
        <w:pStyle w:val="SingleTxtGR"/>
        <w:jc w:val="left"/>
      </w:pPr>
      <w:bookmarkStart w:id="200" w:name="bookmark_208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Pr="00B80F61">
        <w:t xml:space="preserve">(ECE/TRANS/WP.11/2017/22) </w:t>
      </w:r>
      <w:r w:rsidR="00A307CE">
        <w:br/>
      </w:r>
      <w:r w:rsidR="00A307CE">
        <w:tab/>
      </w:r>
      <w:r w:rsidR="00A307CE">
        <w:tab/>
      </w:r>
      <w:r w:rsidR="00A307CE">
        <w:tab/>
      </w:r>
      <w:r w:rsidR="00A307CE">
        <w:tab/>
      </w:r>
      <w:r w:rsidR="00A307CE">
        <w:tab/>
      </w:r>
      <w:r w:rsidRPr="00B80F61">
        <w:t>(Российская Федерация)</w:t>
      </w:r>
      <w:bookmarkEnd w:id="200"/>
    </w:p>
    <w:p w:rsidR="00B80F61" w:rsidRPr="00B80F61" w:rsidRDefault="00B80F61" w:rsidP="00166A51">
      <w:pPr>
        <w:pStyle w:val="H23GR"/>
      </w:pPr>
      <w:bookmarkStart w:id="201" w:name="bookmark_209"/>
      <w:r w:rsidRPr="00B80F61">
        <w:tab/>
        <w:t>10.</w:t>
      </w:r>
      <w:r w:rsidRPr="00B80F61">
        <w:tab/>
        <w:t>Исправление к СПС</w:t>
      </w:r>
      <w:bookmarkEnd w:id="201"/>
    </w:p>
    <w:p w:rsidR="00B80F61" w:rsidRPr="00B80F61" w:rsidRDefault="00B80F61" w:rsidP="00B80F61">
      <w:pPr>
        <w:pStyle w:val="SingleTxtGR"/>
      </w:pPr>
      <w:bookmarkStart w:id="202" w:name="bookmark_210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FD3CED">
        <w:tab/>
      </w:r>
      <w:r w:rsidR="00FD3CED">
        <w:tab/>
      </w:r>
      <w:r w:rsidR="00A307CE" w:rsidRPr="00B80F61">
        <w:t>н</w:t>
      </w:r>
      <w:r w:rsidRPr="00B80F61">
        <w:t>еофициальный документ INF.7 (секретариат)</w:t>
      </w:r>
      <w:bookmarkEnd w:id="202"/>
    </w:p>
    <w:p w:rsidR="00B80F61" w:rsidRPr="00B80F61" w:rsidRDefault="00B80F61" w:rsidP="00B80F61">
      <w:pPr>
        <w:pStyle w:val="SingleTxtGR"/>
      </w:pPr>
      <w:bookmarkStart w:id="203" w:name="bookmark_211"/>
      <w:r w:rsidRPr="00B80F61">
        <w:t>66.</w:t>
      </w:r>
      <w:r w:rsidRPr="00B80F61">
        <w:tab/>
        <w:t>Этот документ был принят (см. приложение II).</w:t>
      </w:r>
      <w:bookmarkEnd w:id="203"/>
    </w:p>
    <w:p w:rsidR="00B80F61" w:rsidRPr="00B80F61" w:rsidRDefault="00B80F61" w:rsidP="00166A51">
      <w:pPr>
        <w:pStyle w:val="H23GR"/>
      </w:pPr>
      <w:bookmarkStart w:id="204" w:name="bookmark_212"/>
      <w:r w:rsidRPr="00B80F61">
        <w:lastRenderedPageBreak/>
        <w:tab/>
        <w:t>11.</w:t>
      </w:r>
      <w:r w:rsidRPr="00B80F61">
        <w:tab/>
        <w:t>Предложение о внесении поправок в добавления 2 и 4 к приложению 1: транспортные средства с мультитемпературным режимом – выдача свидетельства и опознавательное обозначение</w:t>
      </w:r>
      <w:bookmarkEnd w:id="204"/>
    </w:p>
    <w:p w:rsidR="00B80F61" w:rsidRPr="00B80F61" w:rsidRDefault="00B80F61" w:rsidP="00B80F61">
      <w:pPr>
        <w:pStyle w:val="SingleTxtGR"/>
      </w:pPr>
      <w:bookmarkStart w:id="205" w:name="bookmark_213"/>
      <w:r w:rsidRPr="00B80F61">
        <w:rPr>
          <w:i/>
          <w:iCs/>
        </w:rPr>
        <w:t>Документы:</w:t>
      </w:r>
      <w:r w:rsidR="00166A51">
        <w:tab/>
      </w:r>
      <w:r w:rsidR="00FD3CED">
        <w:tab/>
      </w:r>
      <w:r w:rsidR="00FD3CED">
        <w:tab/>
      </w:r>
      <w:r w:rsidRPr="00B80F61">
        <w:t>ECE/TRANS/W</w:t>
      </w:r>
      <w:r w:rsidR="00166A51">
        <w:t xml:space="preserve">P.11/2017/6 (Франция) </w:t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A307CE" w:rsidRPr="00B80F61">
        <w:t>н</w:t>
      </w:r>
      <w:r w:rsidRPr="00B80F61">
        <w:t xml:space="preserve">еофициальные документы INF.8 (Нидерланды) </w:t>
      </w:r>
      <w:r w:rsidR="00166A51">
        <w:br/>
      </w:r>
      <w:r w:rsidR="00166A51">
        <w:tab/>
      </w:r>
      <w:r w:rsidR="00166A51">
        <w:tab/>
      </w:r>
      <w:r w:rsidR="00166A51">
        <w:tab/>
      </w:r>
      <w:r w:rsidR="00FD3CED">
        <w:tab/>
      </w:r>
      <w:r w:rsidR="00FD3CED">
        <w:tab/>
      </w:r>
      <w:r w:rsidRPr="00B80F61">
        <w:t>и INF.13 (Франция)</w:t>
      </w:r>
      <w:bookmarkEnd w:id="205"/>
    </w:p>
    <w:p w:rsidR="00B80F61" w:rsidRPr="00B80F61" w:rsidRDefault="00B80F61" w:rsidP="00B80F61">
      <w:pPr>
        <w:pStyle w:val="SingleTxtGR"/>
      </w:pPr>
      <w:bookmarkStart w:id="206" w:name="bookmark_214"/>
      <w:r w:rsidRPr="00B80F61">
        <w:t>67.</w:t>
      </w:r>
      <w:r w:rsidRPr="00B80F61">
        <w:tab/>
        <w:t>После того, как ряд вопросов, вызывающих обеспокоенность у Рабочей группы, был учтен в новом предложении, содержащемся в неофициальном документе INF.13, документ был принят с внесенными в него поправками (см. приложение I).</w:t>
      </w:r>
      <w:bookmarkEnd w:id="206"/>
    </w:p>
    <w:p w:rsidR="00B80F61" w:rsidRPr="00B80F61" w:rsidRDefault="00B80F61" w:rsidP="00B80F61">
      <w:pPr>
        <w:pStyle w:val="SingleTxtGR"/>
      </w:pPr>
      <w:bookmarkStart w:id="207" w:name="bookmark_215"/>
      <w:r w:rsidRPr="00B80F61">
        <w:t>68.</w:t>
      </w:r>
      <w:r w:rsidRPr="00B80F61">
        <w:tab/>
        <w:t>Было решено исключить ссылку на методику расчета, разработанную «Трансфригорут интернэшнл», поскольку для одной и той же цели может использоваться несколько методик и перечислять их всех в Справочнике СПС было бы обременительно.</w:t>
      </w:r>
      <w:bookmarkEnd w:id="207"/>
    </w:p>
    <w:p w:rsidR="00B80F61" w:rsidRPr="00B80F61" w:rsidRDefault="00B80F61" w:rsidP="00166A51">
      <w:pPr>
        <w:pStyle w:val="H23GR"/>
      </w:pPr>
      <w:bookmarkStart w:id="208" w:name="bookmark_216"/>
      <w:r w:rsidRPr="00B80F61">
        <w:tab/>
        <w:t>12.</w:t>
      </w:r>
      <w:r w:rsidRPr="00B80F61">
        <w:tab/>
        <w:t>Предложения по улучшению правил принятия решений и голосования</w:t>
      </w:r>
      <w:bookmarkEnd w:id="208"/>
    </w:p>
    <w:p w:rsidR="00B80F61" w:rsidRPr="00B80F61" w:rsidRDefault="00B80F61" w:rsidP="00B80F61">
      <w:pPr>
        <w:pStyle w:val="SingleTxtGR"/>
      </w:pPr>
      <w:bookmarkStart w:id="209" w:name="bookmark_217"/>
      <w:r w:rsidRPr="00B80F61">
        <w:rPr>
          <w:i/>
          <w:iCs/>
        </w:rPr>
        <w:t>Документы:</w:t>
      </w:r>
      <w:r w:rsidR="00166A51">
        <w:tab/>
      </w:r>
      <w:r w:rsidR="00FD3CED">
        <w:tab/>
      </w:r>
      <w:r w:rsidR="00FD3CED">
        <w:tab/>
      </w:r>
      <w:r w:rsidRPr="00B80F61">
        <w:t>ECE/TRANS/WP.11</w:t>
      </w:r>
      <w:r w:rsidR="00166A51">
        <w:t xml:space="preserve">/2015/10 (Бельгия) </w:t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166A51">
        <w:tab/>
      </w:r>
      <w:r w:rsidRPr="00B80F61">
        <w:t>ECE/TRANS/WP.1</w:t>
      </w:r>
      <w:r w:rsidR="00166A51">
        <w:t xml:space="preserve">1/2014/7 (секретариат) </w:t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166A51">
        <w:tab/>
      </w:r>
      <w:r w:rsidR="00A307CE" w:rsidRPr="00B80F61">
        <w:t>н</w:t>
      </w:r>
      <w:r w:rsidRPr="00B80F61">
        <w:t xml:space="preserve">еофициальный документ: INF.10 (Нидерланды) </w:t>
      </w:r>
      <w:bookmarkEnd w:id="209"/>
    </w:p>
    <w:p w:rsidR="00B80F61" w:rsidRPr="00B80F61" w:rsidRDefault="00B80F61" w:rsidP="00B80F61">
      <w:pPr>
        <w:pStyle w:val="SingleTxtGR"/>
      </w:pPr>
      <w:bookmarkStart w:id="210" w:name="bookmark_218"/>
      <w:r w:rsidRPr="00B80F61">
        <w:t>69.</w:t>
      </w:r>
      <w:r w:rsidRPr="00B80F61">
        <w:tab/>
        <w:t>Было принято решение о создании неофициальной рабочей группы, которую возглавит представитель Люксембурга, со следующим мандатом</w:t>
      </w:r>
      <w:bookmarkEnd w:id="210"/>
      <w:r w:rsidR="00A307CE">
        <w:t>:</w:t>
      </w:r>
    </w:p>
    <w:p w:rsidR="00B80F61" w:rsidRPr="00B80F61" w:rsidRDefault="00B80F61" w:rsidP="00166A51">
      <w:pPr>
        <w:pStyle w:val="SingleTxtGR"/>
        <w:ind w:left="1701"/>
        <w:rPr>
          <w:i/>
          <w:iCs/>
        </w:rPr>
      </w:pPr>
      <w:bookmarkStart w:id="211" w:name="bookmark_219"/>
      <w:r w:rsidRPr="00B80F61">
        <w:rPr>
          <w:i/>
          <w:iCs/>
        </w:rPr>
        <w:t>выявление и обсуждение вопросов, которым необходимо уделять внимание для сохранения актуальности СПС;</w:t>
      </w:r>
      <w:bookmarkEnd w:id="211"/>
    </w:p>
    <w:p w:rsidR="00B80F61" w:rsidRPr="00B80F61" w:rsidRDefault="00B80F61" w:rsidP="00166A51">
      <w:pPr>
        <w:pStyle w:val="SingleTxtGR"/>
        <w:ind w:left="1701"/>
        <w:rPr>
          <w:i/>
          <w:iCs/>
        </w:rPr>
      </w:pPr>
      <w:bookmarkStart w:id="212" w:name="bookmark_220"/>
      <w:r w:rsidRPr="00B80F61">
        <w:rPr>
          <w:i/>
          <w:iCs/>
        </w:rPr>
        <w:t xml:space="preserve">выявление и обсуждение путей дальнейшего улучшения функционирования и повышения эффективности работы WP.11; </w:t>
      </w:r>
      <w:r w:rsidRPr="00B80F61">
        <w:rPr>
          <w:i/>
          <w:iCs/>
        </w:rPr>
        <w:tab/>
      </w:r>
      <w:bookmarkEnd w:id="212"/>
    </w:p>
    <w:p w:rsidR="00B80F61" w:rsidRPr="00B80F61" w:rsidRDefault="00B80F61" w:rsidP="00166A51">
      <w:pPr>
        <w:pStyle w:val="SingleTxtGR"/>
        <w:ind w:left="1701"/>
        <w:rPr>
          <w:i/>
          <w:iCs/>
        </w:rPr>
      </w:pPr>
      <w:bookmarkStart w:id="213" w:name="bookmark_221"/>
      <w:r w:rsidRPr="00B80F61">
        <w:rPr>
          <w:i/>
          <w:iCs/>
        </w:rPr>
        <w:t>разработка проектов документов для обсуждения на совещании за круглым столом в начале семьдесят четвертой сессии WP.11;</w:t>
      </w:r>
      <w:bookmarkEnd w:id="213"/>
    </w:p>
    <w:p w:rsidR="00B80F61" w:rsidRPr="00B80F61" w:rsidRDefault="00B80F61" w:rsidP="00166A51">
      <w:pPr>
        <w:pStyle w:val="SingleTxtGR"/>
        <w:ind w:left="1701"/>
        <w:rPr>
          <w:i/>
          <w:iCs/>
        </w:rPr>
      </w:pPr>
      <w:bookmarkStart w:id="214" w:name="bookmark_222"/>
      <w:r w:rsidRPr="00B80F61">
        <w:rPr>
          <w:i/>
          <w:iCs/>
        </w:rPr>
        <w:t xml:space="preserve">документы распространяются секретариатом. Предельный срок представления </w:t>
      </w:r>
      <w:r w:rsidRPr="00B80F61">
        <w:rPr>
          <w:i/>
          <w:iCs/>
        </w:rPr>
        <w:tab/>
        <w:t>официальных документов должен соблюдаться, с тем чтобы обеспечить возможность их перевода на все три официальных языка.</w:t>
      </w:r>
      <w:bookmarkEnd w:id="214"/>
    </w:p>
    <w:p w:rsidR="00B80F61" w:rsidRPr="00B80F61" w:rsidRDefault="00B80F61" w:rsidP="00B80F61">
      <w:pPr>
        <w:pStyle w:val="SingleTxtGR"/>
      </w:pPr>
      <w:bookmarkStart w:id="215" w:name="bookmark_223"/>
      <w:r w:rsidRPr="00B80F61">
        <w:t>70.</w:t>
      </w:r>
      <w:r w:rsidRPr="00B80F61">
        <w:tab/>
        <w:t>Все члены WP.11 получат приглашение от организатора неофициальной рабочей группы. Дания, Франция, Италия, Люксембург, Нидерланды и Португалия заявили о своем намерении принять участие в работе группы.</w:t>
      </w:r>
      <w:bookmarkEnd w:id="215"/>
    </w:p>
    <w:p w:rsidR="00B80F61" w:rsidRPr="00B80F61" w:rsidRDefault="00B80F61" w:rsidP="00B80F61">
      <w:pPr>
        <w:pStyle w:val="SingleTxtGR"/>
      </w:pPr>
      <w:bookmarkStart w:id="216" w:name="bookmark_224"/>
      <w:r w:rsidRPr="00B80F61">
        <w:t>71.</w:t>
      </w:r>
      <w:r w:rsidRPr="00B80F61">
        <w:tab/>
        <w:t>Были определены другие способы увеличения числа принимаемых проектов поправок, а именно:</w:t>
      </w:r>
      <w:bookmarkEnd w:id="216"/>
    </w:p>
    <w:p w:rsidR="00B80F61" w:rsidRPr="00166A51" w:rsidRDefault="00166A51" w:rsidP="00166A51">
      <w:pPr>
        <w:pStyle w:val="SingleTxtGR"/>
        <w:ind w:left="2268" w:hanging="567"/>
      </w:pPr>
      <w:bookmarkStart w:id="217" w:name="bookmark_225"/>
      <w:r>
        <w:rPr>
          <w:lang w:val="en-US"/>
        </w:rPr>
        <w:t>a</w:t>
      </w:r>
      <w:r w:rsidRPr="00166A51">
        <w:t>)</w:t>
      </w:r>
      <w:r w:rsidRPr="00166A51">
        <w:tab/>
      </w:r>
      <w:r w:rsidR="00B80F61" w:rsidRPr="00B80F61">
        <w:t>авторы пред</w:t>
      </w:r>
      <w:r w:rsidR="00B80F61" w:rsidRPr="00166A51">
        <w:t>ложений должны брать на себя обязанность по проведению переговоров с другими Договаривающимися сторонами до окончательной доработки предложений;</w:t>
      </w:r>
      <w:bookmarkEnd w:id="217"/>
    </w:p>
    <w:p w:rsidR="00B80F61" w:rsidRPr="00166A51" w:rsidRDefault="00166A51" w:rsidP="00166A51">
      <w:pPr>
        <w:pStyle w:val="SingleTxtGR"/>
        <w:ind w:left="2268" w:hanging="567"/>
      </w:pPr>
      <w:bookmarkStart w:id="218" w:name="bookmark_226"/>
      <w:r>
        <w:rPr>
          <w:lang w:val="en-US"/>
        </w:rPr>
        <w:t>b</w:t>
      </w:r>
      <w:r w:rsidRPr="00166A51">
        <w:t>)</w:t>
      </w:r>
      <w:r w:rsidRPr="00166A51">
        <w:tab/>
      </w:r>
      <w:r w:rsidR="00B80F61" w:rsidRPr="00166A51">
        <w:t>Подкомиссии CERTE может быть предоставлен мандат на то, чтобы она действовала в качестве неофициальной группы по оценке сложных технических предложений;</w:t>
      </w:r>
      <w:bookmarkEnd w:id="218"/>
    </w:p>
    <w:p w:rsidR="00B80F61" w:rsidRPr="00166A51" w:rsidRDefault="00166A51" w:rsidP="00166A51">
      <w:pPr>
        <w:pStyle w:val="SingleTxtGR"/>
        <w:ind w:left="2268" w:hanging="567"/>
      </w:pPr>
      <w:bookmarkStart w:id="219" w:name="bookmark_227"/>
      <w:r>
        <w:rPr>
          <w:lang w:val="en-US"/>
        </w:rPr>
        <w:t>c</w:t>
      </w:r>
      <w:r w:rsidRPr="00166A51">
        <w:t>)</w:t>
      </w:r>
      <w:r w:rsidRPr="00166A51">
        <w:tab/>
      </w:r>
      <w:r w:rsidR="00B80F61" w:rsidRPr="00166A51">
        <w:t>для рассмотрения конкретных тем могут создаваться другие неофициальные группы;</w:t>
      </w:r>
      <w:bookmarkEnd w:id="219"/>
    </w:p>
    <w:p w:rsidR="00B80F61" w:rsidRPr="00B80F61" w:rsidRDefault="00166A51" w:rsidP="00166A51">
      <w:pPr>
        <w:pStyle w:val="SingleTxtGR"/>
        <w:ind w:left="2268" w:hanging="567"/>
      </w:pPr>
      <w:bookmarkStart w:id="220" w:name="bookmark_228"/>
      <w:r>
        <w:rPr>
          <w:lang w:val="en-US"/>
        </w:rPr>
        <w:t>d</w:t>
      </w:r>
      <w:r w:rsidRPr="00166A51">
        <w:t>)</w:t>
      </w:r>
      <w:r w:rsidRPr="00166A51">
        <w:tab/>
      </w:r>
      <w:r w:rsidR="00B80F61" w:rsidRPr="00166A51">
        <w:t>можно было бы создать редакционный комитет для проверки терминологии и содержания документов. Этот комитет мог бы также давать рекомендации относительно</w:t>
      </w:r>
      <w:r w:rsidR="00B80F61" w:rsidRPr="00B80F61">
        <w:t xml:space="preserve"> формата и объема предложений.</w:t>
      </w:r>
      <w:bookmarkEnd w:id="220"/>
    </w:p>
    <w:p w:rsidR="00B80F61" w:rsidRPr="00B80F61" w:rsidRDefault="00B80F61" w:rsidP="00166A51">
      <w:pPr>
        <w:pStyle w:val="HChGR"/>
      </w:pPr>
      <w:bookmarkStart w:id="221" w:name="bookmark_229"/>
      <w:r w:rsidRPr="00B80F61">
        <w:lastRenderedPageBreak/>
        <w:tab/>
        <w:t>VII.</w:t>
      </w:r>
      <w:r w:rsidRPr="00B80F61">
        <w:tab/>
        <w:t>Справочник СПС (пункт 6 повестки дня)</w:t>
      </w:r>
      <w:bookmarkEnd w:id="221"/>
    </w:p>
    <w:p w:rsidR="00B80F61" w:rsidRPr="00B80F61" w:rsidRDefault="00B80F61" w:rsidP="00166A51">
      <w:pPr>
        <w:pStyle w:val="H23GR"/>
      </w:pPr>
      <w:bookmarkStart w:id="222" w:name="bookmark_230"/>
      <w:r w:rsidRPr="00B80F61">
        <w:tab/>
        <w:t>1.</w:t>
      </w:r>
      <w:r w:rsidRPr="00B80F61">
        <w:tab/>
        <w:t xml:space="preserve">Методы нахождения неопределенности измерения коэффициента K </w:t>
      </w:r>
      <w:bookmarkEnd w:id="222"/>
    </w:p>
    <w:p w:rsidR="00B80F61" w:rsidRPr="00B80F61" w:rsidRDefault="00B80F61" w:rsidP="00405753">
      <w:pPr>
        <w:pStyle w:val="SingleTxtGR"/>
        <w:jc w:val="left"/>
      </w:pPr>
      <w:bookmarkStart w:id="223" w:name="bookmark_231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405753">
        <w:tab/>
      </w:r>
      <w:r w:rsidR="00405753">
        <w:tab/>
      </w:r>
      <w:r w:rsidRPr="00B80F61">
        <w:t xml:space="preserve">(ECE/TRANS/WP.11/2017/16) </w:t>
      </w:r>
      <w:r w:rsidR="00A307CE">
        <w:br/>
      </w:r>
      <w:r w:rsidR="00A307CE">
        <w:tab/>
      </w:r>
      <w:r w:rsidR="00A307CE">
        <w:tab/>
      </w:r>
      <w:r w:rsidR="00A307CE">
        <w:tab/>
      </w:r>
      <w:r w:rsidR="00A307CE">
        <w:tab/>
      </w:r>
      <w:r w:rsidR="00A307CE">
        <w:tab/>
      </w:r>
      <w:r w:rsidRPr="00B80F61">
        <w:t>(Российская Федерация)</w:t>
      </w:r>
      <w:bookmarkEnd w:id="223"/>
    </w:p>
    <w:p w:rsidR="00B80F61" w:rsidRPr="00B80F61" w:rsidRDefault="00B80F61" w:rsidP="00B80F61">
      <w:pPr>
        <w:pStyle w:val="SingleTxtGR"/>
      </w:pPr>
      <w:bookmarkStart w:id="224" w:name="bookmark_232"/>
      <w:r w:rsidRPr="00B80F61">
        <w:t>72.</w:t>
      </w:r>
      <w:r w:rsidRPr="00B80F61">
        <w:tab/>
        <w:t>Обсуждение предложения, содержащегося в документе ECE/TRANS/</w:t>
      </w:r>
      <w:r w:rsidR="00A307CE">
        <w:br/>
      </w:r>
      <w:r w:rsidRPr="00B80F61">
        <w:t>WP.11/2017/16, было перенесено на следующую сессию по причинам, о которых уже говорилось в пунктах 47 и 48 настоящего доклада.</w:t>
      </w:r>
      <w:bookmarkEnd w:id="224"/>
    </w:p>
    <w:p w:rsidR="00B80F61" w:rsidRPr="00B80F61" w:rsidRDefault="00B80F61" w:rsidP="00166A51">
      <w:pPr>
        <w:pStyle w:val="HChGR"/>
      </w:pPr>
      <w:bookmarkStart w:id="225" w:name="bookmark_233"/>
      <w:r w:rsidRPr="00B80F61">
        <w:tab/>
        <w:t>VIII.</w:t>
      </w:r>
      <w:r w:rsidRPr="00B80F61">
        <w:tab/>
        <w:t>Сфера действия СПС (пункт 7 повестки дня)</w:t>
      </w:r>
      <w:bookmarkEnd w:id="225"/>
    </w:p>
    <w:p w:rsidR="00B80F61" w:rsidRPr="00405753" w:rsidRDefault="00B80F61" w:rsidP="00B80F61">
      <w:pPr>
        <w:pStyle w:val="SingleTxtGR"/>
      </w:pPr>
      <w:bookmarkStart w:id="226" w:name="bookmark_234"/>
      <w:r w:rsidRPr="00B80F61">
        <w:t>73.</w:t>
      </w:r>
      <w:r w:rsidRPr="00B80F61">
        <w:tab/>
        <w:t xml:space="preserve">«Дорожная карта» для присоединения к СПС и его осуществления, подготовленная в рамках проекта ЕвроМед в области автомобильного, железнодорожного и городского транспорта с участием секретариата и председателей WP.11, была опубликована и размещена по адресу </w:t>
      </w:r>
      <w:hyperlink r:id="rId12" w:history="1">
        <w:r w:rsidR="00405753" w:rsidRPr="00405753">
          <w:rPr>
            <w:rStyle w:val="Hyperlink"/>
            <w:color w:val="auto"/>
          </w:rPr>
          <w:t>https://www.unece.org/index.</w:t>
        </w:r>
        <w:r w:rsidR="00405753" w:rsidRPr="00405753">
          <w:rPr>
            <w:rStyle w:val="Hyperlink"/>
            <w:color w:val="auto"/>
          </w:rPr>
          <w:br/>
          <w:t>php?id=45830</w:t>
        </w:r>
      </w:hyperlink>
      <w:r w:rsidRPr="00405753">
        <w:t>.</w:t>
      </w:r>
      <w:bookmarkEnd w:id="226"/>
    </w:p>
    <w:p w:rsidR="00B80F61" w:rsidRPr="00B80F61" w:rsidRDefault="00B80F61" w:rsidP="00166A51">
      <w:pPr>
        <w:pStyle w:val="HChGR"/>
      </w:pPr>
      <w:bookmarkStart w:id="227" w:name="bookmark_235"/>
      <w:r w:rsidRPr="00B80F61">
        <w:tab/>
        <w:t>IX.</w:t>
      </w:r>
      <w:r w:rsidRPr="00B80F61">
        <w:tab/>
        <w:t>Энергетическая маркировка, хладагенты и</w:t>
      </w:r>
      <w:r w:rsidR="00166A51">
        <w:rPr>
          <w:lang w:val="en-US"/>
        </w:rPr>
        <w:t> </w:t>
      </w:r>
      <w:r w:rsidRPr="00B80F61">
        <w:t>вспенивающие вещества (пункт 8 повестки дня)</w:t>
      </w:r>
      <w:bookmarkEnd w:id="227"/>
    </w:p>
    <w:p w:rsidR="00B80F61" w:rsidRPr="00B80F61" w:rsidRDefault="00B80F61" w:rsidP="00B80F61">
      <w:pPr>
        <w:pStyle w:val="SingleTxtGR"/>
      </w:pPr>
      <w:bookmarkStart w:id="228" w:name="bookmark_236"/>
      <w:r w:rsidRPr="00B80F61">
        <w:t>74.</w:t>
      </w:r>
      <w:r w:rsidRPr="00B80F61">
        <w:tab/>
        <w:t>Заместитель Председателя напомнил о том, что регламенты, касающиеся фторсодержащих газов, будут предусматривать значительное сокращение масштабов их использования в Европе в 2018 году (около 40% выделенной квоты) и что в связи со сменой хладагента Рабочей группе необходимо будет определить порядок внесения изменений в свидетельство о соответствии. Эти регламенты будут иметь последствия и для других регионов мира.</w:t>
      </w:r>
      <w:bookmarkEnd w:id="228"/>
    </w:p>
    <w:p w:rsidR="00B80F61" w:rsidRPr="00B80F61" w:rsidRDefault="00B80F61" w:rsidP="00166A51">
      <w:pPr>
        <w:pStyle w:val="HChGR"/>
      </w:pPr>
      <w:bookmarkStart w:id="229" w:name="bookmark_237"/>
      <w:r w:rsidRPr="00B80F61">
        <w:tab/>
        <w:t>X.</w:t>
      </w:r>
      <w:r w:rsidRPr="00B80F61">
        <w:tab/>
        <w:t xml:space="preserve">Программа работы и двухгодичная оценка </w:t>
      </w:r>
      <w:r w:rsidR="00CA7BD6">
        <w:br/>
      </w:r>
      <w:r w:rsidRPr="00B80F61">
        <w:t>(пункт 9 повестки дня)</w:t>
      </w:r>
      <w:bookmarkEnd w:id="229"/>
    </w:p>
    <w:p w:rsidR="00B80F61" w:rsidRPr="00B80F61" w:rsidRDefault="00B80F61" w:rsidP="00B80F61">
      <w:pPr>
        <w:pStyle w:val="SingleTxtGR"/>
      </w:pPr>
      <w:bookmarkStart w:id="230" w:name="bookmark_238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CA7BD6">
        <w:tab/>
      </w:r>
      <w:r w:rsidR="00CA7BD6">
        <w:tab/>
      </w:r>
      <w:r w:rsidRPr="00B80F61">
        <w:t>ECE/TRANS/WP.11/2017/3 (секретариат)</w:t>
      </w:r>
      <w:bookmarkEnd w:id="230"/>
    </w:p>
    <w:p w:rsidR="00B80F61" w:rsidRPr="00B80F61" w:rsidRDefault="00B80F61" w:rsidP="00B80F61">
      <w:pPr>
        <w:pStyle w:val="SingleTxtGR"/>
      </w:pPr>
      <w:bookmarkStart w:id="231" w:name="bookmark_239"/>
      <w:r w:rsidRPr="00B80F61">
        <w:t>75.</w:t>
      </w:r>
      <w:r w:rsidRPr="00B80F61">
        <w:tab/>
        <w:t>WP.11 утвердила оценку результативности своей работы и приняла к сведению информацию об извлеченных уроках/областях, в которых необходимы улучшения, со следующими изменениями:</w:t>
      </w:r>
      <w:bookmarkEnd w:id="231"/>
    </w:p>
    <w:p w:rsidR="00B80F61" w:rsidRPr="00B80F61" w:rsidRDefault="00B80F61" w:rsidP="00B80F61">
      <w:pPr>
        <w:pStyle w:val="SingleTxtGR"/>
      </w:pPr>
      <w:bookmarkStart w:id="232" w:name="bookmark_240"/>
      <w:r w:rsidRPr="00B80F61">
        <w:t>Пункт 7 читать следующим образом:</w:t>
      </w:r>
      <w:bookmarkEnd w:id="232"/>
    </w:p>
    <w:p w:rsidR="00B80F61" w:rsidRPr="00B80F61" w:rsidRDefault="00B80F61" w:rsidP="00166A51">
      <w:pPr>
        <w:pStyle w:val="SingleTxtGR"/>
        <w:ind w:left="1701"/>
      </w:pPr>
      <w:bookmarkStart w:id="233" w:name="bookmark_241"/>
      <w:r w:rsidRPr="00B80F61">
        <w:t>«7.</w:t>
      </w:r>
      <w:r w:rsidRPr="00B80F61">
        <w:tab/>
        <w:t>На своей семьдесят второй сессии в 2016 году WP.11 приняла в общей сложности одну предложенную поправку к СПС, содержащуюся в приложении I к докладу о работе сессии (ECE/TRANS/WP.11/235). Эту поправку можно рассматривать как редакционную. Число нередакционных поправок, которые были приняты в течение двухгодичного периода, превысило целевой показатель, равный 60% (см. приложение 1). WP.11 решила сохранить этот показатель достижения результатов на уровне 60% в качестве целевого значения на следующий двухгодичный период».</w:t>
      </w:r>
      <w:bookmarkEnd w:id="233"/>
    </w:p>
    <w:p w:rsidR="00B80F61" w:rsidRPr="00B80F61" w:rsidRDefault="00B80F61" w:rsidP="00B80F61">
      <w:pPr>
        <w:pStyle w:val="SingleTxtGR"/>
      </w:pPr>
      <w:bookmarkStart w:id="234" w:name="bookmark_242"/>
      <w:r w:rsidRPr="00B80F61">
        <w:t>Пункт 10 читать следующим образом:</w:t>
      </w:r>
      <w:bookmarkEnd w:id="234"/>
    </w:p>
    <w:p w:rsidR="00B80F61" w:rsidRPr="00B80F61" w:rsidRDefault="00B80F61" w:rsidP="00166A51">
      <w:pPr>
        <w:pStyle w:val="SingleTxtGR"/>
        <w:ind w:left="1701"/>
      </w:pPr>
      <w:bookmarkStart w:id="235" w:name="bookmark_243"/>
      <w:r w:rsidRPr="00B80F61">
        <w:t>«10.</w:t>
      </w:r>
      <w:r w:rsidRPr="00B80F61">
        <w:tab/>
        <w:t>Целевой показатель, характеризующий число ответов на вопросник по осуществлению СПС, не был достигнут, и поэтому на следующий двухгодичный период его рекомендуется оставить без изменения. Некоторые страны заявили, что они были не в состоянии представить требуемые данные в силу особенностей их административных структур. Рабочая группа рассматривает способы повышения числа стран, представляющих ответы на вопросник».</w:t>
      </w:r>
      <w:bookmarkEnd w:id="235"/>
    </w:p>
    <w:p w:rsidR="00B80F61" w:rsidRPr="00B80F61" w:rsidRDefault="00B80F61" w:rsidP="00B80F61">
      <w:pPr>
        <w:pStyle w:val="SingleTxtGR"/>
      </w:pPr>
      <w:bookmarkStart w:id="236" w:name="bookmark_244"/>
      <w:r w:rsidRPr="00B80F61">
        <w:lastRenderedPageBreak/>
        <w:t>76.</w:t>
      </w:r>
      <w:r w:rsidRPr="00B80F61">
        <w:tab/>
        <w:t xml:space="preserve">WP.11 приняла проект своей программы работы на 2018–2019 годы </w:t>
      </w:r>
      <w:r w:rsidR="00CA7BD6">
        <w:br/>
      </w:r>
      <w:r w:rsidRPr="00B80F61">
        <w:t>(см. приложение IV) в предложенном виде.</w:t>
      </w:r>
      <w:bookmarkEnd w:id="236"/>
    </w:p>
    <w:p w:rsidR="00B80F61" w:rsidRPr="00B80F61" w:rsidRDefault="00B80F61" w:rsidP="00B80F61">
      <w:pPr>
        <w:pStyle w:val="SingleTxtGR"/>
      </w:pPr>
      <w:bookmarkStart w:id="237" w:name="bookmark_245"/>
      <w:r w:rsidRPr="00B80F61">
        <w:t>77.</w:t>
      </w:r>
      <w:r w:rsidRPr="00B80F61">
        <w:tab/>
        <w:t xml:space="preserve">WP.11 приняла предложенную оценку на двухгодичный период </w:t>
      </w:r>
      <w:r w:rsidR="00CA7BD6">
        <w:br/>
      </w:r>
      <w:r w:rsidRPr="00B80F61">
        <w:t>2018–2019 годов (см. приложение V).</w:t>
      </w:r>
      <w:bookmarkEnd w:id="237"/>
    </w:p>
    <w:p w:rsidR="00B80F61" w:rsidRPr="00B80F61" w:rsidRDefault="00B80F61" w:rsidP="00B40868">
      <w:pPr>
        <w:pStyle w:val="HChGR"/>
      </w:pPr>
      <w:bookmarkStart w:id="238" w:name="bookmark_246"/>
      <w:r w:rsidRPr="00B80F61">
        <w:tab/>
        <w:t>XI.</w:t>
      </w:r>
      <w:r w:rsidRPr="00B80F61">
        <w:tab/>
        <w:t>Выборы должностных лиц (пункт 10 повестки дня)</w:t>
      </w:r>
      <w:bookmarkEnd w:id="238"/>
    </w:p>
    <w:p w:rsidR="00B80F61" w:rsidRPr="00B80F61" w:rsidRDefault="00B80F61" w:rsidP="00B80F61">
      <w:pPr>
        <w:pStyle w:val="SingleTxtGR"/>
      </w:pPr>
      <w:bookmarkStart w:id="239" w:name="bookmark_247"/>
      <w:r w:rsidRPr="00B80F61">
        <w:t>78.</w:t>
      </w:r>
      <w:r w:rsidRPr="00B80F61">
        <w:tab/>
        <w:t xml:space="preserve">WP.11 избрала г-на Тельму Нобре (Португалия) Председателем и </w:t>
      </w:r>
      <w:r w:rsidR="00B40868">
        <w:br/>
      </w:r>
      <w:r w:rsidRPr="00B80F61">
        <w:t>г-на Эрика Девена (Франция) и г-на Кеса де Путтера (Нидерланды) заместителями Председателя для своей семьдесят четвертой сессии в 2018 году. WP.11 поблагодарила должностных лиц и секретариат за их работу.</w:t>
      </w:r>
      <w:bookmarkEnd w:id="239"/>
    </w:p>
    <w:p w:rsidR="00B80F61" w:rsidRPr="00B80F61" w:rsidRDefault="00B80F61" w:rsidP="00B40868">
      <w:pPr>
        <w:pStyle w:val="HChGR"/>
      </w:pPr>
      <w:bookmarkStart w:id="240" w:name="bookmark_248"/>
      <w:r w:rsidRPr="00B80F61">
        <w:tab/>
        <w:t>XII.</w:t>
      </w:r>
      <w:r w:rsidRPr="00B80F61">
        <w:tab/>
        <w:t>Прочие вопросы (пункт 11 повестки дня)</w:t>
      </w:r>
      <w:bookmarkEnd w:id="240"/>
    </w:p>
    <w:p w:rsidR="00B80F61" w:rsidRPr="00B80F61" w:rsidRDefault="00B80F61" w:rsidP="00B40868">
      <w:pPr>
        <w:pStyle w:val="H23GR"/>
      </w:pPr>
      <w:bookmarkStart w:id="241" w:name="bookmark_249"/>
      <w:r w:rsidRPr="00B80F61">
        <w:tab/>
        <w:t>1.</w:t>
      </w:r>
      <w:r w:rsidRPr="00B80F61">
        <w:tab/>
        <w:t>Сроки проведения семьдесят четвертой сессии</w:t>
      </w:r>
      <w:bookmarkEnd w:id="241"/>
    </w:p>
    <w:p w:rsidR="00B80F61" w:rsidRPr="00B80F61" w:rsidRDefault="00B80F61" w:rsidP="00B80F61">
      <w:pPr>
        <w:pStyle w:val="SingleTxtGR"/>
      </w:pPr>
      <w:bookmarkStart w:id="242" w:name="bookmark_250"/>
      <w:r w:rsidRPr="00B80F61">
        <w:t>79.</w:t>
      </w:r>
      <w:r w:rsidRPr="00B80F61">
        <w:tab/>
        <w:t>Семьдесят четвертую сессию WP.11 планируется провести 8–12 октября 2018 года (вторник–пятница). Предельный срок для представления документов – 17 июля 2018 года.</w:t>
      </w:r>
      <w:bookmarkEnd w:id="242"/>
    </w:p>
    <w:p w:rsidR="00B80F61" w:rsidRPr="00B80F61" w:rsidRDefault="00B80F61" w:rsidP="00B40868">
      <w:pPr>
        <w:pStyle w:val="H23GR"/>
      </w:pPr>
      <w:bookmarkStart w:id="243" w:name="bookmark_251"/>
      <w:r w:rsidRPr="00B80F61">
        <w:tab/>
        <w:t>2.</w:t>
      </w:r>
      <w:r w:rsidRPr="00B80F61">
        <w:tab/>
        <w:t>Изменения в секретариате</w:t>
      </w:r>
      <w:bookmarkEnd w:id="243"/>
    </w:p>
    <w:p w:rsidR="00B80F61" w:rsidRPr="00B80F61" w:rsidRDefault="00B80F61" w:rsidP="00B80F61">
      <w:pPr>
        <w:pStyle w:val="SingleTxtGR"/>
      </w:pPr>
      <w:bookmarkStart w:id="244" w:name="bookmark_252"/>
      <w:r w:rsidRPr="00B80F61">
        <w:t>80.</w:t>
      </w:r>
      <w:r w:rsidRPr="00B80F61">
        <w:tab/>
        <w:t>Рабочая группа отметила, что Генеральный секретарь назначил г-жу Ольгу Алгаерову (Словакия) Исполнительным секретарем Европейской экономической комиссии и что она заменила на этом посту г-на Кристиана Фрииса Баха с 1 июня 2017 года. Рабочая группа пожелала им обоим всяческих успехов на новом поприще.</w:t>
      </w:r>
      <w:bookmarkEnd w:id="244"/>
    </w:p>
    <w:p w:rsidR="00B80F61" w:rsidRPr="00B80F61" w:rsidRDefault="00B80F61" w:rsidP="00B80F61">
      <w:pPr>
        <w:pStyle w:val="SingleTxtGR"/>
      </w:pPr>
      <w:bookmarkStart w:id="245" w:name="bookmark_253"/>
      <w:r w:rsidRPr="00B80F61">
        <w:t>81.</w:t>
      </w:r>
      <w:r w:rsidRPr="00B80F61">
        <w:tab/>
        <w:t xml:space="preserve">Директор Отдела устойчивого транспорта г-жа Эва Мольнар вышла в отставку 30 июня 2017 года, и ее должность остается вакантной до завершения процедур временного замещения и найма. Рабочая группа поблагодарила </w:t>
      </w:r>
      <w:r w:rsidR="00A307CE">
        <w:br/>
      </w:r>
      <w:r w:rsidRPr="00B80F61">
        <w:t>г-жу Мольнар за ее поддержку на протяжении последних десяти лет и пожелала ей долгого и счастливого пребывания на заслуженном отдыхе.</w:t>
      </w:r>
      <w:bookmarkEnd w:id="245"/>
    </w:p>
    <w:p w:rsidR="00B80F61" w:rsidRPr="00B80F61" w:rsidRDefault="00B80F61" w:rsidP="00B80F61">
      <w:pPr>
        <w:pStyle w:val="SingleTxtGR"/>
      </w:pPr>
      <w:bookmarkStart w:id="246" w:name="bookmark_254"/>
      <w:r w:rsidRPr="00B80F61">
        <w:t>82.</w:t>
      </w:r>
      <w:r w:rsidRPr="00B80F61">
        <w:tab/>
        <w:t>Рабочая группа отметила также, что начальник Секции опасных и специальных грузов достигнет возраста обязательного выхода на пенсию (62 года) в ноябре 2017 года. Все делегации поблагодарили г-на Кервеллу за его ценный вклад в деятельность WP.11 и пожелали ему долгого и счастливого пребывания на пенсии.</w:t>
      </w:r>
      <w:bookmarkEnd w:id="246"/>
    </w:p>
    <w:p w:rsidR="00B80F61" w:rsidRPr="00B80F61" w:rsidRDefault="00B80F61" w:rsidP="00B40868">
      <w:pPr>
        <w:pStyle w:val="H23GR"/>
      </w:pPr>
      <w:bookmarkStart w:id="247" w:name="bookmark_255"/>
      <w:r w:rsidRPr="00B80F61">
        <w:tab/>
        <w:t>3.</w:t>
      </w:r>
      <w:r w:rsidRPr="00B80F61">
        <w:tab/>
        <w:t>Выражение признательности</w:t>
      </w:r>
      <w:bookmarkEnd w:id="247"/>
    </w:p>
    <w:p w:rsidR="00B80F61" w:rsidRPr="00B80F61" w:rsidRDefault="00B80F61" w:rsidP="00B80F61">
      <w:pPr>
        <w:pStyle w:val="SingleTxtGR"/>
      </w:pPr>
      <w:bookmarkStart w:id="248" w:name="bookmark_256"/>
      <w:r w:rsidRPr="00B80F61">
        <w:t>83.</w:t>
      </w:r>
      <w:r w:rsidRPr="00B80F61">
        <w:tab/>
        <w:t>Рабочая группа была проинформирована о том, что г-н Москера (Испания) вышел в отставку в июне 2017 года. WP.11 поблагодарила г-на Москеру за его многолетний вклад в работу в области перевозок скоропортящихся пищевых продуктов и пожелала ему долгого и счастливого пребывания на заслуженном отдыхе.</w:t>
      </w:r>
      <w:bookmarkEnd w:id="248"/>
    </w:p>
    <w:p w:rsidR="00B80F61" w:rsidRPr="00B80F61" w:rsidRDefault="0005142E" w:rsidP="00B40868">
      <w:pPr>
        <w:pStyle w:val="H23GR"/>
      </w:pPr>
      <w:bookmarkStart w:id="249" w:name="bookmark_257"/>
      <w:r>
        <w:tab/>
      </w:r>
      <w:r w:rsidR="00B80F61" w:rsidRPr="00B80F61">
        <w:t>4.</w:t>
      </w:r>
      <w:r w:rsidR="00B80F61" w:rsidRPr="00B80F61">
        <w:tab/>
        <w:t>Изменения к Правилам процедуры WP.11</w:t>
      </w:r>
      <w:bookmarkEnd w:id="249"/>
    </w:p>
    <w:p w:rsidR="00B80F61" w:rsidRPr="00B80F61" w:rsidRDefault="00B80F61" w:rsidP="00B80F61">
      <w:pPr>
        <w:pStyle w:val="SingleTxtGR"/>
      </w:pPr>
      <w:bookmarkStart w:id="250" w:name="bookmark_258"/>
      <w:r w:rsidRPr="00B80F61">
        <w:rPr>
          <w:i/>
          <w:iCs/>
        </w:rPr>
        <w:t>Документ:</w:t>
      </w:r>
      <w:r w:rsidRPr="00B80F61">
        <w:tab/>
      </w:r>
      <w:r w:rsidRPr="00B80F61">
        <w:tab/>
      </w:r>
      <w:r w:rsidR="00CA7BD6">
        <w:tab/>
      </w:r>
      <w:r w:rsidR="00CA7BD6">
        <w:tab/>
      </w:r>
      <w:r w:rsidR="00A307CE" w:rsidRPr="00B80F61">
        <w:t>н</w:t>
      </w:r>
      <w:r w:rsidRPr="00B80F61">
        <w:t>еофициальный документ INF.12 (секретариат)</w:t>
      </w:r>
      <w:bookmarkEnd w:id="250"/>
    </w:p>
    <w:p w:rsidR="00B80F61" w:rsidRPr="00B80F61" w:rsidRDefault="00B80F61" w:rsidP="00B80F61">
      <w:pPr>
        <w:pStyle w:val="SingleTxtGR"/>
      </w:pPr>
      <w:bookmarkStart w:id="251" w:name="bookmark_259"/>
      <w:r w:rsidRPr="00B80F61">
        <w:t>84.</w:t>
      </w:r>
      <w:r w:rsidRPr="00B80F61">
        <w:tab/>
        <w:t>После некоторых разъяснений Рабочая группа решила изменить правило</w:t>
      </w:r>
      <w:r w:rsidR="00A307CE">
        <w:t> </w:t>
      </w:r>
      <w:r w:rsidRPr="00B80F61">
        <w:t xml:space="preserve">35 </w:t>
      </w:r>
      <w:r w:rsidR="00A307CE" w:rsidRPr="00B80F61">
        <w:t>п</w:t>
      </w:r>
      <w:r w:rsidRPr="00B80F61">
        <w:t>равил процедуры WP.11 следующим образом:</w:t>
      </w:r>
      <w:bookmarkEnd w:id="251"/>
    </w:p>
    <w:p w:rsidR="00B80F61" w:rsidRPr="00B80F61" w:rsidRDefault="00B80F61" w:rsidP="00B80F61">
      <w:pPr>
        <w:pStyle w:val="SingleTxtGR"/>
      </w:pPr>
      <w:bookmarkStart w:id="252" w:name="bookmark_260"/>
      <w:r w:rsidRPr="00A307CE">
        <w:rPr>
          <w:bCs/>
        </w:rPr>
        <w:t>«</w:t>
      </w:r>
      <w:r w:rsidRPr="00B80F61">
        <w:rPr>
          <w:b/>
          <w:bCs/>
        </w:rPr>
        <w:t>Правило 35</w:t>
      </w:r>
      <w:bookmarkEnd w:id="252"/>
    </w:p>
    <w:p w:rsidR="00B80F61" w:rsidRPr="00B40868" w:rsidRDefault="00B40868" w:rsidP="00B40868">
      <w:pPr>
        <w:pStyle w:val="SingleTxtGR"/>
        <w:ind w:left="2268" w:hanging="567"/>
      </w:pPr>
      <w:bookmarkStart w:id="253" w:name="bookmark_261"/>
      <w:r>
        <w:rPr>
          <w:lang w:val="en-US"/>
        </w:rPr>
        <w:t>a</w:t>
      </w:r>
      <w:r w:rsidRPr="00B40868">
        <w:t>)</w:t>
      </w:r>
      <w:r w:rsidRPr="00B40868">
        <w:tab/>
      </w:r>
      <w:r w:rsidR="00B80F61" w:rsidRPr="00B80F61">
        <w:t>Решения, касающиеся поправок к СП</w:t>
      </w:r>
      <w:r w:rsidR="00B80F61" w:rsidRPr="00B40868">
        <w:t xml:space="preserve">С, принимаются только в присутствии не менее одной трети Договаривающихся сторон. Решения принимаются главным образом консенсусом, однако при отсутствии консенсуса они принимаются большинством голосов присутствующих и участвующих в голосовании полноправных участников при </w:t>
      </w:r>
      <w:r w:rsidR="00B80F61" w:rsidRPr="00B40868">
        <w:lastRenderedPageBreak/>
        <w:t>условии, что "против" этого предложения подается не более трех голосов.</w:t>
      </w:r>
      <w:bookmarkEnd w:id="253"/>
    </w:p>
    <w:p w:rsidR="00B80F61" w:rsidRPr="00B40868" w:rsidRDefault="00B40868" w:rsidP="00B40868">
      <w:pPr>
        <w:pStyle w:val="SingleTxtGR"/>
        <w:ind w:left="2268" w:hanging="567"/>
      </w:pPr>
      <w:bookmarkStart w:id="254" w:name="bookmark_262"/>
      <w:r>
        <w:rPr>
          <w:lang w:val="en-US"/>
        </w:rPr>
        <w:t>b</w:t>
      </w:r>
      <w:r w:rsidRPr="00B40868">
        <w:t>)</w:t>
      </w:r>
      <w:r w:rsidRPr="00B40868">
        <w:tab/>
      </w:r>
      <w:r w:rsidR="00B80F61" w:rsidRPr="00B40868">
        <w:t>Решения, касающиеся поправок к Справочнику СПС, принимаются главным образом консенсусом, однако при отсутствии консенсуса решения принимаются большинством голосов при условии, что "против" этого предложения подается не более трех голосов.</w:t>
      </w:r>
      <w:bookmarkEnd w:id="254"/>
    </w:p>
    <w:p w:rsidR="00B80F61" w:rsidRPr="00B40868" w:rsidRDefault="00B40868" w:rsidP="00B40868">
      <w:pPr>
        <w:pStyle w:val="SingleTxtGR"/>
        <w:ind w:left="2268" w:hanging="567"/>
      </w:pPr>
      <w:bookmarkStart w:id="255" w:name="bookmark_263"/>
      <w:r>
        <w:rPr>
          <w:lang w:val="en-US"/>
        </w:rPr>
        <w:t>c</w:t>
      </w:r>
      <w:r w:rsidRPr="00B40868">
        <w:t>)</w:t>
      </w:r>
      <w:r w:rsidRPr="00B40868">
        <w:tab/>
      </w:r>
      <w:r w:rsidR="00B80F61" w:rsidRPr="00B40868">
        <w:t>Все другие решения принимаются главным образом консенсусом, однако при отсутствии консенсуса решения принимаются большинством голосов присутствующих и участвующих в голосовании полноправных участников».</w:t>
      </w:r>
      <w:bookmarkEnd w:id="255"/>
    </w:p>
    <w:p w:rsidR="00B80F61" w:rsidRPr="00B80F61" w:rsidRDefault="00B80F61" w:rsidP="00B40868">
      <w:pPr>
        <w:pStyle w:val="HChGR"/>
      </w:pPr>
      <w:bookmarkStart w:id="256" w:name="bookmark_264"/>
      <w:r w:rsidRPr="00B80F61">
        <w:tab/>
        <w:t>XIII.</w:t>
      </w:r>
      <w:r w:rsidRPr="00B80F61">
        <w:tab/>
        <w:t>Утверждение доклада (пункт 12 повестки дня)</w:t>
      </w:r>
      <w:bookmarkEnd w:id="256"/>
    </w:p>
    <w:p w:rsidR="00B80F61" w:rsidRPr="00B80F61" w:rsidRDefault="00B80F61" w:rsidP="00B80F61">
      <w:pPr>
        <w:pStyle w:val="SingleTxtGR"/>
      </w:pPr>
      <w:bookmarkStart w:id="257" w:name="bookmark_265"/>
      <w:r w:rsidRPr="00B80F61">
        <w:t>85.</w:t>
      </w:r>
      <w:r w:rsidRPr="00B80F61">
        <w:tab/>
        <w:t>Ожидается, что WP.11 утвердит доклад о работе своей семьдесят третьей сессии на основе проекта, подготовленного секретариатом.</w:t>
      </w:r>
      <w:bookmarkEnd w:id="257"/>
    </w:p>
    <w:p w:rsidR="00B80F61" w:rsidRPr="00B80F61" w:rsidRDefault="00B80F61" w:rsidP="00B40868">
      <w:pPr>
        <w:pStyle w:val="HChGR"/>
        <w:pageBreakBefore/>
      </w:pPr>
      <w:bookmarkStart w:id="258" w:name="_Toc432670211"/>
      <w:bookmarkStart w:id="259" w:name="bookmark_266"/>
      <w:r w:rsidRPr="00B80F61">
        <w:lastRenderedPageBreak/>
        <w:t xml:space="preserve">Приложение I </w:t>
      </w:r>
      <w:bookmarkEnd w:id="258"/>
      <w:bookmarkEnd w:id="259"/>
    </w:p>
    <w:p w:rsidR="00B80F61" w:rsidRPr="00B80F61" w:rsidRDefault="00B80F61" w:rsidP="00B40868">
      <w:pPr>
        <w:pStyle w:val="HChGR"/>
      </w:pPr>
      <w:bookmarkStart w:id="260" w:name="bookmark_267"/>
      <w:r w:rsidRPr="00B80F61">
        <w:tab/>
      </w:r>
      <w:r w:rsidRPr="00B80F61">
        <w:tab/>
        <w:t>Предлагаемые поправки к СПС</w:t>
      </w:r>
      <w:bookmarkEnd w:id="260"/>
    </w:p>
    <w:p w:rsidR="00B80F61" w:rsidRPr="00B40868" w:rsidRDefault="00B80F61" w:rsidP="00B40868">
      <w:pPr>
        <w:pStyle w:val="H1GR"/>
        <w:rPr>
          <w:u w:val="single"/>
        </w:rPr>
      </w:pPr>
      <w:bookmarkStart w:id="261" w:name="bookmark_268"/>
      <w:r w:rsidRPr="00B80F61">
        <w:tab/>
      </w:r>
      <w:r w:rsidRPr="00B80F61">
        <w:tab/>
      </w:r>
      <w:r w:rsidRPr="00B40868">
        <w:rPr>
          <w:u w:val="single"/>
        </w:rPr>
        <w:t>Предложение по поправке 1</w:t>
      </w:r>
      <w:bookmarkEnd w:id="261"/>
    </w:p>
    <w:p w:rsidR="00B80F61" w:rsidRPr="00B80F61" w:rsidRDefault="00B80F61" w:rsidP="00B40868">
      <w:pPr>
        <w:pStyle w:val="H23GR"/>
      </w:pPr>
      <w:bookmarkStart w:id="262" w:name="bookmark_269"/>
      <w:r w:rsidRPr="00B80F61">
        <w:tab/>
        <w:t>1.</w:t>
      </w:r>
      <w:r w:rsidRPr="00B80F61">
        <w:tab/>
        <w:t>Приложение 1, добавление 2, образцы № 5, 7, 9 и 11</w:t>
      </w:r>
      <w:bookmarkEnd w:id="262"/>
    </w:p>
    <w:p w:rsidR="00B80F61" w:rsidRPr="00B80F61" w:rsidRDefault="00B80F61" w:rsidP="00B80F61">
      <w:pPr>
        <w:pStyle w:val="SingleTxtGR"/>
      </w:pPr>
      <w:bookmarkStart w:id="263" w:name="bookmark_270"/>
      <w:r w:rsidRPr="00B80F61">
        <w:t>В разделе «</w:t>
      </w:r>
      <w:r w:rsidRPr="00B80F61">
        <w:rPr>
          <w:b/>
          <w:bCs/>
        </w:rPr>
        <w:t>Заправка холодильного агента</w:t>
      </w:r>
      <w:r w:rsidRPr="00B80F61">
        <w:t>» заменить «Холодильный агент: вид» на «Холодильный агент: (обозначение ISO/ASHRAE)</w:t>
      </w:r>
      <w:r w:rsidRPr="00CA7BD6">
        <w:rPr>
          <w:sz w:val="18"/>
          <w:szCs w:val="18"/>
          <w:vertAlign w:val="superscript"/>
        </w:rPr>
        <w:t>a)</w:t>
      </w:r>
      <w:r w:rsidRPr="00B80F61">
        <w:t>».</w:t>
      </w:r>
      <w:bookmarkEnd w:id="263"/>
    </w:p>
    <w:p w:rsidR="00B80F61" w:rsidRPr="00B80F61" w:rsidRDefault="00B80F61" w:rsidP="00B80F61">
      <w:pPr>
        <w:pStyle w:val="SingleTxtGR"/>
      </w:pPr>
      <w:bookmarkStart w:id="264" w:name="bookmark_271"/>
      <w:r w:rsidRPr="00B80F61">
        <w:t>В сноске следует читать:</w:t>
      </w:r>
      <w:bookmarkEnd w:id="264"/>
    </w:p>
    <w:p w:rsidR="00B80F61" w:rsidRPr="00B80F61" w:rsidRDefault="00B80F61" w:rsidP="00B80F61">
      <w:pPr>
        <w:pStyle w:val="SingleTxtGR"/>
      </w:pPr>
      <w:bookmarkStart w:id="265" w:name="bookmark_272"/>
      <w:r w:rsidRPr="00B80F61">
        <w:rPr>
          <w:i/>
          <w:iCs/>
        </w:rPr>
        <w:t>«</w:t>
      </w:r>
      <w:r w:rsidRPr="00B80F61">
        <w:rPr>
          <w:i/>
          <w:iCs/>
          <w:vertAlign w:val="superscript"/>
        </w:rPr>
        <w:t xml:space="preserve">a) </w:t>
      </w:r>
      <w:r w:rsidRPr="00B80F61">
        <w:rPr>
          <w:i/>
          <w:iCs/>
        </w:rPr>
        <w:t>Если существует».</w:t>
      </w:r>
      <w:bookmarkEnd w:id="265"/>
    </w:p>
    <w:p w:rsidR="00B80F61" w:rsidRPr="00B80F61" w:rsidRDefault="00B80F61" w:rsidP="00B80F61">
      <w:pPr>
        <w:pStyle w:val="SingleTxtGR"/>
      </w:pPr>
      <w:bookmarkStart w:id="266" w:name="bookmark_273"/>
      <w:r w:rsidRPr="00B80F61">
        <w:t>(</w:t>
      </w:r>
      <w:r w:rsidRPr="00B80F61">
        <w:rPr>
          <w:i/>
          <w:iCs/>
        </w:rPr>
        <w:t>Справочный документ:</w:t>
      </w:r>
      <w:r w:rsidRPr="00B80F61">
        <w:t xml:space="preserve"> ECE/TRANS/WP.11/2017/10 с поправками)</w:t>
      </w:r>
      <w:bookmarkEnd w:id="266"/>
    </w:p>
    <w:p w:rsidR="00B80F61" w:rsidRPr="00B40868" w:rsidRDefault="00B80F61" w:rsidP="00B40868">
      <w:pPr>
        <w:pStyle w:val="H1GR"/>
        <w:rPr>
          <w:u w:val="single"/>
        </w:rPr>
      </w:pPr>
      <w:bookmarkStart w:id="267" w:name="bookmark_274"/>
      <w:r w:rsidRPr="00B80F61">
        <w:tab/>
      </w:r>
      <w:r w:rsidRPr="00B80F61">
        <w:tab/>
      </w:r>
      <w:r w:rsidRPr="00B40868">
        <w:rPr>
          <w:u w:val="single"/>
        </w:rPr>
        <w:t>Предложение по поправке 2</w:t>
      </w:r>
      <w:bookmarkEnd w:id="267"/>
    </w:p>
    <w:p w:rsidR="00B80F61" w:rsidRPr="00B80F61" w:rsidRDefault="00B80F61" w:rsidP="00B40868">
      <w:pPr>
        <w:pStyle w:val="H23GR"/>
      </w:pPr>
      <w:bookmarkStart w:id="268" w:name="bookmark_275"/>
      <w:r w:rsidRPr="00B80F61">
        <w:tab/>
        <w:t>2.</w:t>
      </w:r>
      <w:r w:rsidRPr="00B80F61">
        <w:tab/>
        <w:t>Приложение 1, добавление 2, образцы протоколов испытаний № 2 A, 2 B, 3, 4 A, 4 B, 4 C, 5, 6, 7, 8, 9, 10 и 11</w:t>
      </w:r>
      <w:bookmarkEnd w:id="268"/>
    </w:p>
    <w:p w:rsidR="00B80F61" w:rsidRPr="00B80F61" w:rsidRDefault="00B80F61" w:rsidP="00CA7BD6">
      <w:pPr>
        <w:pStyle w:val="SingleTxtGR"/>
        <w:spacing w:after="0"/>
        <w:rPr>
          <w:bCs/>
        </w:rPr>
      </w:pPr>
      <w:bookmarkStart w:id="269" w:name="bookmark_276"/>
      <w:r w:rsidRPr="00B80F61">
        <w:rPr>
          <w:bCs/>
        </w:rPr>
        <w:t>Заменить «С</w:t>
      </w:r>
      <w:r w:rsidR="00CA7BD6">
        <w:rPr>
          <w:bCs/>
        </w:rPr>
        <w:t>оставлен в:</w:t>
      </w:r>
      <w:r w:rsidRPr="00B80F61">
        <w:rPr>
          <w:bCs/>
        </w:rPr>
        <w:t>……………………</w:t>
      </w:r>
      <w:bookmarkEnd w:id="269"/>
    </w:p>
    <w:p w:rsidR="00B80F61" w:rsidRPr="00B80F61" w:rsidRDefault="00CA7BD6" w:rsidP="00B80F61">
      <w:pPr>
        <w:pStyle w:val="SingleTxtGR"/>
        <w:rPr>
          <w:bCs/>
        </w:rPr>
      </w:pPr>
      <w:bookmarkStart w:id="270" w:name="bookmark_277"/>
      <w:r>
        <w:rPr>
          <w:bCs/>
        </w:rPr>
        <w:t>Дата:</w:t>
      </w:r>
      <w:r w:rsidR="00B80F61" w:rsidRPr="00B80F61">
        <w:rPr>
          <w:bCs/>
        </w:rPr>
        <w:t>…………………………………………………………………………………….</w:t>
      </w:r>
      <w:bookmarkEnd w:id="270"/>
    </w:p>
    <w:p w:rsidR="00B80F61" w:rsidRPr="00B80F61" w:rsidRDefault="00B80F61" w:rsidP="00B40868">
      <w:pPr>
        <w:pStyle w:val="SingleTxtGR"/>
        <w:jc w:val="right"/>
        <w:rPr>
          <w:bCs/>
        </w:rPr>
      </w:pPr>
      <w:bookmarkStart w:id="271" w:name="bookmark_278"/>
      <w:r w:rsidRPr="00B80F61">
        <w:rPr>
          <w:bCs/>
        </w:rPr>
        <w:t>Ответственный за испытание»</w:t>
      </w:r>
      <w:bookmarkEnd w:id="271"/>
    </w:p>
    <w:p w:rsidR="00B80F61" w:rsidRPr="00B80F61" w:rsidRDefault="00CA7BD6" w:rsidP="00CA7BD6">
      <w:pPr>
        <w:pStyle w:val="SingleTxtGR"/>
        <w:spacing w:after="0"/>
        <w:rPr>
          <w:bCs/>
        </w:rPr>
      </w:pPr>
      <w:bookmarkStart w:id="272" w:name="bookmark_279"/>
      <w:r>
        <w:rPr>
          <w:bCs/>
        </w:rPr>
        <w:t>На «Составлен в:</w:t>
      </w:r>
      <w:r w:rsidR="00B80F61" w:rsidRPr="00B80F61">
        <w:rPr>
          <w:bCs/>
        </w:rPr>
        <w:t>…………………………….</w:t>
      </w:r>
      <w:bookmarkEnd w:id="272"/>
    </w:p>
    <w:p w:rsidR="00B80F61" w:rsidRPr="00B80F61" w:rsidRDefault="00B80F61" w:rsidP="00B80F61">
      <w:pPr>
        <w:pStyle w:val="SingleTxtGR"/>
        <w:rPr>
          <w:bCs/>
        </w:rPr>
      </w:pPr>
      <w:bookmarkStart w:id="273" w:name="bookmark_280"/>
      <w:r w:rsidRPr="00B80F61">
        <w:rPr>
          <w:bCs/>
        </w:rPr>
        <w:t>Дата протокола испытания:……………………………………………………………</w:t>
      </w:r>
      <w:bookmarkEnd w:id="273"/>
    </w:p>
    <w:p w:rsidR="00B80F61" w:rsidRPr="00B80F61" w:rsidRDefault="00B80F61" w:rsidP="00B40868">
      <w:pPr>
        <w:pStyle w:val="SingleTxtGR"/>
        <w:jc w:val="right"/>
      </w:pPr>
      <w:bookmarkStart w:id="274" w:name="bookmark_281"/>
      <w:r w:rsidRPr="00B80F61">
        <w:t>Ответственный за испытание».</w:t>
      </w:r>
      <w:bookmarkEnd w:id="274"/>
    </w:p>
    <w:p w:rsidR="00B80F61" w:rsidRPr="00B80F61" w:rsidRDefault="00B80F61" w:rsidP="00B80F61">
      <w:pPr>
        <w:pStyle w:val="SingleTxtGR"/>
      </w:pPr>
      <w:bookmarkStart w:id="275" w:name="bookmark_282"/>
      <w:r w:rsidRPr="00B80F61">
        <w:t>(</w:t>
      </w:r>
      <w:r w:rsidRPr="00B80F61">
        <w:rPr>
          <w:i/>
          <w:iCs/>
        </w:rPr>
        <w:t>Справочный документ:</w:t>
      </w:r>
      <w:r w:rsidRPr="00B80F61">
        <w:t xml:space="preserve"> ECE/TRANS/WP.11/2017/11)</w:t>
      </w:r>
      <w:bookmarkEnd w:id="275"/>
    </w:p>
    <w:p w:rsidR="00B80F61" w:rsidRPr="00B40868" w:rsidRDefault="00B80F61" w:rsidP="00B40868">
      <w:pPr>
        <w:pStyle w:val="H1GR"/>
        <w:rPr>
          <w:u w:val="single"/>
        </w:rPr>
      </w:pPr>
      <w:bookmarkStart w:id="276" w:name="bookmark_283"/>
      <w:r w:rsidRPr="00B80F61">
        <w:tab/>
      </w:r>
      <w:r w:rsidRPr="00B80F61">
        <w:tab/>
      </w:r>
      <w:r w:rsidRPr="00B40868">
        <w:rPr>
          <w:u w:val="single"/>
        </w:rPr>
        <w:t>Предложение по поправке 3</w:t>
      </w:r>
      <w:bookmarkEnd w:id="276"/>
    </w:p>
    <w:p w:rsidR="00B80F61" w:rsidRPr="00B80F61" w:rsidRDefault="00B80F61" w:rsidP="00B40868">
      <w:pPr>
        <w:pStyle w:val="H23GR"/>
      </w:pPr>
      <w:bookmarkStart w:id="277" w:name="bookmark_284"/>
      <w:r w:rsidRPr="00B80F61">
        <w:tab/>
        <w:t>3.</w:t>
      </w:r>
      <w:r w:rsidRPr="00B80F61">
        <w:tab/>
        <w:t>Приложение 1, добавление 2, раздел 4</w:t>
      </w:r>
      <w:bookmarkEnd w:id="277"/>
    </w:p>
    <w:p w:rsidR="00B80F61" w:rsidRPr="00B80F61" w:rsidRDefault="00B80F61" w:rsidP="00B80F61">
      <w:pPr>
        <w:pStyle w:val="SingleTxtGR"/>
      </w:pPr>
      <w:bookmarkStart w:id="278" w:name="bookmark_285"/>
      <w:r w:rsidRPr="00B80F61">
        <w:t>Включить новый раздел 4.5 следующего содержания:</w:t>
      </w:r>
      <w:bookmarkEnd w:id="278"/>
    </w:p>
    <w:p w:rsidR="00B80F61" w:rsidRPr="00B80F61" w:rsidRDefault="00B80F61" w:rsidP="00B80F61">
      <w:pPr>
        <w:pStyle w:val="SingleTxtGR"/>
        <w:rPr>
          <w:b/>
        </w:rPr>
      </w:pPr>
      <w:bookmarkStart w:id="279" w:name="bookmark_286"/>
      <w:r w:rsidRPr="00B80F61">
        <w:t>«</w:t>
      </w:r>
      <w:r w:rsidRPr="00B40868">
        <w:rPr>
          <w:b/>
        </w:rPr>
        <w:t>4.5</w:t>
      </w:r>
      <w:r w:rsidRPr="00B80F61">
        <w:tab/>
        <w:t xml:space="preserve">Процедура механического испытания холодильных установок в случае замены холодильных агентов </w:t>
      </w:r>
      <w:bookmarkEnd w:id="279"/>
    </w:p>
    <w:p w:rsidR="00B80F61" w:rsidRPr="00B80F61" w:rsidRDefault="00B80F61" w:rsidP="00B80F61">
      <w:pPr>
        <w:pStyle w:val="SingleTxtGR"/>
        <w:rPr>
          <w:u w:val="single"/>
        </w:rPr>
      </w:pPr>
      <w:bookmarkStart w:id="280" w:name="bookmark_287"/>
      <w:r w:rsidRPr="00B80F61">
        <w:rPr>
          <w:u w:val="single"/>
        </w:rPr>
        <w:t>4.5.1</w:t>
      </w:r>
      <w:r w:rsidRPr="00B80F61">
        <w:rPr>
          <w:u w:val="single"/>
        </w:rPr>
        <w:tab/>
        <w:t>Общие принципы</w:t>
      </w:r>
      <w:bookmarkEnd w:id="280"/>
    </w:p>
    <w:p w:rsidR="00B80F61" w:rsidRPr="00B80F61" w:rsidRDefault="00B80F61" w:rsidP="00B80F61">
      <w:pPr>
        <w:pStyle w:val="SingleTxtGR"/>
      </w:pPr>
      <w:bookmarkStart w:id="281" w:name="bookmark_288"/>
      <w:r w:rsidRPr="00B80F61">
        <w:t>Испытание соответствует процедуре, описанной в пунктах 4.1–4.4 раздела 4, и основано на полной проверке холодильной установки с одним хладагентом – опытным образцом.</w:t>
      </w:r>
      <w:bookmarkEnd w:id="281"/>
    </w:p>
    <w:p w:rsidR="00B80F61" w:rsidRPr="00B80F61" w:rsidRDefault="00B80F61" w:rsidP="00B80F61">
      <w:pPr>
        <w:pStyle w:val="SingleTxtGR"/>
      </w:pPr>
      <w:bookmarkStart w:id="282" w:name="bookmark_289"/>
      <w:r w:rsidRPr="00B80F61">
        <w:t>Холодильная установка, холодильный контур и его компоненты не должны отличаться при использовании альтернативных хладагентов. Допускаются лишь весьма ограниченные изменения, а именно</w:t>
      </w:r>
      <w:bookmarkEnd w:id="282"/>
      <w:r w:rsidRPr="00B80F61">
        <w:t>:</w:t>
      </w:r>
    </w:p>
    <w:p w:rsidR="00B80F61" w:rsidRPr="00B80F61" w:rsidRDefault="00B80F61" w:rsidP="00B40868">
      <w:pPr>
        <w:pStyle w:val="Bullet1GR"/>
      </w:pPr>
      <w:bookmarkStart w:id="283" w:name="bookmark_290"/>
      <w:r w:rsidRPr="00B80F61">
        <w:t>изменение и замена расширительного устройства (тип, настройка);</w:t>
      </w:r>
      <w:bookmarkEnd w:id="283"/>
    </w:p>
    <w:p w:rsidR="00B80F61" w:rsidRPr="00B80F61" w:rsidRDefault="00B80F61" w:rsidP="00B40868">
      <w:pPr>
        <w:pStyle w:val="Bullet1GR"/>
      </w:pPr>
      <w:bookmarkStart w:id="284" w:name="bookmark_291"/>
      <w:r w:rsidRPr="00B80F61">
        <w:t>замена смазочного вещества;</w:t>
      </w:r>
      <w:bookmarkEnd w:id="284"/>
    </w:p>
    <w:p w:rsidR="00B80F61" w:rsidRPr="00B80F61" w:rsidRDefault="00B80F61" w:rsidP="00B40868">
      <w:pPr>
        <w:pStyle w:val="Bullet1GR"/>
      </w:pPr>
      <w:bookmarkStart w:id="285" w:name="bookmark_292"/>
      <w:r w:rsidRPr="00B80F61">
        <w:t>замена уплотнений.</w:t>
      </w:r>
      <w:bookmarkEnd w:id="285"/>
    </w:p>
    <w:p w:rsidR="00B80F61" w:rsidRPr="00B80F61" w:rsidRDefault="00B80F61" w:rsidP="00B80F61">
      <w:pPr>
        <w:pStyle w:val="SingleTxtGR"/>
      </w:pPr>
      <w:bookmarkStart w:id="286" w:name="bookmark_293"/>
      <w:r w:rsidRPr="00B80F61">
        <w:t>В качестве замещающего хладагента альтернативный хладагент должен иметь термофизические и химические свойства, аналогичные хладагенту, служащему в качестве образца, а его поведение в холодильном контуре должно быть сопоставимым, особенно в отношении холодопроизводительности.</w:t>
      </w:r>
      <w:bookmarkEnd w:id="286"/>
    </w:p>
    <w:p w:rsidR="00B80F61" w:rsidRPr="00B80F61" w:rsidRDefault="00B80F61" w:rsidP="00B40868">
      <w:pPr>
        <w:pStyle w:val="SingleTxtGR"/>
        <w:pageBreakBefore/>
        <w:rPr>
          <w:u w:val="single"/>
        </w:rPr>
      </w:pPr>
      <w:bookmarkStart w:id="287" w:name="bookmark_294"/>
      <w:r w:rsidRPr="00B80F61">
        <w:rPr>
          <w:u w:val="single"/>
        </w:rPr>
        <w:lastRenderedPageBreak/>
        <w:t>4.5.2</w:t>
      </w:r>
      <w:r w:rsidRPr="00B80F61">
        <w:rPr>
          <w:u w:val="single"/>
        </w:rPr>
        <w:tab/>
        <w:t>Методика испытания</w:t>
      </w:r>
      <w:bookmarkEnd w:id="287"/>
    </w:p>
    <w:p w:rsidR="00B80F61" w:rsidRPr="00B80F61" w:rsidRDefault="00B80F61" w:rsidP="00B80F61">
      <w:pPr>
        <w:pStyle w:val="SingleTxtGR"/>
      </w:pPr>
      <w:bookmarkStart w:id="288" w:name="bookmark_295"/>
      <w:r w:rsidRPr="00B80F61">
        <w:t>В связи с аналогичным поведением замещающего хладагента и хладагента, служащего в качестве образца, количество испытаний, необходимых для допущения типа, может быть сокращено. В отношении холодопроизводительности замещающие хладагенты должны соответствовать критерию равноценности, согласно которому допускается снижение холодопроизводительности замещающег</w:t>
      </w:r>
      <w:r w:rsidR="00A307CE">
        <w:t>о хладагента не более чем на 10</w:t>
      </w:r>
      <w:r w:rsidRPr="00B80F61">
        <w:t>% по сравнению с холодопроизводительностью утвержденного хладагента, служащего в качестве образца.</w:t>
      </w:r>
      <w:bookmarkEnd w:id="288"/>
    </w:p>
    <w:p w:rsidR="00B80F61" w:rsidRPr="00B80F61" w:rsidRDefault="00B80F61" w:rsidP="00B80F61">
      <w:pPr>
        <w:pStyle w:val="SingleTxtGR"/>
      </w:pPr>
      <w:bookmarkStart w:id="289" w:name="bookmark_296"/>
      <w:r w:rsidRPr="00B80F61">
        <w:t>Критерий равноценности определяется по формуле:</w:t>
      </w:r>
      <w:bookmarkEnd w:id="289"/>
    </w:p>
    <w:p w:rsidR="00B40868" w:rsidRDefault="00515C5C" w:rsidP="00B80F61">
      <w:pPr>
        <w:pStyle w:val="SingleTxtGR"/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retrof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ref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ref</m:t>
                </m:r>
              </m:sub>
            </m:sSub>
          </m:den>
        </m:f>
        <m:r>
          <w:rPr>
            <w:rFonts w:ascii="Cambria Math" w:hAnsi="Cambria Math"/>
          </w:rPr>
          <m:t>≥-0,10</m:t>
        </m:r>
      </m:oMath>
      <w:bookmarkStart w:id="290" w:name="bookmark_297"/>
      <w:r w:rsidR="00B80F61" w:rsidRPr="00B80F61">
        <w:t xml:space="preserve"> (1), </w:t>
      </w:r>
    </w:p>
    <w:p w:rsidR="00B80F61" w:rsidRPr="004B0D45" w:rsidRDefault="00B80F61" w:rsidP="00B80F61">
      <w:pPr>
        <w:pStyle w:val="SingleTxtGR"/>
      </w:pPr>
      <w:r w:rsidRPr="00B80F61">
        <w:t>где</w:t>
      </w:r>
      <w:bookmarkEnd w:id="290"/>
      <w:r w:rsidR="00B40868" w:rsidRPr="004B0D45">
        <w:t>:</w:t>
      </w:r>
    </w:p>
    <w:bookmarkStart w:id="291" w:name="bookmark_298"/>
    <w:bookmarkEnd w:id="291"/>
    <w:p w:rsidR="00B80F61" w:rsidRPr="00B80F61" w:rsidRDefault="00515C5C" w:rsidP="00FC649E">
      <w:pPr>
        <w:pStyle w:val="SingleTxtGR"/>
        <w:tabs>
          <w:tab w:val="clear" w:pos="1701"/>
          <w:tab w:val="left" w:pos="1985"/>
        </w:tabs>
        <w:ind w:left="2268" w:hanging="1134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ref</m:t>
            </m:r>
          </m:sub>
        </m:sSub>
      </m:oMath>
      <w:bookmarkStart w:id="292" w:name="bookmark_299"/>
      <w:r w:rsidR="00B80F61" w:rsidRPr="00B80F61">
        <w:t xml:space="preserve"> </w:t>
      </w:r>
      <w:r w:rsidR="00B40868">
        <w:tab/>
      </w:r>
      <w:r w:rsidR="00FC649E" w:rsidRPr="00FC649E">
        <w:t>–</w:t>
      </w:r>
      <w:r w:rsidR="00FC649E" w:rsidRPr="00FC649E">
        <w:tab/>
      </w:r>
      <w:r w:rsidR="00B80F61" w:rsidRPr="00B80F61">
        <w:t>холодопроизводительность установки, испытываемой с хладагентом, служащим в качестве образца;</w:t>
      </w:r>
      <w:bookmarkEnd w:id="292"/>
    </w:p>
    <w:p w:rsidR="00B80F61" w:rsidRPr="00B80F61" w:rsidRDefault="00515C5C" w:rsidP="00FC649E">
      <w:pPr>
        <w:pStyle w:val="SingleTxtGR"/>
        <w:tabs>
          <w:tab w:val="clear" w:pos="1701"/>
          <w:tab w:val="left" w:pos="1985"/>
        </w:tabs>
        <w:ind w:left="2268" w:hanging="1134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retrof</m:t>
            </m:r>
          </m:sub>
        </m:sSub>
      </m:oMath>
      <w:bookmarkStart w:id="293" w:name="bookmark_300"/>
      <w:r w:rsidR="00B40868">
        <w:t xml:space="preserve"> </w:t>
      </w:r>
      <w:r w:rsidR="00B40868">
        <w:tab/>
      </w:r>
      <w:r w:rsidR="00FC649E" w:rsidRPr="00FC649E">
        <w:t>–</w:t>
      </w:r>
      <w:r w:rsidR="00FC649E" w:rsidRPr="00FC649E">
        <w:tab/>
      </w:r>
      <w:r w:rsidR="00B80F61" w:rsidRPr="00B80F61">
        <w:t>холодопроизводительность установки, испытываемой с замещающим хладагентом.</w:t>
      </w:r>
      <w:bookmarkEnd w:id="293"/>
    </w:p>
    <w:p w:rsidR="00B80F61" w:rsidRPr="00B80F61" w:rsidRDefault="00B80F61" w:rsidP="00B80F61">
      <w:pPr>
        <w:pStyle w:val="SingleTxtGR"/>
      </w:pPr>
      <w:bookmarkStart w:id="294" w:name="bookmark_301"/>
      <w:r w:rsidRPr="00B80F61">
        <w:t>Количество испытаний и оценка замещающих хладагентов основаны на разнице в результатах испытания по сравнению с хладагентом, служащим в качестве образца. Необходимо выполнить, по меньшей мере, одно испытание при самой низкой и самой высокой температурах для соответствующего температурного класса в режиме вождения с самой высокой холодопроизводительностью.</w:t>
      </w:r>
      <w:bookmarkEnd w:id="294"/>
    </w:p>
    <w:p w:rsidR="00B80F61" w:rsidRPr="00B80F61" w:rsidRDefault="00B80F61" w:rsidP="00B80F61">
      <w:pPr>
        <w:pStyle w:val="SingleTxtGR"/>
      </w:pPr>
      <w:bookmarkStart w:id="295" w:name="bookmark_302"/>
      <w:r w:rsidRPr="00B80F61">
        <w:t>В отношении модельного ряда холодильных установок программа испытания может быть в дальнейшем сокращена согласно пункту 4.5.3.</w:t>
      </w:r>
      <w:bookmarkEnd w:id="295"/>
    </w:p>
    <w:p w:rsidR="00B80F61" w:rsidRPr="00B80F61" w:rsidRDefault="00B80F61" w:rsidP="00B80F61">
      <w:pPr>
        <w:pStyle w:val="SingleTxtGR"/>
      </w:pPr>
      <w:bookmarkStart w:id="296" w:name="bookmark_303"/>
      <w:r w:rsidRPr="00B80F61">
        <w:t>В зависимости от результатов этих испытаний могут потребоваться дополнительные измерения. Проводятся различия в следующих случаях:</w:t>
      </w:r>
      <w:bookmarkEnd w:id="296"/>
    </w:p>
    <w:p w:rsidR="00B80F61" w:rsidRPr="00B80F61" w:rsidRDefault="00B80F61" w:rsidP="00B40868">
      <w:pPr>
        <w:pStyle w:val="Bullet1GR"/>
      </w:pPr>
      <w:bookmarkStart w:id="297" w:name="bookmark_304"/>
      <w:r w:rsidRPr="00B80F61">
        <w:rPr>
          <w:u w:val="single"/>
        </w:rPr>
        <w:t>Строгая равноценность</w:t>
      </w:r>
      <w:r w:rsidRPr="00B80F61">
        <w:t>: принимается тогда, когда холодопроизводительность замещающего хладагента меньше холодопроизводительности хладагента-образца на 10% или меньше при всех испытываемых температурах соответствующего температурного класса. Если холодопроизводительность меньше не более чем на 5%, то в протоколе испытания замещающего хладагента может использоваться холодопроизводительность хладагента-образца. Если холодопроизводительность меньше более чем на 5%, то холодопроизводительность замещающего хладагента может быть рассчитана на основе результатов испытания.</w:t>
      </w:r>
      <w:bookmarkEnd w:id="297"/>
    </w:p>
    <w:p w:rsidR="00B80F61" w:rsidRPr="00B80F61" w:rsidRDefault="00B80F61" w:rsidP="00B40868">
      <w:pPr>
        <w:pStyle w:val="Bullet1GR"/>
      </w:pPr>
      <w:bookmarkStart w:id="298" w:name="bookmark_305"/>
      <w:r w:rsidRPr="00B80F61">
        <w:rPr>
          <w:u w:val="single"/>
        </w:rPr>
        <w:t>Ограниченная равноценность</w:t>
      </w:r>
      <w:r w:rsidRPr="00B80F61">
        <w:t>: принимается тогда, когда по меньшей мере при одной испытуемой температуре соответствующего температурного класса холодопроизводительность замещающего хладагента меньше холодопроизводител</w:t>
      </w:r>
      <w:r w:rsidR="00CA7BD6">
        <w:t>ьности хладагента-образца на 10</w:t>
      </w:r>
      <w:r w:rsidRPr="00B80F61">
        <w:t>% или меньше. В этом случае требуется провести дополнительное измерение при промежуточной температуре, согласно указаниям изготовителя, чтобы подтвердить тенденцию к отклонению и рассчитать холодопроизводительность замещающего хладагента на основе результатов испытания.</w:t>
      </w:r>
      <w:bookmarkEnd w:id="298"/>
    </w:p>
    <w:p w:rsidR="00B80F61" w:rsidRPr="00B80F61" w:rsidRDefault="00B80F61" w:rsidP="00B80F61">
      <w:pPr>
        <w:pStyle w:val="SingleTxtGR"/>
      </w:pPr>
      <w:bookmarkStart w:id="299" w:name="bookmark_306"/>
      <w:r w:rsidRPr="00B80F61">
        <w:t>Если потребление энергии, проверенное при использовании замещающего хладагента, отличается от результатов, полученных при использовании хладагента-образца, то показания потребления энергии необходимо скорректировать в соответствии с измеренными значениями путем расчета, как в случае строгой, так и ограниченной равноценности.</w:t>
      </w:r>
      <w:bookmarkEnd w:id="299"/>
    </w:p>
    <w:p w:rsidR="00B80F61" w:rsidRPr="00B80F61" w:rsidRDefault="00B80F61" w:rsidP="00B80F61">
      <w:pPr>
        <w:pStyle w:val="SingleTxtGR"/>
        <w:rPr>
          <w:u w:val="single"/>
        </w:rPr>
      </w:pPr>
      <w:bookmarkStart w:id="300" w:name="bookmark_307"/>
      <w:r w:rsidRPr="00B80F61">
        <w:rPr>
          <w:u w:val="single"/>
        </w:rPr>
        <w:t>4.5.3</w:t>
      </w:r>
      <w:r w:rsidRPr="00B80F61">
        <w:rPr>
          <w:u w:val="single"/>
        </w:rPr>
        <w:tab/>
        <w:t>Методика испытаний для модельного ряда холодильных установок</w:t>
      </w:r>
      <w:bookmarkEnd w:id="300"/>
    </w:p>
    <w:p w:rsidR="00B80F61" w:rsidRPr="00B80F61" w:rsidRDefault="00B80F61" w:rsidP="00B80F61">
      <w:pPr>
        <w:pStyle w:val="SingleTxtGR"/>
      </w:pPr>
      <w:bookmarkStart w:id="301" w:name="bookmark_308"/>
      <w:r w:rsidRPr="00B80F61">
        <w:t xml:space="preserve">Модельный ряд холодильных установок характеризует модельный ряд определенного типа холодильных установок разных размеров и разной холодопроизводительности, но одинаковой компоновки холодильного контура и с одинаковыми компонентами холодильного контура. </w:t>
      </w:r>
      <w:bookmarkEnd w:id="301"/>
    </w:p>
    <w:p w:rsidR="00B80F61" w:rsidRPr="00B80F61" w:rsidRDefault="00B80F61" w:rsidP="00B80F61">
      <w:pPr>
        <w:pStyle w:val="SingleTxtGR"/>
      </w:pPr>
      <w:bookmarkStart w:id="302" w:name="bookmark_309"/>
      <w:r w:rsidRPr="00B80F61">
        <w:lastRenderedPageBreak/>
        <w:t>В случае модельного ряда холодильных установок возможно последующее уменьшение количества испытаний.</w:t>
      </w:r>
      <w:bookmarkEnd w:id="302"/>
    </w:p>
    <w:p w:rsidR="00B80F61" w:rsidRPr="00B80F61" w:rsidRDefault="00B80F61" w:rsidP="00B80F61">
      <w:pPr>
        <w:pStyle w:val="SingleTxtGR"/>
      </w:pPr>
      <w:bookmarkStart w:id="303" w:name="bookmark_310"/>
      <w:r w:rsidRPr="00B80F61">
        <w:t>Если в соответствии с процедурой испытания, описанной в пункте 4.5.2, было доказано, что показания по меньшей мере для двух холодильных установок модельного ряда, в который входят установки с самой низкой и самой высокой холодопроизводительностью, испытываемых с замещающим хладагентом, аналогичны показаниям при использовании утвержденного хладагента, служащего в качестве образца, то для всех остальных установок этого модельного ряда протоколы испытаний могут быть составлены при расчете холодопроизводительности на основе протоколов испытаний холодильных установок, работающих на хладагенте, служащем в качестве образца, и по результатам ограниченного количества испытаний с замещающим хладагентом.</w:t>
      </w:r>
      <w:bookmarkEnd w:id="303"/>
    </w:p>
    <w:p w:rsidR="00B80F61" w:rsidRPr="00B80F61" w:rsidRDefault="00B80F61" w:rsidP="00B80F61">
      <w:pPr>
        <w:pStyle w:val="SingleTxtGR"/>
      </w:pPr>
      <w:bookmarkStart w:id="304" w:name="bookmark_311"/>
      <w:r w:rsidRPr="00B80F61">
        <w:t>Изготовитель должен подтвердить соответствие испытываемых и всех других рассматриваемых холодильных установок модельному ряду холодильных установок. Кроме того, компетентный орган должен принять необходимые меры, чтобы проверить соответствие каждой рассматриваемой установки этому модельному ряду.</w:t>
      </w:r>
      <w:bookmarkEnd w:id="304"/>
    </w:p>
    <w:p w:rsidR="00B80F61" w:rsidRPr="00B80F61" w:rsidRDefault="00B80F61" w:rsidP="00B80F61">
      <w:pPr>
        <w:pStyle w:val="SingleTxtGR"/>
        <w:rPr>
          <w:u w:val="single"/>
        </w:rPr>
      </w:pPr>
      <w:bookmarkStart w:id="305" w:name="bookmark_312"/>
      <w:r w:rsidRPr="00B80F61">
        <w:rPr>
          <w:u w:val="single"/>
        </w:rPr>
        <w:t>4.5.4</w:t>
      </w:r>
      <w:r w:rsidRPr="00B80F61">
        <w:rPr>
          <w:u w:val="single"/>
        </w:rPr>
        <w:tab/>
        <w:t>Протокол испытаний</w:t>
      </w:r>
      <w:bookmarkEnd w:id="305"/>
    </w:p>
    <w:p w:rsidR="00B80F61" w:rsidRPr="00B80F61" w:rsidRDefault="00B80F61" w:rsidP="00B80F61">
      <w:pPr>
        <w:pStyle w:val="SingleTxtGR"/>
      </w:pPr>
      <w:bookmarkStart w:id="306" w:name="bookmark_313"/>
      <w:r w:rsidRPr="00B80F61">
        <w:t xml:space="preserve">К протоколу испытаний холодильной установки, работающей с использованием замещающего хладагента, должно прилагаться добавление с результатами испытаний обоих хладагентов – замещающего хладагента и хладагента утвержденного образца. В нем должны быть описаны все изменения холодильной установки в соответствии с пунктом 4.5.1. </w:t>
      </w:r>
      <w:bookmarkEnd w:id="306"/>
    </w:p>
    <w:p w:rsidR="00B80F61" w:rsidRPr="00B80F61" w:rsidRDefault="00B80F61" w:rsidP="00B80F61">
      <w:pPr>
        <w:pStyle w:val="SingleTxtGR"/>
      </w:pPr>
      <w:bookmarkStart w:id="307" w:name="bookmark_314"/>
      <w:r w:rsidRPr="00B80F61">
        <w:t>Если холодопроизводительность и, возможно, энергопотребление холодильной установки, содержащей замещающий хладагент, были определены расчетным путем, то порядок расчета также должен быть описан в этом добавлении».</w:t>
      </w:r>
      <w:bookmarkEnd w:id="307"/>
    </w:p>
    <w:p w:rsidR="00B80F61" w:rsidRPr="00B80F61" w:rsidRDefault="00B80F61" w:rsidP="00B80F61">
      <w:pPr>
        <w:pStyle w:val="SingleTxtGR"/>
        <w:rPr>
          <w:i/>
        </w:rPr>
      </w:pPr>
      <w:bookmarkStart w:id="308" w:name="bookmark_315"/>
      <w:r w:rsidRPr="00B80F61">
        <w:rPr>
          <w:i/>
          <w:iCs/>
        </w:rPr>
        <w:t>(Справочный документ: ECE/TRANS/WP.11/2017/23 с поправками)</w:t>
      </w:r>
      <w:bookmarkEnd w:id="308"/>
    </w:p>
    <w:p w:rsidR="00B80F61" w:rsidRPr="00B40868" w:rsidRDefault="00B80F61" w:rsidP="00B40868">
      <w:pPr>
        <w:pStyle w:val="H1GR"/>
        <w:rPr>
          <w:u w:val="single"/>
        </w:rPr>
      </w:pPr>
      <w:bookmarkStart w:id="309" w:name="bookmark_316"/>
      <w:r w:rsidRPr="00B80F61">
        <w:tab/>
      </w:r>
      <w:r w:rsidRPr="00B80F61">
        <w:tab/>
      </w:r>
      <w:r w:rsidRPr="00B40868">
        <w:rPr>
          <w:u w:val="single"/>
        </w:rPr>
        <w:t>Предложение по поправке 4</w:t>
      </w:r>
      <w:bookmarkEnd w:id="309"/>
    </w:p>
    <w:p w:rsidR="00B80F61" w:rsidRPr="00B80F61" w:rsidRDefault="00B80F61" w:rsidP="00B40868">
      <w:pPr>
        <w:pStyle w:val="H23GR"/>
      </w:pPr>
      <w:bookmarkStart w:id="310" w:name="bookmark_6"/>
      <w:r w:rsidRPr="00B80F61">
        <w:tab/>
        <w:t>4.</w:t>
      </w:r>
      <w:r w:rsidRPr="00B80F61">
        <w:tab/>
        <w:t>Приложение 1, добавление 2</w:t>
      </w:r>
      <w:bookmarkEnd w:id="310"/>
    </w:p>
    <w:p w:rsidR="00B80F61" w:rsidRPr="00B80F61" w:rsidRDefault="00B80F61" w:rsidP="00B80F61">
      <w:pPr>
        <w:pStyle w:val="SingleTxtGR"/>
      </w:pPr>
      <w:bookmarkStart w:id="311" w:name="bookmark_7"/>
      <w:r w:rsidRPr="00B80F61">
        <w:t>Включить новые пункты следующего содержания:</w:t>
      </w:r>
      <w:bookmarkEnd w:id="311"/>
    </w:p>
    <w:p w:rsidR="00B80F61" w:rsidRPr="00B80F61" w:rsidRDefault="00B80F61" w:rsidP="00B80F61">
      <w:pPr>
        <w:pStyle w:val="SingleTxtGR"/>
      </w:pPr>
      <w:bookmarkStart w:id="312" w:name="bookmark_8"/>
      <w:r w:rsidRPr="00B80F61">
        <w:t>«3.1.7</w:t>
      </w:r>
      <w:r w:rsidRPr="00B80F61">
        <w:tab/>
      </w:r>
      <w:r w:rsidR="00A307CE">
        <w:tab/>
      </w:r>
      <w:r w:rsidRPr="00B80F61">
        <w:t>Если холодильная установка, упомянутая в пункте 3.1.3 с), со всеми приспособлениями прошла отдельно испытание, предусмотренное в разделе 9 настоящего добавления, для определения ее полезной холодопроизводительности при предусмотренной заданной температуре и получила положительную оценку компетентного органа, то данное транспортное средство может считаться транспортным средством-рефрижератором без проведения каких-либо испытаний эффективности при условии, что полезная холодопроизводительность данной установки в постоянном режиме работы будет выше потерь тепла через стенки кузова для рассматриваемого класса, умноженных на коэффициент 1,75.</w:t>
      </w:r>
      <w:bookmarkEnd w:id="312"/>
    </w:p>
    <w:p w:rsidR="00B80F61" w:rsidRPr="00B80F61" w:rsidRDefault="00B80F61" w:rsidP="00B80F61">
      <w:pPr>
        <w:pStyle w:val="SingleTxtGR"/>
      </w:pPr>
      <w:bookmarkStart w:id="313" w:name="bookmark_9"/>
      <w:r w:rsidRPr="00B80F61">
        <w:t>3.1.8</w:t>
      </w:r>
      <w:r w:rsidRPr="00B80F61">
        <w:tab/>
      </w:r>
      <w:r w:rsidR="00A307CE">
        <w:tab/>
      </w:r>
      <w:r w:rsidRPr="00B80F61">
        <w:t>Если холодильная установка заменяется установкой иного типа, то компетентный орган может:</w:t>
      </w:r>
      <w:bookmarkEnd w:id="313"/>
    </w:p>
    <w:p w:rsidR="00B80F61" w:rsidRPr="00B80F61" w:rsidRDefault="00B80F61" w:rsidP="00B40868">
      <w:pPr>
        <w:pStyle w:val="SingleTxtGR"/>
        <w:ind w:left="2268" w:hanging="567"/>
      </w:pPr>
      <w:bookmarkStart w:id="314" w:name="bookmark_10"/>
      <w:r w:rsidRPr="00B80F61">
        <w:t>a)</w:t>
      </w:r>
      <w:r w:rsidRPr="00B80F61">
        <w:tab/>
        <w:t xml:space="preserve">потребовать, чтобы транспортное средство было подвергнуто измерениям и контролю, предусмотренным в пунктах 3.1.3−3.1.5, </w:t>
      </w:r>
      <w:bookmarkEnd w:id="314"/>
      <w:r w:rsidRPr="00B80F61">
        <w:t>либо</w:t>
      </w:r>
    </w:p>
    <w:p w:rsidR="00B80F61" w:rsidRPr="00B80F61" w:rsidRDefault="00B80F61" w:rsidP="00B40868">
      <w:pPr>
        <w:pStyle w:val="SingleTxtGR"/>
        <w:ind w:left="2268" w:hanging="567"/>
      </w:pPr>
      <w:bookmarkStart w:id="315" w:name="bookmark_11"/>
      <w:r w:rsidRPr="00B80F61">
        <w:t>b)</w:t>
      </w:r>
      <w:r w:rsidRPr="00B80F61">
        <w:tab/>
        <w:t xml:space="preserve">удостовериться в том, что полезная холодопроизводительность новой холодильной установки при температуре, предусмотренной для данного класса транспортных средств, равна или выше полезной холодопроизводительности замененной установки, </w:t>
      </w:r>
      <w:bookmarkEnd w:id="315"/>
      <w:r w:rsidRPr="00B80F61">
        <w:t>либо</w:t>
      </w:r>
    </w:p>
    <w:p w:rsidR="00B80F61" w:rsidRPr="00B80F61" w:rsidRDefault="00B80F61" w:rsidP="00B40868">
      <w:pPr>
        <w:pStyle w:val="SingleTxtGR"/>
        <w:ind w:left="2268" w:hanging="567"/>
      </w:pPr>
      <w:bookmarkStart w:id="316" w:name="bookmark_12"/>
      <w:r w:rsidRPr="00B80F61">
        <w:t>с)</w:t>
      </w:r>
      <w:r w:rsidRPr="00B80F61">
        <w:tab/>
        <w:t>удостовериться в том, что полезная холодопроизводительность новой холодильной установки отвечает требованиям пункта 3.1.7.</w:t>
      </w:r>
      <w:bookmarkEnd w:id="316"/>
    </w:p>
    <w:p w:rsidR="00B80F61" w:rsidRPr="00B80F61" w:rsidRDefault="00B80F61" w:rsidP="00B80F61">
      <w:pPr>
        <w:pStyle w:val="SingleTxtGR"/>
      </w:pPr>
      <w:bookmarkStart w:id="317" w:name="bookmark_13"/>
      <w:r w:rsidRPr="00B80F61">
        <w:lastRenderedPageBreak/>
        <w:t>3.1.9</w:t>
      </w:r>
      <w:r w:rsidRPr="00B80F61">
        <w:tab/>
        <w:t>Холодильная установка, работающая на сжиженном газе, считается установкой того же типа, что и испытуемая установка, если:</w:t>
      </w:r>
      <w:bookmarkEnd w:id="317"/>
    </w:p>
    <w:p w:rsidR="00B80F61" w:rsidRPr="00B80F61" w:rsidRDefault="00B80F61" w:rsidP="00B40868">
      <w:pPr>
        <w:pStyle w:val="Bullet1GR"/>
      </w:pPr>
      <w:bookmarkStart w:id="318" w:name="bookmark_14"/>
      <w:r w:rsidRPr="00B80F61">
        <w:t>в ней используется тот же хладагент;</w:t>
      </w:r>
      <w:bookmarkEnd w:id="318"/>
    </w:p>
    <w:p w:rsidR="00B80F61" w:rsidRPr="00B80F61" w:rsidRDefault="00B80F61" w:rsidP="00B40868">
      <w:pPr>
        <w:pStyle w:val="Bullet1GR"/>
      </w:pPr>
      <w:bookmarkStart w:id="319" w:name="bookmark_15"/>
      <w:r w:rsidRPr="00B80F61">
        <w:t>испаритель имеет ту же холодопроизводительность;</w:t>
      </w:r>
      <w:bookmarkEnd w:id="319"/>
    </w:p>
    <w:p w:rsidR="00B80F61" w:rsidRPr="00B80F61" w:rsidRDefault="00B80F61" w:rsidP="00B40868">
      <w:pPr>
        <w:pStyle w:val="Bullet1GR"/>
      </w:pPr>
      <w:bookmarkStart w:id="320" w:name="bookmark_16"/>
      <w:r w:rsidRPr="00B80F61">
        <w:t>система регулировки имеет те же характеристики;</w:t>
      </w:r>
      <w:bookmarkEnd w:id="320"/>
    </w:p>
    <w:p w:rsidR="00B80F61" w:rsidRPr="00B80F61" w:rsidRDefault="00B80F61" w:rsidP="00B40868">
      <w:pPr>
        <w:pStyle w:val="Bullet1GR"/>
      </w:pPr>
      <w:bookmarkStart w:id="321" w:name="bookmark_17"/>
      <w:r w:rsidRPr="00B80F61">
        <w:t>емкость со сжиженным газом имеет тот же тип конструкции, который указан в протоколе испытания, и равную или бóльшую вместимость;</w:t>
      </w:r>
      <w:bookmarkEnd w:id="321"/>
    </w:p>
    <w:p w:rsidR="00B80F61" w:rsidRPr="00B80F61" w:rsidRDefault="00B80F61" w:rsidP="00B40868">
      <w:pPr>
        <w:pStyle w:val="Bullet1GR"/>
      </w:pPr>
      <w:bookmarkStart w:id="322" w:name="bookmark_18"/>
      <w:r w:rsidRPr="00B80F61">
        <w:t>питающие ее магистрали имеют идентичный диаметр и тип».</w:t>
      </w:r>
      <w:bookmarkEnd w:id="322"/>
    </w:p>
    <w:p w:rsidR="00B80F61" w:rsidRPr="00B80F61" w:rsidRDefault="00B80F61" w:rsidP="00B80F61">
      <w:pPr>
        <w:pStyle w:val="SingleTxtGR"/>
      </w:pPr>
      <w:bookmarkStart w:id="323" w:name="bookmark_19"/>
      <w:r w:rsidRPr="00B80F61">
        <w:t>(</w:t>
      </w:r>
      <w:r w:rsidRPr="00B80F61">
        <w:rPr>
          <w:i/>
          <w:iCs/>
        </w:rPr>
        <w:t>Справочный документ: ECE/TRANS/WP.11/2017/5)</w:t>
      </w:r>
      <w:bookmarkEnd w:id="323"/>
    </w:p>
    <w:p w:rsidR="00B80F61" w:rsidRPr="00B80F61" w:rsidRDefault="00B80F61" w:rsidP="00B40868">
      <w:pPr>
        <w:pStyle w:val="H23GR"/>
      </w:pPr>
      <w:bookmarkStart w:id="324" w:name="bookmark_20"/>
      <w:r w:rsidRPr="00B80F61">
        <w:tab/>
        <w:t>5.</w:t>
      </w:r>
      <w:r w:rsidRPr="00B80F61">
        <w:tab/>
        <w:t>Приложение 1, добавление 2</w:t>
      </w:r>
      <w:bookmarkEnd w:id="324"/>
    </w:p>
    <w:p w:rsidR="00B80F61" w:rsidRPr="00B80F61" w:rsidRDefault="00B80F61" w:rsidP="00B80F61">
      <w:pPr>
        <w:pStyle w:val="SingleTxtGR"/>
      </w:pPr>
      <w:bookmarkStart w:id="325" w:name="bookmark_21"/>
      <w:r w:rsidRPr="00B80F61">
        <w:t>Включить новый раздел 9 следующего содержания:</w:t>
      </w:r>
      <w:bookmarkEnd w:id="325"/>
    </w:p>
    <w:p w:rsidR="00B80F61" w:rsidRPr="00B80F61" w:rsidRDefault="00B80F61" w:rsidP="00B80F61">
      <w:pPr>
        <w:pStyle w:val="SingleTxtGR"/>
        <w:rPr>
          <w:b/>
          <w:bCs/>
        </w:rPr>
      </w:pPr>
      <w:bookmarkStart w:id="326" w:name="bookmark_22"/>
      <w:r w:rsidRPr="00FC649E">
        <w:rPr>
          <w:bCs/>
        </w:rPr>
        <w:t>«</w:t>
      </w:r>
      <w:r w:rsidRPr="00B80F61">
        <w:rPr>
          <w:b/>
          <w:bCs/>
        </w:rPr>
        <w:t>9.</w:t>
      </w:r>
      <w:r w:rsidRPr="00B80F61">
        <w:rPr>
          <w:b/>
          <w:bCs/>
        </w:rPr>
        <w:tab/>
        <w:t>ПРОЦЕДУРА ИЗМЕРЕНИЯ ХОЛОДОПРОИЗВОДИТЕЛЬНОСТИ ХОЛОДИЛЬНЫХ УСТАНОВОК, РАБОТАЮЩИХ НА СЖИЖЕННОМ ГАЗЕ, И ПАРАМЕТРОВ ТРАНСПОРТНЫХ СРЕДСТВ, ИСПОЛЬЗУЮЩИХ ЭТИ УСТАНОВКИ</w:t>
      </w:r>
      <w:bookmarkEnd w:id="326"/>
    </w:p>
    <w:p w:rsidR="00B80F61" w:rsidRPr="00B80F61" w:rsidRDefault="00B40868" w:rsidP="00B40868">
      <w:pPr>
        <w:pStyle w:val="H23GR"/>
      </w:pPr>
      <w:bookmarkStart w:id="327" w:name="bookmark_23"/>
      <w:r>
        <w:tab/>
      </w:r>
      <w:r>
        <w:tab/>
      </w:r>
      <w:r w:rsidR="00B80F61" w:rsidRPr="00B80F61">
        <w:t>9.1</w:t>
      </w:r>
      <w:r w:rsidR="00B80F61" w:rsidRPr="00B80F61">
        <w:tab/>
        <w:t>Определения</w:t>
      </w:r>
      <w:bookmarkEnd w:id="327"/>
    </w:p>
    <w:p w:rsidR="00B80F61" w:rsidRPr="00B80F61" w:rsidRDefault="00B80F61" w:rsidP="00CA7BD6">
      <w:pPr>
        <w:pStyle w:val="SingleTxtGR"/>
        <w:ind w:left="1701" w:hanging="567"/>
      </w:pPr>
      <w:bookmarkStart w:id="328" w:name="bookmark_24"/>
      <w:r w:rsidRPr="00B80F61">
        <w:t>a)</w:t>
      </w:r>
      <w:r w:rsidRPr="00B80F61">
        <w:tab/>
        <w:t>Холодильная установка, работающая на сжиженном газе, состоит из емкости, содержащей сжиженный газ, системы регулировки, соединительной системы, в соответствующих случаях глушителя и одного и более испарителей;</w:t>
      </w:r>
      <w:bookmarkEnd w:id="328"/>
    </w:p>
    <w:p w:rsidR="00B80F61" w:rsidRPr="00B80F61" w:rsidRDefault="00B80F61" w:rsidP="00CA7BD6">
      <w:pPr>
        <w:pStyle w:val="SingleTxtGR"/>
        <w:ind w:left="1701" w:hanging="567"/>
      </w:pPr>
      <w:bookmarkStart w:id="329" w:name="bookmark_25"/>
      <w:r w:rsidRPr="00B80F61">
        <w:t>b)</w:t>
      </w:r>
      <w:r w:rsidRPr="00B80F61">
        <w:tab/>
        <w:t>первичный испаритель: любая минимальная комплектная установка, работающая на сжиженном газе, которая предназначена для поглощения тепла в изотермической камере;</w:t>
      </w:r>
      <w:bookmarkEnd w:id="329"/>
    </w:p>
    <w:p w:rsidR="00B80F61" w:rsidRPr="00B80F61" w:rsidRDefault="00B80F61" w:rsidP="00CA7BD6">
      <w:pPr>
        <w:pStyle w:val="SingleTxtGR"/>
        <w:ind w:left="1701" w:hanging="567"/>
      </w:pPr>
      <w:bookmarkStart w:id="330" w:name="bookmark_26"/>
      <w:r w:rsidRPr="00B80F61">
        <w:t>с)</w:t>
      </w:r>
      <w:r w:rsidRPr="00B80F61">
        <w:tab/>
        <w:t>испаритель: любой комплект, состоящий из первичных испарителей, расположенных в изотермической камере;</w:t>
      </w:r>
      <w:bookmarkEnd w:id="330"/>
    </w:p>
    <w:p w:rsidR="00B80F61" w:rsidRPr="00B80F61" w:rsidRDefault="00B80F61" w:rsidP="00CA7BD6">
      <w:pPr>
        <w:pStyle w:val="SingleTxtGR"/>
        <w:ind w:left="1701" w:hanging="567"/>
      </w:pPr>
      <w:bookmarkStart w:id="331" w:name="bookmark_27"/>
      <w:r w:rsidRPr="00B80F61">
        <w:t>d)</w:t>
      </w:r>
      <w:r w:rsidRPr="00B80F61">
        <w:tab/>
        <w:t>испаритель с максимальной номинальной мощностью: любой комплект, состоящий из первичных испарителей, расположенных в одной или нескольких изотермических камерах;</w:t>
      </w:r>
      <w:bookmarkEnd w:id="331"/>
    </w:p>
    <w:p w:rsidR="00B80F61" w:rsidRPr="00B80F61" w:rsidRDefault="00B80F61" w:rsidP="00CA7BD6">
      <w:pPr>
        <w:pStyle w:val="SingleTxtGR"/>
        <w:ind w:left="1701" w:hanging="567"/>
      </w:pPr>
      <w:bookmarkStart w:id="332" w:name="bookmark_28"/>
      <w:r w:rsidRPr="00B80F61">
        <w:t>e)</w:t>
      </w:r>
      <w:r w:rsidRPr="00B80F61">
        <w:tab/>
        <w:t>монотемпературная холодильная установка, работающая на сжиженном газе: холодильная установка, работающая на сжиженном газе, с емкостью для сжиженного газа, соединенной с одним испарителем для регулирования температуры в одной изотермической камере;</w:t>
      </w:r>
      <w:bookmarkEnd w:id="332"/>
    </w:p>
    <w:p w:rsidR="00B80F61" w:rsidRPr="00B80F61" w:rsidRDefault="00B80F61" w:rsidP="00CA7BD6">
      <w:pPr>
        <w:pStyle w:val="SingleTxtGR"/>
        <w:ind w:left="1701" w:hanging="567"/>
      </w:pPr>
      <w:bookmarkStart w:id="333" w:name="bookmark_29"/>
      <w:r w:rsidRPr="00B80F61">
        <w:t>f)</w:t>
      </w:r>
      <w:r w:rsidRPr="00B80F61">
        <w:tab/>
        <w:t>мультитемпературная холодильная установка, работающая на сжиженном газе: холодильная установка, работающая на сжиженном газе, с емкостью для сжиженного газа, соединенная как минимум с двумя испарителями, каждый из которых регулирует температуру в одной отдельной изотермической камере данного многокамерного транспортного средства;</w:t>
      </w:r>
      <w:bookmarkEnd w:id="333"/>
    </w:p>
    <w:p w:rsidR="00B80F61" w:rsidRPr="00B80F61" w:rsidRDefault="00B80F61" w:rsidP="00CA7BD6">
      <w:pPr>
        <w:pStyle w:val="SingleTxtGR"/>
        <w:ind w:left="1701" w:hanging="567"/>
      </w:pPr>
      <w:bookmarkStart w:id="334" w:name="bookmark_30"/>
      <w:r w:rsidRPr="00B80F61">
        <w:t>g)</w:t>
      </w:r>
      <w:r w:rsidRPr="00B80F61">
        <w:tab/>
        <w:t>монотемпературный режим работы: эксплуатация моно- или мультитемпературной холодильной установки, работающей на сжиженном газе, в которой работает только один испаритель, обеспечивающий поддержание температуры в одной камере однокамерного или многокамерного транспортного средства;</w:t>
      </w:r>
      <w:bookmarkEnd w:id="334"/>
    </w:p>
    <w:p w:rsidR="00B80F61" w:rsidRPr="00B80F61" w:rsidRDefault="00B80F61" w:rsidP="00CA7BD6">
      <w:pPr>
        <w:pStyle w:val="SingleTxtGR"/>
        <w:ind w:left="1701" w:hanging="567"/>
      </w:pPr>
      <w:bookmarkStart w:id="335" w:name="bookmark_31"/>
      <w:r w:rsidRPr="00B80F61">
        <w:t>h)</w:t>
      </w:r>
      <w:r w:rsidRPr="00B80F61">
        <w:tab/>
        <w:t>мультитемпературный режим работы: эксплуатация мультитемпературной установки, работающей на сжиженном газе, в которой работают как минимум два испарителя, обеспечивающие поддержание двух различных уровней температуры в изотермических камерах многокамерного транспортного средства;</w:t>
      </w:r>
      <w:bookmarkEnd w:id="335"/>
    </w:p>
    <w:p w:rsidR="00B80F61" w:rsidRPr="00B80F61" w:rsidRDefault="00B80F61" w:rsidP="00CA7BD6">
      <w:pPr>
        <w:pStyle w:val="SingleTxtGR"/>
        <w:ind w:left="1701" w:hanging="567"/>
      </w:pPr>
      <w:r w:rsidRPr="00B80F61">
        <w:lastRenderedPageBreak/>
        <w:t>i)</w:t>
      </w:r>
      <w:r w:rsidRPr="00B80F61">
        <w:tab/>
        <w:t>максимальная номинальная холодопроизводительность (Pmax-nom): холодопроизводительность, указанная изготовителем установки, работающей на сжиженном газе, в качестве максимальной;</w:t>
      </w:r>
    </w:p>
    <w:p w:rsidR="00B80F61" w:rsidRPr="00B80F61" w:rsidRDefault="00B80F61" w:rsidP="00CA7BD6">
      <w:pPr>
        <w:pStyle w:val="SingleTxtGR"/>
        <w:ind w:left="1701" w:hanging="567"/>
      </w:pPr>
      <w:r w:rsidRPr="00B80F61">
        <w:t>j)</w:t>
      </w:r>
      <w:r w:rsidRPr="00B80F61">
        <w:tab/>
        <w:t>номинальная установленная холодопроизводительность (Pnom-ins): максимальная холодопроизводительность, которая может быть обеспечена данной конфигурацией испарителей установки, работающей на сжиженном газе, в пределах максимальной номинальной холодопроизводительности;</w:t>
      </w:r>
    </w:p>
    <w:p w:rsidR="00B80F61" w:rsidRPr="00B80F61" w:rsidRDefault="00B80F61" w:rsidP="00CA7BD6">
      <w:pPr>
        <w:pStyle w:val="SingleTxtGR"/>
        <w:ind w:left="1701" w:hanging="567"/>
      </w:pPr>
      <w:r w:rsidRPr="00B80F61">
        <w:t>k)</w:t>
      </w:r>
      <w:r w:rsidRPr="00B80F61">
        <w:tab/>
        <w:t>индивидуальная холодопроизводительность (Pind-evap): максимальная холодопроизводительность каждого испарителя, когда установка, работающая на сжиженном газе, функционирует в монотемпературном режиме;</w:t>
      </w:r>
    </w:p>
    <w:p w:rsidR="00B80F61" w:rsidRPr="00B80F61" w:rsidRDefault="00B80F61" w:rsidP="00CA7BD6">
      <w:pPr>
        <w:pStyle w:val="SingleTxtGR"/>
        <w:ind w:left="1701" w:hanging="567"/>
      </w:pPr>
      <w:r w:rsidRPr="00B80F61">
        <w:t>l)</w:t>
      </w:r>
      <w:r w:rsidRPr="00B80F61">
        <w:tab/>
        <w:t>полезная холодопроизводительность (Peff-frozen-evap): холодопроизводительность при наименьшей температуре испарителя, когда установка, работающая на сжиженном газе, функционирует в режиме, предписанном в пункте 9.2.4.</w:t>
      </w:r>
    </w:p>
    <w:p w:rsidR="00B80F61" w:rsidRPr="00B80F61" w:rsidRDefault="00B40868" w:rsidP="00B40868">
      <w:pPr>
        <w:pStyle w:val="H23GR"/>
      </w:pPr>
      <w:r>
        <w:tab/>
      </w:r>
      <w:r>
        <w:tab/>
      </w:r>
      <w:r w:rsidR="00B80F61" w:rsidRPr="00B80F61">
        <w:t>9.2</w:t>
      </w:r>
      <w:r w:rsidR="00B80F61" w:rsidRPr="00B80F61">
        <w:tab/>
        <w:t>Процедура испытания установок, работающих на сжиженном газе</w:t>
      </w:r>
    </w:p>
    <w:p w:rsidR="00B80F61" w:rsidRPr="00B80F61" w:rsidRDefault="00B80F61" w:rsidP="00B80F61">
      <w:pPr>
        <w:pStyle w:val="SingleTxtGR"/>
        <w:rPr>
          <w:u w:val="single"/>
        </w:rPr>
      </w:pPr>
      <w:r w:rsidRPr="00B80F61">
        <w:rPr>
          <w:u w:val="single"/>
        </w:rPr>
        <w:t>9.2.1</w:t>
      </w:r>
      <w:r w:rsidRPr="00B80F61">
        <w:rPr>
          <w:u w:val="single"/>
        </w:rPr>
        <w:tab/>
        <w:t>Общая процедура</w:t>
      </w:r>
    </w:p>
    <w:p w:rsidR="00B80F61" w:rsidRPr="00B80F61" w:rsidRDefault="00B80F61" w:rsidP="00B80F61">
      <w:pPr>
        <w:pStyle w:val="SingleTxtGR"/>
      </w:pPr>
      <w:r w:rsidRPr="00B80F61">
        <w:t>Процедура испытания соответствует предписаниям раздела 4 добавления 2 к приложению 1 к СПС с учетом нижеследующих требований.</w:t>
      </w:r>
    </w:p>
    <w:p w:rsidR="00B80F61" w:rsidRPr="00B80F61" w:rsidRDefault="00B80F61" w:rsidP="00B80F61">
      <w:pPr>
        <w:pStyle w:val="SingleTxtGR"/>
      </w:pPr>
      <w:r w:rsidRPr="00B80F61">
        <w:t>Испытания проводят для различных первичных испарителей. Каждый первичный испаритель испытывают на отдельном калориметре, если это применимо, и в одном испытательном боксе в условиях регулируемой температуры.</w:t>
      </w:r>
    </w:p>
    <w:p w:rsidR="00B80F61" w:rsidRPr="00B80F61" w:rsidRDefault="00B80F61" w:rsidP="00B80F61">
      <w:pPr>
        <w:pStyle w:val="SingleTxtGR"/>
      </w:pPr>
      <w:r w:rsidRPr="00B80F61">
        <w:t>В случае монотемпературной установки, работающей на сжиженном газе, проводят только измерение холодопроизводительности регулирующей установки с испарителем максимальной номинальной мощности. В соответствии с пунк</w:t>
      </w:r>
      <w:r w:rsidR="00A307CE">
        <w:t>-</w:t>
      </w:r>
      <w:r w:rsidRPr="00B80F61">
        <w:t>том</w:t>
      </w:r>
      <w:r w:rsidR="00A307CE">
        <w:t> </w:t>
      </w:r>
      <w:r w:rsidRPr="00B80F61">
        <w:t>4 добавления 2 к приложению 1 к СПС добавляется третий уровень температуры.</w:t>
      </w:r>
    </w:p>
    <w:p w:rsidR="00B80F61" w:rsidRPr="00B80F61" w:rsidRDefault="00B80F61" w:rsidP="00B80F61">
      <w:pPr>
        <w:pStyle w:val="SingleTxtGR"/>
      </w:pPr>
      <w:r w:rsidRPr="00B80F61">
        <w:t>В случае мультитемпературной установки, работающей на сжиженном газе, измеряется индивидуальная холодопроизводительность для всех первичных испарителей, каждый из которых функционирует в монотемпературном режиме, как предписано в пункте 9.2.3.</w:t>
      </w:r>
    </w:p>
    <w:p w:rsidR="00B80F61" w:rsidRPr="00B80F61" w:rsidRDefault="00B80F61" w:rsidP="00B80F61">
      <w:pPr>
        <w:pStyle w:val="SingleTxtGR"/>
      </w:pPr>
      <w:r w:rsidRPr="00B80F61">
        <w:t>Определение холодопроизводительности производят с использованием емкости со сжиженным газом, предусмотренной изготовителем и позволяющей провести полное испытание без промежуточной дозаправки.</w:t>
      </w:r>
    </w:p>
    <w:p w:rsidR="00B80F61" w:rsidRPr="00B80F61" w:rsidRDefault="00B80F61" w:rsidP="00B80F61">
      <w:pPr>
        <w:pStyle w:val="SingleTxtGR"/>
      </w:pPr>
      <w:r w:rsidRPr="00B80F61">
        <w:t>Все узлы холодильной установки, работающей на сжиженном газе, помещают в термостатический бокс при температуре 30,0 ± 0,5 °C.</w:t>
      </w:r>
    </w:p>
    <w:p w:rsidR="00B80F61" w:rsidRPr="00B80F61" w:rsidRDefault="00B80F61" w:rsidP="00B80F61">
      <w:pPr>
        <w:pStyle w:val="SingleTxtGR"/>
      </w:pPr>
      <w:r w:rsidRPr="00B80F61">
        <w:t>В ходе каждого испытания также регистрируют:</w:t>
      </w:r>
    </w:p>
    <w:p w:rsidR="00B80F61" w:rsidRPr="00B80F61" w:rsidRDefault="00B80F61" w:rsidP="00B80F61">
      <w:pPr>
        <w:pStyle w:val="SingleTxtGR"/>
      </w:pPr>
      <w:r w:rsidRPr="00B80F61">
        <w:t>расход, температуру и давление сжиженного газа, который выходит из используемой емкости;</w:t>
      </w:r>
    </w:p>
    <w:p w:rsidR="00B80F61" w:rsidRPr="00B80F61" w:rsidRDefault="00B80F61" w:rsidP="00B80F61">
      <w:pPr>
        <w:pStyle w:val="SingleTxtGR"/>
      </w:pPr>
      <w:r w:rsidRPr="00B80F61">
        <w:t>напряжение, силу тока и общее потребление электроэнергии оборудованием, работающим на сжиженном газе (вентилятором и т.д.).</w:t>
      </w:r>
    </w:p>
    <w:p w:rsidR="00B80F61" w:rsidRPr="00B80F61" w:rsidRDefault="00B80F61" w:rsidP="00B80F61">
      <w:pPr>
        <w:pStyle w:val="SingleTxtGR"/>
      </w:pPr>
      <w:r w:rsidRPr="00B80F61">
        <w:t>В ходе данного испытания расход газа должен быть равен среднему потреблению сжиженного газа по массе.</w:t>
      </w:r>
    </w:p>
    <w:p w:rsidR="00B80F61" w:rsidRPr="00B80F61" w:rsidRDefault="00B80F61" w:rsidP="00B80F61">
      <w:pPr>
        <w:pStyle w:val="SingleTxtGR"/>
      </w:pPr>
      <w:r w:rsidRPr="00B80F61">
        <w:t>Помимо определения расхода сжиженного газа каждая величина определяется физически за установленный период продолжительностью не более 10 секунд, и каждая величина регистрируется в течение периода максимальной продолжительностью 2 минуты при условии, что:</w:t>
      </w:r>
    </w:p>
    <w:p w:rsidR="00B80F61" w:rsidRPr="00B80F61" w:rsidRDefault="00B80F61" w:rsidP="00B80F61">
      <w:pPr>
        <w:pStyle w:val="SingleTxtGR"/>
      </w:pPr>
      <w:r w:rsidRPr="00B80F61">
        <w:t xml:space="preserve">каждое зарегистрированное значение температуры в точке забора воздуха испарителем, охлаждаемым вентилятором, или каждое зарегистрированное значение </w:t>
      </w:r>
      <w:r w:rsidRPr="00B80F61">
        <w:lastRenderedPageBreak/>
        <w:t>температуры воздуха внутри камеры в случае испарителя, который не вентилируется, соответствует температуре данного класса с допуском ±</w:t>
      </w:r>
      <w:r w:rsidR="00CA7BD6" w:rsidRPr="00CA7BD6">
        <w:t xml:space="preserve"> </w:t>
      </w:r>
      <w:r w:rsidRPr="00B80F61">
        <w:t>1K.</w:t>
      </w:r>
    </w:p>
    <w:p w:rsidR="00B80F61" w:rsidRPr="00B80F61" w:rsidRDefault="00B80F61" w:rsidP="00B80F61">
      <w:pPr>
        <w:pStyle w:val="SingleTxtGR"/>
      </w:pPr>
      <w:r w:rsidRPr="00B80F61">
        <w:t>Если электрооборудование установки, работающей на сжиженном газе, может питаться более чем от одного источника энергии, то испытания повторяют соответствующее число раз.</w:t>
      </w:r>
    </w:p>
    <w:p w:rsidR="00B80F61" w:rsidRPr="00B80F61" w:rsidRDefault="00B80F61" w:rsidP="00B80F61">
      <w:pPr>
        <w:pStyle w:val="SingleTxtGR"/>
      </w:pPr>
      <w:r w:rsidRPr="00B80F61">
        <w:t>Если испытания показывают эквивалентность максимальной номинальной холодопроизводительности независимо от режима работы холодильной установки, работающей на сжиженном газе, то в этом случае испытания можно ограничить одним видом электропитания с учетом потенциального воздействия на расход воздуха, нагнетаемого, в соответствующих случаях, испарителями. Эквивалентность подтверждается, если:</w:t>
      </w:r>
    </w:p>
    <w:p w:rsidR="00484BD4" w:rsidRPr="00484BD4" w:rsidRDefault="00484BD4" w:rsidP="00B80F61">
      <w:pPr>
        <w:pStyle w:val="SingleTxtGR"/>
        <w:rPr>
          <w:lang w:val="en-US"/>
        </w:rPr>
      </w:pPr>
      <w:r w:rsidRPr="00802E6B">
        <w:rPr>
          <w:position w:val="-32"/>
        </w:rPr>
        <w:object w:dxaOrig="31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7.5pt" o:ole="" filled="t">
            <v:fill color2="black"/>
            <v:imagedata r:id="rId13" o:title=""/>
          </v:shape>
          <o:OLEObject Type="Embed" ProgID="Equation.3" ShapeID="_x0000_i1025" DrawAspect="Content" ObjectID="_1578133778" r:id="rId14"/>
        </w:object>
      </w:r>
      <w:r>
        <w:rPr>
          <w:position w:val="32"/>
        </w:rPr>
        <w:tab/>
      </w:r>
      <w:r w:rsidRPr="00484BD4">
        <w:rPr>
          <w:kern w:val="20"/>
          <w:position w:val="-4"/>
          <w:lang w:val="en-US"/>
        </w:rPr>
        <w:t>,</w:t>
      </w:r>
    </w:p>
    <w:p w:rsidR="00B80F61" w:rsidRPr="00B80F61" w:rsidRDefault="00B80F61" w:rsidP="00B80F61">
      <w:pPr>
        <w:pStyle w:val="SingleTxtGR"/>
      </w:pPr>
      <w:r w:rsidRPr="00B80F61">
        <w:t>где:</w:t>
      </w:r>
    </w:p>
    <w:p w:rsidR="00B80F61" w:rsidRPr="00B80F61" w:rsidRDefault="00484BD4" w:rsidP="00484BD4">
      <w:pPr>
        <w:pStyle w:val="SingleTxtGR"/>
        <w:tabs>
          <w:tab w:val="clear" w:pos="2268"/>
          <w:tab w:val="left" w:pos="2552"/>
        </w:tabs>
        <w:ind w:left="2835" w:hanging="1701"/>
      </w:pPr>
      <w:r w:rsidRPr="00484BD4">
        <w:rPr>
          <w:position w:val="-6"/>
        </w:rPr>
        <w:object w:dxaOrig="900" w:dyaOrig="400">
          <v:shape id="_x0000_i1026" type="#_x0000_t75" style="width:45.75pt;height:21.75pt" o:ole="" filled="t">
            <v:fill color2="black"/>
            <v:imagedata r:id="rId15" o:title=""/>
          </v:shape>
          <o:OLEObject Type="Embed" ProgID="Equation.3" ShapeID="_x0000_i1026" DrawAspect="Content" ObjectID="_1578133779" r:id="rId16"/>
        </w:object>
      </w:r>
      <w:r>
        <w:tab/>
      </w:r>
      <w:r w:rsidR="00FC649E" w:rsidRPr="00FC649E">
        <w:t>–</w:t>
      </w:r>
      <w:r w:rsidR="00B40868">
        <w:tab/>
      </w:r>
      <w:r w:rsidR="00A307CE" w:rsidRPr="00B80F61">
        <w:t>м</w:t>
      </w:r>
      <w:r w:rsidR="00B80F61" w:rsidRPr="00B80F61">
        <w:t>аксимальная номинальная холодопроизводительность оборудования, работающего на сжиженном газе, для данного вида электропитания;</w:t>
      </w:r>
    </w:p>
    <w:p w:rsidR="00B80F61" w:rsidRPr="00B80F61" w:rsidRDefault="00484BD4" w:rsidP="00484BD4">
      <w:pPr>
        <w:pStyle w:val="SingleTxtGR"/>
        <w:tabs>
          <w:tab w:val="clear" w:pos="2268"/>
          <w:tab w:val="left" w:pos="2552"/>
        </w:tabs>
        <w:ind w:left="2835" w:hanging="1701"/>
      </w:pPr>
      <w:r w:rsidRPr="00484BD4">
        <w:rPr>
          <w:position w:val="-6"/>
        </w:rPr>
        <w:object w:dxaOrig="920" w:dyaOrig="400">
          <v:shape id="_x0000_i1027" type="#_x0000_t75" style="width:47.25pt;height:21.75pt" o:ole="" filled="t">
            <v:fill color2="black"/>
            <v:imagedata r:id="rId17" o:title=""/>
          </v:shape>
          <o:OLEObject Type="Embed" ProgID="Equation.3" ShapeID="_x0000_i1027" DrawAspect="Content" ObjectID="_1578133780" r:id="rId18"/>
        </w:object>
      </w:r>
      <w:r>
        <w:tab/>
      </w:r>
      <w:r w:rsidR="00FC649E" w:rsidRPr="00FC649E">
        <w:t>–</w:t>
      </w:r>
      <w:r w:rsidR="00B40868">
        <w:tab/>
      </w:r>
      <w:r w:rsidR="00A307CE" w:rsidRPr="00B80F61">
        <w:t>в</w:t>
      </w:r>
      <w:r w:rsidR="00B80F61" w:rsidRPr="00B80F61">
        <w:t>торая по величине максимальная номинальная холодопроизводительность оборудования, работающего на сжиженном газе, для иного вида электропитания.</w:t>
      </w:r>
    </w:p>
    <w:p w:rsidR="00B80F61" w:rsidRPr="00B80F61" w:rsidRDefault="00B80F61" w:rsidP="00B80F61">
      <w:pPr>
        <w:pStyle w:val="SingleTxtGR"/>
        <w:rPr>
          <w:u w:val="single"/>
        </w:rPr>
      </w:pPr>
      <w:r w:rsidRPr="00B80F61">
        <w:rPr>
          <w:u w:val="single"/>
        </w:rPr>
        <w:t>9.2.2</w:t>
      </w:r>
      <w:r w:rsidRPr="00B80F61">
        <w:rPr>
          <w:u w:val="single"/>
        </w:rPr>
        <w:tab/>
        <w:t>Измерение максимальной номинальной холодопроизводительности установки, работающей на сжиженном газе</w:t>
      </w:r>
    </w:p>
    <w:p w:rsidR="00B80F61" w:rsidRPr="00FC649E" w:rsidRDefault="00B80F61" w:rsidP="00B80F61">
      <w:pPr>
        <w:pStyle w:val="SingleTxtGR"/>
      </w:pPr>
      <w:r w:rsidRPr="00B80F61">
        <w:t>Испытание проводят при исходных температурах –20 °C и 0 °C</w:t>
      </w:r>
      <w:r w:rsidR="00FC649E" w:rsidRPr="00FC649E">
        <w:t>.</w:t>
      </w:r>
    </w:p>
    <w:p w:rsidR="00B80F61" w:rsidRPr="00B80F61" w:rsidRDefault="00B80F61" w:rsidP="00B80F61">
      <w:pPr>
        <w:pStyle w:val="SingleTxtGR"/>
      </w:pPr>
      <w:r w:rsidRPr="00B80F61">
        <w:t xml:space="preserve">Номинальную холодопроизводительность установки при –10 °C рассчитывают методом линейной интерполяции значений холодопроизводительности </w:t>
      </w:r>
      <w:r w:rsidR="00437090">
        <w:br/>
      </w:r>
      <w:r w:rsidRPr="00B80F61">
        <w:t>при –20 °C и 0 °C.</w:t>
      </w:r>
    </w:p>
    <w:p w:rsidR="00B80F61" w:rsidRPr="00B80F61" w:rsidRDefault="00B80F61" w:rsidP="00B80F61">
      <w:pPr>
        <w:pStyle w:val="SingleTxtGR"/>
      </w:pPr>
      <w:r w:rsidRPr="00B80F61">
        <w:t>Измерение максимальной номинальной холодопроизводительности регулирующей установки, работающей в монотемпературном режиме, производят с испарителем, работающим на максимальном номинальном режиме, предложенном изготовителем. Этот испаритель является первичным охлаждающим испарителем или входит в состав таких испарителей.</w:t>
      </w:r>
    </w:p>
    <w:p w:rsidR="00B80F61" w:rsidRPr="00B80F61" w:rsidRDefault="00B80F61" w:rsidP="00B80F61">
      <w:pPr>
        <w:pStyle w:val="SingleTxtGR"/>
      </w:pPr>
      <w:r w:rsidRPr="00B80F61">
        <w:t>Испытание проводят с оборудованием, работающим при одной и той же исходной температуре, соответствующей температуре в месте забора воздуха в случае вентилируемых испарителей или температуре воздуха внутри камеры в случае невентилируемых испарителей.</w:t>
      </w:r>
    </w:p>
    <w:p w:rsidR="00B80F61" w:rsidRPr="00B80F61" w:rsidRDefault="00B80F61" w:rsidP="00B80F61">
      <w:pPr>
        <w:pStyle w:val="SingleTxtGR"/>
      </w:pPr>
      <w:r w:rsidRPr="00B80F61">
        <w:t xml:space="preserve">Оценку максимальной номинальной холодопроизводительности проводят на каждом температурном уровне следующим образом: </w:t>
      </w:r>
    </w:p>
    <w:p w:rsidR="00B80F61" w:rsidRPr="00B80F61" w:rsidRDefault="00B80F61" w:rsidP="00B80F61">
      <w:pPr>
        <w:pStyle w:val="SingleTxtGR"/>
      </w:pPr>
      <w:r w:rsidRPr="00B80F61">
        <w:t>Первое испытание продолжительностью не менее четырех часов проводят с термостатом (холодильной установки) для выравнивания теплопередачи между внутренней и наружной частями калориметрической камеры.</w:t>
      </w:r>
    </w:p>
    <w:p w:rsidR="00B80F61" w:rsidRPr="00B80F61" w:rsidRDefault="00B80F61" w:rsidP="00B80F61">
      <w:pPr>
        <w:pStyle w:val="SingleTxtGR"/>
      </w:pPr>
      <w:r w:rsidRPr="00B80F61">
        <w:t>После повторного наполнения емкости (в случае необходимости) проводят второе испытание продолжительностью не менее трех часов для измерения максимальной номинальной холодопроизводительности, при котором:</w:t>
      </w:r>
    </w:p>
    <w:p w:rsidR="00B80F61" w:rsidRPr="00B80F61" w:rsidRDefault="00B80F61" w:rsidP="00B40868">
      <w:pPr>
        <w:pStyle w:val="SingleTxtGR"/>
        <w:ind w:left="2268" w:hanging="567"/>
      </w:pPr>
      <w:r w:rsidRPr="00B80F61">
        <w:t>a)</w:t>
      </w:r>
      <w:r w:rsidRPr="00B80F61">
        <w:tab/>
        <w:t>заданный уровень температуры установки, работающей на сжиженном газе, устанавливают на выбранную испытательную температуру, в случае необходимости с заданным отклонением, в соответствии с инструкциями заказчика испытаний;</w:t>
      </w:r>
    </w:p>
    <w:p w:rsidR="00B80F61" w:rsidRPr="00B80F61" w:rsidRDefault="00B80F61" w:rsidP="00B40868">
      <w:pPr>
        <w:pStyle w:val="SingleTxtGR"/>
        <w:ind w:left="2268" w:hanging="567"/>
      </w:pPr>
      <w:r w:rsidRPr="00B80F61">
        <w:lastRenderedPageBreak/>
        <w:t>b)</w:t>
      </w:r>
      <w:r w:rsidRPr="00B80F61">
        <w:tab/>
        <w:t>поглощенную электроэнергию в калориметрической камере корректируют в течение всего испытания в целях поддержания исходной температуры на постоянном уровне.</w:t>
      </w:r>
    </w:p>
    <w:p w:rsidR="00B80F61" w:rsidRPr="00B80F61" w:rsidRDefault="00B80F61" w:rsidP="00B80F61">
      <w:pPr>
        <w:pStyle w:val="SingleTxtGR"/>
      </w:pPr>
      <w:r w:rsidRPr="00B80F61">
        <w:t>Отклонение холодопроизводительности во время второго испытания должно быть менее 5%/час по методу скользящей средней и в пределах 10% в течение всей продолжительности испытания. В этом случае полученная холодопроизводительность соответствует минимальной зарегистрированной в течение всего испытания холодопроизводительности.</w:t>
      </w:r>
    </w:p>
    <w:p w:rsidR="00B80F61" w:rsidRPr="00B80F61" w:rsidRDefault="00B80F61" w:rsidP="00B80F61">
      <w:pPr>
        <w:pStyle w:val="SingleTxtGR"/>
      </w:pPr>
      <w:r w:rsidRPr="00B80F61">
        <w:t>Только в случае измерения максимальной номинальной холодопроизводительности установки, работающей на сжиженном газе, проводят одно дополнительное испытание продолжительностью один час с использованием наименьшей по объему емкости, продаваемой в комплекте с данной установкой, в целях определения количественного воздействия ее вместимости на регулирование холодопроизводительности. Полученное новое значение холодопроизводительности не должно отличаться более чем на 5% от меньшего значения или от значения, полученного для емкости, использованной для целей испытания продолжительностью не менее трех часов. В случае более существенного воздействия в официальном протоколе испытания указывается ограничение на вместимость емкости.</w:t>
      </w:r>
    </w:p>
    <w:p w:rsidR="00B80F61" w:rsidRPr="00B80F61" w:rsidRDefault="00B80F61" w:rsidP="00437090">
      <w:pPr>
        <w:pStyle w:val="SingleTxtGR"/>
        <w:rPr>
          <w:u w:val="single"/>
        </w:rPr>
      </w:pPr>
      <w:r w:rsidRPr="00B80F61">
        <w:rPr>
          <w:u w:val="single"/>
        </w:rPr>
        <w:t>9.2.3</w:t>
      </w:r>
      <w:r w:rsidRPr="00B80F61">
        <w:rPr>
          <w:u w:val="single"/>
        </w:rPr>
        <w:tab/>
        <w:t>Измерение индивидуальной холодопроизводительности каждого первичного испарителя установки, работающей на сжиженном газе</w:t>
      </w:r>
    </w:p>
    <w:p w:rsidR="00B80F61" w:rsidRPr="00B80F61" w:rsidRDefault="00B80F61" w:rsidP="00B80F61">
      <w:pPr>
        <w:pStyle w:val="SingleTxtGR"/>
      </w:pPr>
      <w:r w:rsidRPr="00B80F61">
        <w:t>Индивидуальную холодопроизводительность каждого первичного испарителя измеряют при его работе в монотемпературном режиме. Испытание проводят при температуре −20 ºС и 0 ºС и в соответствии с методологией, изложенной в пунк</w:t>
      </w:r>
      <w:r w:rsidR="00A307CE">
        <w:t>-</w:t>
      </w:r>
      <w:r w:rsidRPr="00B80F61">
        <w:t>те</w:t>
      </w:r>
      <w:r w:rsidR="00A307CE">
        <w:t> </w:t>
      </w:r>
      <w:r w:rsidRPr="00B80F61">
        <w:t>9.2.2.</w:t>
      </w:r>
    </w:p>
    <w:p w:rsidR="00B80F61" w:rsidRPr="00B80F61" w:rsidRDefault="00B80F61" w:rsidP="00B80F61">
      <w:pPr>
        <w:pStyle w:val="SingleTxtGR"/>
      </w:pPr>
      <w:r w:rsidRPr="00B80F61">
        <w:t>Индивидуальную холодопроизводительность при −10 ºС рассчитывают методом линейной интерполяции холодопроизводительности при −20 ºС и 0 ºС.</w:t>
      </w:r>
    </w:p>
    <w:p w:rsidR="00B80F61" w:rsidRPr="00B80F61" w:rsidRDefault="00B80F61" w:rsidP="00437090">
      <w:pPr>
        <w:pStyle w:val="SingleTxtGR"/>
        <w:rPr>
          <w:u w:val="single"/>
        </w:rPr>
      </w:pPr>
      <w:r w:rsidRPr="00B80F61">
        <w:rPr>
          <w:u w:val="single"/>
        </w:rPr>
        <w:t>9.2.4</w:t>
      </w:r>
      <w:r w:rsidRPr="00B80F61">
        <w:rPr>
          <w:u w:val="single"/>
        </w:rPr>
        <w:tab/>
        <w:t>Измерение остаточной полезной холодопроизводительности установки, работающей на сжиженном газе, при работе в мультитемпературном режиме, с учетом исходной теплонагрузки</w:t>
      </w:r>
    </w:p>
    <w:p w:rsidR="00B80F61" w:rsidRPr="00B80F61" w:rsidRDefault="00B80F61" w:rsidP="00B80F61">
      <w:pPr>
        <w:pStyle w:val="SingleTxtGR"/>
      </w:pPr>
      <w:r w:rsidRPr="00B80F61">
        <w:t>Определение остаточной полезной холодопроизводительности холодильной установки, работающей на сжиженном газе, требует одновременного использования двух или трех испарителей с соблюдением следующих условий:</w:t>
      </w:r>
    </w:p>
    <w:p w:rsidR="00B80F61" w:rsidRPr="00B80F61" w:rsidRDefault="00B80F61" w:rsidP="00B40868">
      <w:pPr>
        <w:pStyle w:val="Bullet1GR"/>
      </w:pPr>
      <w:r w:rsidRPr="00B80F61">
        <w:t>в случае установки с двумя камерами – испарителей с наибольшей и наименьшей индивидуальной холодопроизводительностью;</w:t>
      </w:r>
    </w:p>
    <w:p w:rsidR="00B80F61" w:rsidRPr="00B80F61" w:rsidRDefault="00B80F61" w:rsidP="00B40868">
      <w:pPr>
        <w:pStyle w:val="Bullet1GR"/>
      </w:pPr>
      <w:r w:rsidRPr="00B80F61">
        <w:t>в случае установки с тремя и более камерами – тех же испарителей и необходимого количества других испарителей с промежуточным значением холодопроизводительности.</w:t>
      </w:r>
    </w:p>
    <w:p w:rsidR="00B80F61" w:rsidRPr="00B80F61" w:rsidRDefault="00B80F61" w:rsidP="00B80F61">
      <w:pPr>
        <w:pStyle w:val="SingleTxtGR"/>
      </w:pPr>
      <w:r w:rsidRPr="00B80F61">
        <w:t>Регулировка исходной тепловой нагрузки:</w:t>
      </w:r>
    </w:p>
    <w:p w:rsidR="00B80F61" w:rsidRPr="00B80F61" w:rsidRDefault="00B80F61" w:rsidP="00B40868">
      <w:pPr>
        <w:pStyle w:val="Bullet1GR"/>
      </w:pPr>
      <w:r w:rsidRPr="00B80F61">
        <w:t>заданную температуру всех испарителей, за исключением одного, регулируют таким образом, чтобы получить температуру в месте забора воздуха или, если это не применимо, температуру воздуха внутри кузова, составляющую 0 °C;</w:t>
      </w:r>
    </w:p>
    <w:p w:rsidR="00B80F61" w:rsidRPr="00B80F61" w:rsidRDefault="00B80F61" w:rsidP="00B40868">
      <w:pPr>
        <w:pStyle w:val="Bullet1GR"/>
      </w:pPr>
      <w:r w:rsidRPr="00B80F61">
        <w:t>тепловую нагрузку прилагают к каждой паре калориметр/испаритель в термостатическом режиме, за исключением той, к которой это не относится;</w:t>
      </w:r>
    </w:p>
    <w:p w:rsidR="00B80F61" w:rsidRPr="00B80F61" w:rsidRDefault="00B80F61" w:rsidP="00B40868">
      <w:pPr>
        <w:pStyle w:val="Bullet1GR"/>
      </w:pPr>
      <w:r w:rsidRPr="00B80F61">
        <w:t xml:space="preserve">тепловая нагрузка должна составлять 20% индивидуальной холодопроизводительности каждого рассматриваемого охлаждающего испарителя при –20 °C. </w:t>
      </w:r>
    </w:p>
    <w:p w:rsidR="00B80F61" w:rsidRPr="00B80F61" w:rsidRDefault="00B80F61" w:rsidP="00B80F61">
      <w:pPr>
        <w:pStyle w:val="SingleTxtGR"/>
      </w:pPr>
      <w:r w:rsidRPr="00B80F61">
        <w:t>Остаточную полезную холодопроизводительность испарителя измеряют при температуре в месте забора воздуха или, если это не применимо, при температуре воздуха внутри кузова, составляющей –20 °C.</w:t>
      </w:r>
    </w:p>
    <w:p w:rsidR="00B80F61" w:rsidRPr="00B80F61" w:rsidRDefault="00B80F61" w:rsidP="00B80F61">
      <w:pPr>
        <w:pStyle w:val="SingleTxtGR"/>
      </w:pPr>
      <w:r w:rsidRPr="00B80F61">
        <w:lastRenderedPageBreak/>
        <w:t>По окончании измерения остаточной полезной холодопроизводительности испарителя испытание повторяют после круговой перестановки соответствующих классов температуры.</w:t>
      </w:r>
    </w:p>
    <w:p w:rsidR="00B80F61" w:rsidRPr="00B80F61" w:rsidRDefault="00B40868" w:rsidP="00B40868">
      <w:pPr>
        <w:pStyle w:val="H23GR"/>
      </w:pPr>
      <w:r>
        <w:tab/>
      </w:r>
      <w:r>
        <w:tab/>
      </w:r>
      <w:r w:rsidR="00B80F61" w:rsidRPr="00B80F61">
        <w:t>9.3</w:t>
      </w:r>
      <w:r w:rsidR="00B80F61" w:rsidRPr="00B80F61">
        <w:tab/>
        <w:t>Холодопроизводительность испарителей</w:t>
      </w:r>
    </w:p>
    <w:p w:rsidR="00B80F61" w:rsidRPr="00B80F61" w:rsidRDefault="00B80F61" w:rsidP="00B80F61">
      <w:pPr>
        <w:pStyle w:val="SingleTxtGR"/>
      </w:pPr>
      <w:r w:rsidRPr="00B80F61">
        <w:t>Определить потребность в охлаждающих испарителях холодильной установки можно на основе результатов испытаний на проверку холодопроизводительности первичных испарителей. Холодопроизводительность и потребление сжиженного газа испарителями соответствуют арифметической сумме соответственно холодопроизводительности и потребления сжиженного газа первичными испарителями в диапазоне максимальной номинальной холодопроизводительности и обусловленного им расхода сжиженного газа.</w:t>
      </w:r>
    </w:p>
    <w:p w:rsidR="00B80F61" w:rsidRPr="00B80F61" w:rsidRDefault="00B40868" w:rsidP="00B40868">
      <w:pPr>
        <w:pStyle w:val="H23GR"/>
        <w:ind w:left="567" w:hanging="567"/>
      </w:pPr>
      <w:r>
        <w:tab/>
      </w:r>
      <w:r>
        <w:tab/>
      </w:r>
      <w:r>
        <w:tab/>
      </w:r>
      <w:r w:rsidR="00B80F61" w:rsidRPr="00B80F61">
        <w:t>9.4</w:t>
      </w:r>
      <w:r w:rsidR="00B80F61" w:rsidRPr="00B80F61">
        <w:tab/>
        <w:t xml:space="preserve">Определение параметров и сертификация мультитемпературных </w:t>
      </w:r>
      <w:r>
        <w:tab/>
      </w:r>
      <w:r>
        <w:tab/>
      </w:r>
      <w:r w:rsidR="00B80F61" w:rsidRPr="00B80F61">
        <w:t>транспортных средств-рефрижераторов, работающих на сжиженном</w:t>
      </w:r>
      <w:r>
        <w:br/>
      </w:r>
      <w:r>
        <w:tab/>
      </w:r>
      <w:r w:rsidR="00437090">
        <w:tab/>
      </w:r>
      <w:r w:rsidR="00B80F61" w:rsidRPr="00B80F61">
        <w:t>газе</w:t>
      </w:r>
    </w:p>
    <w:p w:rsidR="00B80F61" w:rsidRPr="00B80F61" w:rsidRDefault="00B80F61" w:rsidP="00B80F61">
      <w:pPr>
        <w:pStyle w:val="SingleTxtGR"/>
      </w:pPr>
      <w:r w:rsidRPr="00B80F61">
        <w:t>Определение параметров и сертификацию транспортных средств-рефрижераторов с холодильными установками, работающими на сжиженном газе, производят в соответствии с процедурой, изложенной в пункте 3.2.6, – для монотемпературных транспортных средств с учетом следующих эквивалентов холодопроизводительности:</w:t>
      </w:r>
    </w:p>
    <w:p w:rsidR="00B80F61" w:rsidRPr="00B80F61" w:rsidRDefault="00B80F61" w:rsidP="00437090">
      <w:pPr>
        <w:pStyle w:val="SingleTxtGR"/>
        <w:jc w:val="center"/>
      </w:pPr>
      <w:r w:rsidRPr="00B80F61">
        <w:t>P</w:t>
      </w:r>
      <w:r w:rsidRPr="00B80F61">
        <w:rPr>
          <w:vertAlign w:val="subscript"/>
        </w:rPr>
        <w:t>nom-ins</w:t>
      </w:r>
      <w:r w:rsidRPr="00B80F61">
        <w:t xml:space="preserve"> = P</w:t>
      </w:r>
      <w:r w:rsidRPr="00B80F61">
        <w:rPr>
          <w:vertAlign w:val="subscript"/>
        </w:rPr>
        <w:t>eff</w:t>
      </w:r>
      <w:r w:rsidRPr="00B80F61">
        <w:t xml:space="preserve"> (полезная холодопроизводительность)</w:t>
      </w:r>
    </w:p>
    <w:p w:rsidR="00B80F61" w:rsidRPr="00B80F61" w:rsidRDefault="00B80F61" w:rsidP="00B80F61">
      <w:pPr>
        <w:pStyle w:val="SingleTxtGR"/>
      </w:pPr>
      <w:r w:rsidRPr="00B80F61">
        <w:t>или в разделе 7.3 – для мультитемпературных транспортных средств-рефрижераторов с учетом следующих эквивалентов холодопроизводительности:</w:t>
      </w:r>
    </w:p>
    <w:p w:rsidR="00B80F61" w:rsidRPr="00B80F61" w:rsidRDefault="00B80F61" w:rsidP="00437090">
      <w:pPr>
        <w:pStyle w:val="SingleTxtGR"/>
        <w:jc w:val="center"/>
      </w:pPr>
      <w:r w:rsidRPr="00B80F61">
        <w:t>P</w:t>
      </w:r>
      <w:r w:rsidRPr="00B80F61">
        <w:rPr>
          <w:vertAlign w:val="subscript"/>
        </w:rPr>
        <w:t>nom-max</w:t>
      </w:r>
      <w:r w:rsidRPr="00B80F61">
        <w:t xml:space="preserve"> = P</w:t>
      </w:r>
      <w:r w:rsidRPr="00B80F61">
        <w:rPr>
          <w:vertAlign w:val="subscript"/>
        </w:rPr>
        <w:t>nominal</w:t>
      </w:r>
    </w:p>
    <w:p w:rsidR="00B80F61" w:rsidRPr="00B80F61" w:rsidRDefault="00B80F61" w:rsidP="00B80F61">
      <w:pPr>
        <w:pStyle w:val="SingleTxtGR"/>
      </w:pPr>
      <w:r w:rsidRPr="00B80F61">
        <w:t>Кроме того, полезный объем емкостей для сжиженного газа должен давать установке, работающей на сжиженном газе, возможность поддерживать температуру данного класса в течение как минимум 12 часов».</w:t>
      </w:r>
    </w:p>
    <w:p w:rsidR="00B80F61" w:rsidRPr="00B80F61" w:rsidRDefault="00B80F61" w:rsidP="00B80F61">
      <w:pPr>
        <w:pStyle w:val="SingleTxtGR"/>
        <w:rPr>
          <w:i/>
        </w:rPr>
      </w:pPr>
      <w:r w:rsidRPr="00B80F61">
        <w:t>(</w:t>
      </w:r>
      <w:r w:rsidRPr="00B80F61">
        <w:rPr>
          <w:i/>
          <w:iCs/>
        </w:rPr>
        <w:t>Справочный документ ECE/TRANS/WP.11/2017/5 с исправлениями, содержащимися в документе ECE/TRANS/WP.11/2017/5/Corr.1</w:t>
      </w:r>
      <w:r w:rsidRPr="00B80F61">
        <w:t>)</w:t>
      </w:r>
    </w:p>
    <w:p w:rsidR="00B80F61" w:rsidRPr="00B80F61" w:rsidRDefault="00B40868" w:rsidP="00B40868">
      <w:pPr>
        <w:pStyle w:val="H23GR"/>
      </w:pPr>
      <w:r>
        <w:tab/>
      </w:r>
      <w:r w:rsidR="00B80F61" w:rsidRPr="00B80F61">
        <w:t>6.</w:t>
      </w:r>
      <w:r w:rsidR="00B80F61" w:rsidRPr="00B80F61">
        <w:tab/>
        <w:t>Приложение 1, добавление 2</w:t>
      </w:r>
    </w:p>
    <w:p w:rsidR="00B80F61" w:rsidRPr="00B80F61" w:rsidRDefault="00B80F61" w:rsidP="00B80F61">
      <w:pPr>
        <w:pStyle w:val="SingleTxtGR"/>
      </w:pPr>
      <w:r w:rsidRPr="00B80F61">
        <w:t>Добавить новый образец протокола испытания следующего содержания:</w:t>
      </w:r>
    </w:p>
    <w:p w:rsidR="00B80F61" w:rsidRPr="00B80F61" w:rsidRDefault="00B80F61" w:rsidP="00B80F61">
      <w:pPr>
        <w:pStyle w:val="SingleTxtGR"/>
        <w:rPr>
          <w:b/>
        </w:rPr>
      </w:pPr>
      <w:r w:rsidRPr="00A307CE">
        <w:rPr>
          <w:bCs/>
        </w:rPr>
        <w:t>«</w:t>
      </w:r>
      <w:r w:rsidRPr="00B80F61">
        <w:rPr>
          <w:b/>
          <w:bCs/>
        </w:rPr>
        <w:t>Образец № 13</w:t>
      </w:r>
    </w:p>
    <w:p w:rsidR="00B80F61" w:rsidRPr="00B80F61" w:rsidRDefault="00B80F61" w:rsidP="00B40868">
      <w:pPr>
        <w:pStyle w:val="SingleTxtGR"/>
        <w:jc w:val="center"/>
      </w:pPr>
      <w:r w:rsidRPr="00B80F61">
        <w:t>ПРОТОКОЛ ИСПЫТАНИЯ,</w:t>
      </w:r>
    </w:p>
    <w:p w:rsidR="00B80F61" w:rsidRPr="00B80F61" w:rsidRDefault="00B80F61" w:rsidP="00B40868">
      <w:pPr>
        <w:pStyle w:val="SingleTxtGR"/>
        <w:jc w:val="center"/>
      </w:pPr>
      <w:r w:rsidRPr="00B80F61">
        <w:t xml:space="preserve">составленный в соответствии с положениями Соглашения о международных перевозках скоропортящихся пищевых продуктов и о специальных </w:t>
      </w:r>
      <w:r w:rsidR="00FC649E">
        <w:br/>
      </w:r>
      <w:r w:rsidRPr="00B80F61">
        <w:t>транспортных средствах, предназначенных для этих перевозок (СПС)</w:t>
      </w:r>
    </w:p>
    <w:p w:rsidR="00B80F61" w:rsidRPr="00B80F61" w:rsidRDefault="00437090" w:rsidP="00B40868">
      <w:pPr>
        <w:pStyle w:val="SingleTxtGR"/>
        <w:jc w:val="center"/>
      </w:pPr>
      <w:r>
        <w:t>Протокол испытания №</w:t>
      </w:r>
      <w:r w:rsidR="00A307CE">
        <w:t xml:space="preserve"> </w:t>
      </w:r>
      <w:r w:rsidR="00B80F61" w:rsidRPr="00B80F61">
        <w:t>…</w:t>
      </w:r>
    </w:p>
    <w:p w:rsidR="00B80F61" w:rsidRPr="00B80F61" w:rsidRDefault="00B80F61" w:rsidP="00B40868">
      <w:pPr>
        <w:pStyle w:val="SingleTxtGR"/>
        <w:jc w:val="center"/>
      </w:pPr>
      <w:r w:rsidRPr="00B80F61">
        <w:t xml:space="preserve">Определение полезной холодопроизводительности холодильной установки </w:t>
      </w:r>
      <w:r w:rsidR="00FC649E">
        <w:br/>
      </w:r>
      <w:r w:rsidRPr="00B80F61">
        <w:t>в соответствии с разделом 9 добавления 2 к приложению 1 к СПС</w:t>
      </w:r>
    </w:p>
    <w:p w:rsidR="00B80F61" w:rsidRDefault="00B80F61" w:rsidP="00712EF9">
      <w:pPr>
        <w:pStyle w:val="SingleTxtGR"/>
        <w:pBdr>
          <w:bottom w:val="single" w:sz="4" w:space="1" w:color="auto"/>
        </w:pBdr>
        <w:jc w:val="center"/>
      </w:pPr>
      <w:r w:rsidRPr="00B80F61">
        <w:t>Испытания, проведенные с дд/мм/гггг по дд/мм/гггг</w:t>
      </w:r>
    </w:p>
    <w:p w:rsidR="00B80F61" w:rsidRPr="00B80F61" w:rsidRDefault="00B80F61" w:rsidP="00B80F61">
      <w:pPr>
        <w:pStyle w:val="SingleTxtGR"/>
      </w:pPr>
      <w:r w:rsidRPr="00B80F61">
        <w:t>Станция, уполномоченная проводить испытания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>
        <w:t>Название:</w:t>
      </w:r>
      <w:r>
        <w:tab/>
      </w:r>
      <w:r>
        <w:tab/>
      </w:r>
    </w:p>
    <w:p w:rsidR="00B80F61" w:rsidRPr="00B80F61" w:rsidRDefault="00B80F61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B80F61">
        <w:t>Адрес:</w:t>
      </w:r>
      <w:r w:rsidR="004D327A">
        <w:tab/>
      </w:r>
      <w:r w:rsidR="004D327A">
        <w:tab/>
      </w:r>
    </w:p>
    <w:p w:rsidR="004D327A" w:rsidRDefault="00B80F61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  <w:rPr>
          <w:bCs/>
        </w:rPr>
      </w:pPr>
      <w:r w:rsidRPr="00B80F61">
        <w:rPr>
          <w:bCs/>
        </w:rPr>
        <w:t xml:space="preserve">Холодильная установка представлена (кем): </w:t>
      </w:r>
      <w:r w:rsidR="004D327A">
        <w:rPr>
          <w:bCs/>
        </w:rPr>
        <w:tab/>
      </w:r>
    </w:p>
    <w:p w:rsidR="00B80F61" w:rsidRPr="004D327A" w:rsidRDefault="00B80F61" w:rsidP="00B80F61">
      <w:pPr>
        <w:pStyle w:val="SingleTxtGR"/>
        <w:rPr>
          <w:bCs/>
        </w:rPr>
      </w:pPr>
      <w:r w:rsidRPr="00B80F61">
        <w:rPr>
          <w:bCs/>
        </w:rPr>
        <w:t>[(если заявитель не является изготовителем, то представляется заявление изготовителя)]</w:t>
      </w:r>
    </w:p>
    <w:p w:rsidR="00B80F61" w:rsidRPr="00B80F61" w:rsidRDefault="00B80F61" w:rsidP="00712EF9">
      <w:pPr>
        <w:pStyle w:val="SingleTxtGR"/>
        <w:pageBreakBefore/>
      </w:pPr>
      <w:r w:rsidRPr="00B80F61">
        <w:lastRenderedPageBreak/>
        <w:t>a)</w:t>
      </w:r>
      <w:r w:rsidRPr="00B80F61">
        <w:tab/>
      </w:r>
      <w:r w:rsidRPr="00B80F61">
        <w:rPr>
          <w:u w:val="single"/>
        </w:rPr>
        <w:t>Технические характеристики установки</w:t>
      </w:r>
      <w:r w:rsidRPr="00B80F61">
        <w:t>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Марка/фирменное название: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Название типа: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Тип сжиженного газа</w:t>
      </w:r>
      <w:r w:rsidR="00B80F61" w:rsidRPr="00B80F61">
        <w:t>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Серийный номер</w:t>
      </w:r>
      <w:r w:rsidR="00B80F61" w:rsidRPr="00B80F61">
        <w:t>:</w:t>
      </w:r>
    </w:p>
    <w:p w:rsidR="00B80F61" w:rsidRPr="00B80F61" w:rsidRDefault="00B80F61" w:rsidP="004D327A">
      <w:pPr>
        <w:pStyle w:val="SingleTxtGR"/>
        <w:spacing w:before="120"/>
      </w:pPr>
      <w:r w:rsidRPr="00B80F61">
        <w:t>Дата изготовления (месяц/год): (Испытуемая установка должна быть построена не ранее чем за 1 год до испытаний в соответствии с СПС)</w:t>
      </w:r>
    </w:p>
    <w:p w:rsidR="004D327A" w:rsidRDefault="00B80F61" w:rsidP="00B80F61">
      <w:pPr>
        <w:pStyle w:val="SingleTxtGR"/>
      </w:pPr>
      <w:r w:rsidRPr="00B80F61">
        <w:t xml:space="preserve">Описание: </w:t>
      </w:r>
    </w:p>
    <w:p w:rsidR="004D327A" w:rsidRDefault="004D327A" w:rsidP="004D327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</w:p>
    <w:p w:rsidR="004D327A" w:rsidRDefault="004D327A" w:rsidP="004D327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</w:p>
    <w:p w:rsidR="004D327A" w:rsidRDefault="004D327A" w:rsidP="004D327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</w:p>
    <w:p w:rsidR="00B80F61" w:rsidRPr="00B80F61" w:rsidRDefault="00B80F61" w:rsidP="004D327A">
      <w:pPr>
        <w:pStyle w:val="SingleTxtGR"/>
        <w:spacing w:before="120"/>
      </w:pPr>
      <w:r w:rsidRPr="00B80F61">
        <w:t xml:space="preserve">Регулирующий клапан (в случае использования вентиляторов различных типов повторить информацию ниже по каждому типу) </w:t>
      </w:r>
      <w:r w:rsidRPr="00B80F61">
        <w:tab/>
      </w:r>
      <w:r w:rsidRPr="00B80F61">
        <w:tab/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  <w:r w:rsidR="00B80F61" w:rsidRPr="00B80F61">
        <w:t>Марка</w:t>
      </w:r>
      <w:r>
        <w:t>/фирменное название: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Тип: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Серийный номер</w:t>
      </w:r>
      <w:r w:rsidR="00B80F61" w:rsidRPr="00B80F61">
        <w:t>:</w:t>
      </w:r>
    </w:p>
    <w:p w:rsidR="00B80F61" w:rsidRPr="00B80F61" w:rsidRDefault="00B80F61" w:rsidP="004D327A">
      <w:pPr>
        <w:pStyle w:val="SingleTxtGR"/>
        <w:spacing w:before="120"/>
      </w:pPr>
      <w:r w:rsidRPr="00B80F61">
        <w:t xml:space="preserve">Емкость (в случае использования вентиляторов различных типов повторить информацию ниже по каждому типу) </w:t>
      </w:r>
      <w:r w:rsidRPr="00B80F61">
        <w:tab/>
      </w:r>
      <w:r w:rsidRPr="00B80F61">
        <w:tab/>
      </w:r>
    </w:p>
    <w:p w:rsidR="00B80F61" w:rsidRPr="00B80F61" w:rsidRDefault="00437090" w:rsidP="0043709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  <w:r w:rsidR="004D327A">
        <w:t>Марка/фирменное название</w:t>
      </w:r>
      <w:r w:rsidR="00B80F61" w:rsidRPr="00B80F61">
        <w:t xml:space="preserve">: 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Тип: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Серийный номер: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Вместимость [1]</w:t>
      </w:r>
      <w:r w:rsidR="00B80F61" w:rsidRPr="00B80F61">
        <w:t>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  <w:r w:rsidR="00B80F61" w:rsidRPr="00B80F61">
        <w:t>Дав</w:t>
      </w:r>
      <w:r>
        <w:t>ление газа на выходе из емкости</w:t>
      </w:r>
      <w:r w:rsidR="00B80F61" w:rsidRPr="00B80F61">
        <w:t>:</w:t>
      </w:r>
    </w:p>
    <w:p w:rsidR="00B80F61" w:rsidRPr="00B80F61" w:rsidRDefault="004D327A" w:rsidP="00A307CE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before="120" w:after="0"/>
      </w:pPr>
      <w:r>
        <w:tab/>
        <w:t>Вид изоляции</w:t>
      </w:r>
      <w:r w:rsidR="00B80F61" w:rsidRPr="00B80F61">
        <w:t>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Материал внутренней емкости</w:t>
      </w:r>
      <w:r w:rsidR="00B80F61" w:rsidRPr="00B80F61">
        <w:t>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Материал внешней оболочки</w:t>
      </w:r>
      <w:r w:rsidR="00B80F61" w:rsidRPr="00B80F61">
        <w:t>:</w:t>
      </w:r>
    </w:p>
    <w:p w:rsidR="00B80F61" w:rsidRPr="00B80F61" w:rsidRDefault="004D327A" w:rsidP="00B80F61">
      <w:pPr>
        <w:pStyle w:val="SingleTxtGR"/>
      </w:pPr>
      <w:r>
        <w:tab/>
      </w:r>
      <w:r w:rsidR="00B80F61" w:rsidRPr="00B80F61">
        <w:t>Подача сжиженного газа</w:t>
      </w:r>
      <w:r w:rsidR="00B80F61" w:rsidRPr="00B80F61">
        <w:tab/>
      </w:r>
      <w:r w:rsidR="00B80F61" w:rsidRPr="00B80F61">
        <w:tab/>
        <w:t xml:space="preserve">: </w:t>
      </w:r>
      <w:r>
        <w:tab/>
      </w:r>
      <w:r w:rsidR="00B80F61" w:rsidRPr="00B80F61">
        <w:t>(внутренн</w:t>
      </w:r>
      <w:r>
        <w:t>ее давление, давление на уровне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0F61" w:rsidRPr="00B80F61">
        <w:t>теплообменника, насоса)</w:t>
      </w:r>
      <w:r w:rsidR="00B80F61" w:rsidRPr="004D327A">
        <w:rPr>
          <w:sz w:val="18"/>
          <w:szCs w:val="18"/>
          <w:vertAlign w:val="superscript"/>
        </w:rPr>
        <w:t>1</w:t>
      </w:r>
    </w:p>
    <w:p w:rsidR="00B80F61" w:rsidRPr="00B80F61" w:rsidRDefault="00B80F61" w:rsidP="00B80F61">
      <w:pPr>
        <w:pStyle w:val="SingleTxtGR"/>
      </w:pPr>
      <w:r w:rsidRPr="00B80F61">
        <w:t>Регулятор давления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  <w:r w:rsidR="00B80F61" w:rsidRPr="00B80F61">
        <w:t>Марка/фирменное назва</w:t>
      </w:r>
      <w:r>
        <w:t>ние</w:t>
      </w:r>
      <w:r w:rsidR="00B80F61" w:rsidRPr="00B80F61">
        <w:t>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Тип</w:t>
      </w:r>
      <w:r w:rsidR="00B80F61" w:rsidRPr="00B80F61">
        <w:t xml:space="preserve">: 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Серийный номер</w:t>
      </w:r>
      <w:r w:rsidR="00B80F61" w:rsidRPr="00B80F61">
        <w:t xml:space="preserve">: </w:t>
      </w:r>
    </w:p>
    <w:p w:rsidR="00A5481B" w:rsidRDefault="00B80F61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 w:rsidRPr="00B80F61">
        <w:tab/>
        <w:t>Давление газа на выходе:</w:t>
      </w:r>
    </w:p>
    <w:p w:rsidR="00B80F61" w:rsidRPr="00B80F61" w:rsidRDefault="00B80F61" w:rsidP="004D327A">
      <w:pPr>
        <w:pStyle w:val="SingleTxtGR"/>
        <w:spacing w:before="120"/>
      </w:pPr>
      <w:r w:rsidRPr="00B80F61">
        <w:t xml:space="preserve">Питающий трубопровод сжиженного газа (на испытательном стенде) 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Диаметр: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Длина: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Материал: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Число соединений:</w:t>
      </w:r>
    </w:p>
    <w:p w:rsidR="00B80F61" w:rsidRPr="00B80F61" w:rsidRDefault="00B80F61" w:rsidP="004D327A">
      <w:pPr>
        <w:pStyle w:val="SingleTxtGR"/>
        <w:spacing w:before="120"/>
      </w:pPr>
      <w:r w:rsidRPr="00B80F61">
        <w:t>Устройство для размораживания (электродвигатель/двигатель внутреннего сгорания)</w:t>
      </w:r>
      <w:r w:rsidRPr="00B80F61">
        <w:rPr>
          <w:vertAlign w:val="superscript"/>
        </w:rPr>
        <w:t>1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Марка/фирменное название</w:t>
      </w:r>
      <w:r w:rsidR="00B80F61" w:rsidRPr="00B80F61">
        <w:t>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  <w:r w:rsidR="00B80F61" w:rsidRPr="00B80F61">
        <w:t>Тип: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Подача</w:t>
      </w:r>
      <w:r w:rsidR="00B80F61" w:rsidRPr="00B80F61">
        <w:t>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  <w:rPr>
          <w:i/>
        </w:rPr>
      </w:pPr>
      <w:r>
        <w:tab/>
      </w:r>
      <w:r w:rsidR="00B80F61" w:rsidRPr="00B80F61">
        <w:t>Заявленная мо</w:t>
      </w:r>
      <w:r>
        <w:t>щность отопительного устройства</w:t>
      </w:r>
      <w:r w:rsidR="00B80F61" w:rsidRPr="00B80F61">
        <w:t>:</w:t>
      </w:r>
    </w:p>
    <w:p w:rsidR="00B80F61" w:rsidRPr="00B80F61" w:rsidRDefault="00B80F61" w:rsidP="004D327A">
      <w:pPr>
        <w:pStyle w:val="SingleTxtGR"/>
        <w:spacing w:before="120"/>
      </w:pPr>
      <w:r w:rsidRPr="00B80F61">
        <w:t>Регулятор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Марка/фирменное название: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Тип</w:t>
      </w:r>
      <w:r w:rsidR="00B80F61" w:rsidRPr="00B80F61">
        <w:t>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Версия аппаратной платформы</w:t>
      </w:r>
      <w:r w:rsidR="00B80F61" w:rsidRPr="00B80F61">
        <w:t>:</w:t>
      </w:r>
    </w:p>
    <w:p w:rsidR="00B80F61" w:rsidRPr="00B80F61" w:rsidRDefault="004D327A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Версия программного обеспечения</w:t>
      </w:r>
      <w:r w:rsidR="00B80F61" w:rsidRPr="00B80F61">
        <w:t>:</w:t>
      </w:r>
    </w:p>
    <w:p w:rsidR="00A676B2" w:rsidRDefault="00B80F61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 w:rsidRPr="00B80F61">
        <w:tab/>
      </w:r>
      <w:r w:rsidR="004D327A">
        <w:t>Серийный номер</w:t>
      </w:r>
      <w:r w:rsidR="00A676B2">
        <w:t>:</w:t>
      </w:r>
    </w:p>
    <w:p w:rsidR="00B80F61" w:rsidRPr="00B80F61" w:rsidRDefault="00A676B2" w:rsidP="004D327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  <w:t>Источник питания:</w:t>
      </w:r>
    </w:p>
    <w:p w:rsidR="00B80F61" w:rsidRPr="00B80F61" w:rsidRDefault="00B80F61" w:rsidP="00437090">
      <w:pPr>
        <w:pStyle w:val="SingleTxtGR"/>
        <w:spacing w:before="120" w:after="0"/>
      </w:pPr>
      <w:r w:rsidRPr="00B80F61">
        <w:lastRenderedPageBreak/>
        <w:t>Возможность работы в мультитемпературном режиме: (да/нет)</w:t>
      </w:r>
      <w:r w:rsidRPr="00A676B2">
        <w:rPr>
          <w:sz w:val="18"/>
          <w:szCs w:val="18"/>
          <w:vertAlign w:val="superscript"/>
        </w:rPr>
        <w:t>1</w:t>
      </w:r>
    </w:p>
    <w:p w:rsidR="00B80F61" w:rsidRPr="00B80F61" w:rsidRDefault="00B80F61" w:rsidP="00A676B2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 w:rsidRPr="00B80F61">
        <w:t>Число камер, способных работать в нескольких температурных режимах:</w:t>
      </w:r>
    </w:p>
    <w:p w:rsidR="00B80F61" w:rsidRPr="00B80F61" w:rsidRDefault="00A676B2" w:rsidP="00A676B2">
      <w:pPr>
        <w:pStyle w:val="H1GR"/>
        <w:rPr>
          <w:i/>
        </w:rPr>
      </w:pPr>
      <w:r>
        <w:tab/>
      </w:r>
      <w:r>
        <w:tab/>
      </w:r>
      <w:r w:rsidRPr="00B80F61">
        <w:t>Теплообменники</w:t>
      </w: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559"/>
      </w:tblGrid>
      <w:tr w:rsidR="00B80F61" w:rsidRPr="00B80F61" w:rsidTr="00B80F61">
        <w:trPr>
          <w:cantSplit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i/>
                <w:sz w:val="16"/>
                <w:szCs w:val="16"/>
              </w:rPr>
            </w:pPr>
            <w:r w:rsidRPr="00A676B2">
              <w:rPr>
                <w:i/>
                <w:sz w:val="16"/>
                <w:szCs w:val="16"/>
              </w:rPr>
              <w:t xml:space="preserve">Конденсатор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i/>
                <w:sz w:val="16"/>
                <w:szCs w:val="16"/>
              </w:rPr>
            </w:pPr>
            <w:r w:rsidRPr="00A676B2">
              <w:rPr>
                <w:i/>
                <w:sz w:val="16"/>
                <w:szCs w:val="16"/>
              </w:rPr>
              <w:t>Испаритель</w:t>
            </w:r>
          </w:p>
        </w:tc>
      </w:tr>
      <w:tr w:rsidR="00B80F61" w:rsidRPr="00A676B2" w:rsidTr="00B80F61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>Марка-тип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 xml:space="preserve">Количество контуров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 xml:space="preserve">Количество рядов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 xml:space="preserve">Количество слоев термоизоляции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 xml:space="preserve">Количество трубок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>Шаг оребрения [мм]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>Трубопроводы: характер и диаметр [мм]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>Общая поверхность теплообмена [м</w:t>
            </w:r>
            <w:r w:rsidRPr="00712EF9">
              <w:rPr>
                <w:sz w:val="18"/>
                <w:szCs w:val="18"/>
                <w:vertAlign w:val="superscript"/>
              </w:rPr>
              <w:t>2</w:t>
            </w:r>
            <w:r w:rsidRPr="00A676B2">
              <w:rPr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>Фронтальное сечение [м</w:t>
            </w:r>
            <w:r w:rsidRPr="00712EF9">
              <w:rPr>
                <w:sz w:val="18"/>
                <w:szCs w:val="18"/>
                <w:vertAlign w:val="superscript"/>
              </w:rPr>
              <w:t>2</w:t>
            </w:r>
            <w:r w:rsidRPr="00A676B2">
              <w:rPr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567" w:type="dxa"/>
            <w:vMerge w:val="restar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extDirection w:val="btLr"/>
            <w:vAlign w:val="center"/>
          </w:tcPr>
          <w:p w:rsidR="00B80F61" w:rsidRPr="00A676B2" w:rsidRDefault="00B80F61" w:rsidP="00A676B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>ВЕНТИЛЯТОРЫ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 xml:space="preserve">Марка-тип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>Число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 xml:space="preserve">Количество лопастей на вентилятор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 xml:space="preserve">Диаметр (мм)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>Мощность (Вт)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 xml:space="preserve">Номинальная скорость вращения (об/мин)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>Общий номинальный объем воздушного потока на выходе (м</w:t>
            </w:r>
            <w:r w:rsidRPr="00712EF9">
              <w:rPr>
                <w:sz w:val="18"/>
                <w:szCs w:val="18"/>
                <w:vertAlign w:val="superscript"/>
              </w:rPr>
              <w:t>3</w:t>
            </w:r>
            <w:r w:rsidRPr="00A676B2">
              <w:rPr>
                <w:sz w:val="18"/>
                <w:szCs w:val="18"/>
              </w:rPr>
              <w:t xml:space="preserve">/ч) при давлении 0 Па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80F61" w:rsidRPr="00A676B2" w:rsidTr="00B80F61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  <w:r w:rsidRPr="00A676B2">
              <w:rPr>
                <w:sz w:val="18"/>
                <w:szCs w:val="18"/>
              </w:rPr>
              <w:t>Вид привода (Описание: постоянный/переменный ток, частота и т.д.)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80F61" w:rsidRPr="00A676B2" w:rsidRDefault="00B80F61" w:rsidP="00A676B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B80F61" w:rsidRDefault="00B80F61" w:rsidP="000A4532">
      <w:pPr>
        <w:pStyle w:val="SingleTxtGR"/>
        <w:tabs>
          <w:tab w:val="right" w:leader="dot" w:pos="8505"/>
        </w:tabs>
        <w:spacing w:before="120"/>
      </w:pPr>
      <w:r w:rsidRPr="00B80F61">
        <w:t>b)</w:t>
      </w:r>
      <w:r w:rsidRPr="00B80F61">
        <w:tab/>
        <w:t>Метод испытания и результаты:</w:t>
      </w:r>
    </w:p>
    <w:p w:rsidR="000A4532" w:rsidRDefault="000A4532" w:rsidP="000A4532">
      <w:pPr>
        <w:pStyle w:val="SingleTxtGR"/>
        <w:tabs>
          <w:tab w:val="right" w:leader="dot" w:pos="8505"/>
        </w:tabs>
        <w:spacing w:before="120"/>
      </w:pPr>
      <w:r w:rsidRPr="00B80F61">
        <w:t>Метод испытания</w:t>
      </w:r>
      <w:r w:rsidRPr="00A676B2">
        <w:rPr>
          <w:sz w:val="18"/>
          <w:szCs w:val="18"/>
          <w:vertAlign w:val="superscript"/>
        </w:rPr>
        <w:t>1</w:t>
      </w:r>
      <w:r w:rsidRPr="00B80F61">
        <w:t>: по тепловому балансу/разнице энтальпии</w:t>
      </w:r>
    </w:p>
    <w:p w:rsidR="000A4532" w:rsidRPr="000A4532" w:rsidRDefault="000A4532" w:rsidP="000A4532">
      <w:pPr>
        <w:pStyle w:val="SingleTxtGR"/>
        <w:tabs>
          <w:tab w:val="right" w:leader="dot" w:pos="8505"/>
        </w:tabs>
        <w:spacing w:before="120"/>
      </w:pPr>
      <w:r w:rsidRPr="00B80F61">
        <w:t>В калориметрической камере со средней поверхностью =</w:t>
      </w:r>
      <w:r>
        <w:t xml:space="preserve"> </w:t>
      </w:r>
      <w:r>
        <w:tab/>
      </w:r>
      <w:r w:rsidRPr="000A4532">
        <w:t>м</w:t>
      </w:r>
      <w:r w:rsidRPr="000A4532">
        <w:rPr>
          <w:vertAlign w:val="superscript"/>
        </w:rPr>
        <w:t>2</w:t>
      </w:r>
    </w:p>
    <w:p w:rsidR="00B80F61" w:rsidRDefault="000A4532" w:rsidP="000A4532">
      <w:pPr>
        <w:pStyle w:val="SingleTxtGR"/>
        <w:tabs>
          <w:tab w:val="right" w:leader="dot" w:pos="8505"/>
        </w:tabs>
        <w:spacing w:before="120"/>
      </w:pPr>
      <w:r w:rsidRPr="00B80F61">
        <w:t xml:space="preserve">Измеренная величина коэффициента U калориметрической камеры вместе с </w:t>
      </w:r>
      <w:r>
        <w:br/>
      </w:r>
      <w:r w:rsidRPr="00B80F61">
        <w:t xml:space="preserve">установкой, работающей на </w:t>
      </w:r>
      <w:r>
        <w:t>сжиженном газе:</w:t>
      </w:r>
      <w:r>
        <w:tab/>
      </w:r>
      <w:r w:rsidRPr="00B80F61">
        <w:t>Вт/°С,</w:t>
      </w:r>
    </w:p>
    <w:p w:rsidR="000A4532" w:rsidRDefault="000A4532" w:rsidP="000A4532">
      <w:pPr>
        <w:pStyle w:val="SingleTxtGR"/>
        <w:tabs>
          <w:tab w:val="right" w:leader="dot" w:pos="8505"/>
        </w:tabs>
        <w:spacing w:before="120"/>
      </w:pPr>
      <w:r w:rsidRPr="00B80F61">
        <w:t>при средней температуре стенок</w:t>
      </w:r>
      <w:r w:rsidRPr="00A676B2">
        <w:t>:</w:t>
      </w:r>
      <w:r>
        <w:tab/>
      </w:r>
      <w:r w:rsidRPr="00B80F61">
        <w:t>°C.</w:t>
      </w:r>
    </w:p>
    <w:p w:rsidR="000A4532" w:rsidRDefault="000A4532" w:rsidP="000A4532">
      <w:pPr>
        <w:pStyle w:val="SingleTxtGR"/>
        <w:tabs>
          <w:tab w:val="right" w:leader="dot" w:pos="8505"/>
        </w:tabs>
        <w:spacing w:before="120"/>
      </w:pPr>
      <w:r w:rsidRPr="00B80F61">
        <w:t>В установке на транспортном средстве</w:t>
      </w:r>
    </w:p>
    <w:p w:rsidR="000A4532" w:rsidRDefault="000A4532" w:rsidP="000A4532">
      <w:pPr>
        <w:pStyle w:val="SingleTxtGR"/>
        <w:tabs>
          <w:tab w:val="right" w:leader="dot" w:pos="8505"/>
        </w:tabs>
        <w:spacing w:before="120"/>
      </w:pPr>
      <w:r w:rsidRPr="00B80F61">
        <w:t>Измеренная величина коэффициента U транспортного средства вместе с</w:t>
      </w:r>
      <w:r w:rsidR="00712EF9">
        <w:br/>
      </w:r>
      <w:r w:rsidRPr="00B80F61">
        <w:t>установкой, работающей на сжиженном газе:</w:t>
      </w:r>
      <w:r>
        <w:tab/>
      </w:r>
      <w:r w:rsidRPr="00B80F61">
        <w:t>Вт/°С,</w:t>
      </w:r>
    </w:p>
    <w:p w:rsidR="000A4532" w:rsidRPr="00B80F61" w:rsidRDefault="000A4532" w:rsidP="000A4532">
      <w:pPr>
        <w:pStyle w:val="SingleTxtGR"/>
        <w:tabs>
          <w:tab w:val="right" w:leader="dot" w:pos="8505"/>
        </w:tabs>
        <w:spacing w:before="120"/>
      </w:pPr>
      <w:r w:rsidRPr="00B80F61">
        <w:t>при средней температуре стенок</w:t>
      </w:r>
      <w:r w:rsidRPr="008307BE">
        <w:t>:</w:t>
      </w:r>
      <w:r>
        <w:tab/>
      </w:r>
      <w:r w:rsidRPr="00B80F61">
        <w:t>°C.</w:t>
      </w:r>
    </w:p>
    <w:p w:rsidR="00B80F61" w:rsidRPr="00B80F61" w:rsidRDefault="00B80F61" w:rsidP="00712EF9">
      <w:pPr>
        <w:pStyle w:val="SingleTxtGR"/>
        <w:spacing w:before="120" w:after="0"/>
      </w:pPr>
      <w:r w:rsidRPr="00B80F61">
        <w:t>Формула, использованная для определения поправки к величине U калориметрической камеры на среднюю температуру стенок:</w:t>
      </w:r>
    </w:p>
    <w:p w:rsidR="00B80F61" w:rsidRDefault="008307BE" w:rsidP="00712EF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spacing w:after="0"/>
      </w:pPr>
      <w:r>
        <w:tab/>
      </w:r>
    </w:p>
    <w:p w:rsidR="008307BE" w:rsidRPr="00B80F61" w:rsidRDefault="008307BE" w:rsidP="008307B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>
        <w:tab/>
      </w:r>
    </w:p>
    <w:p w:rsidR="00B80F61" w:rsidRPr="00B80F61" w:rsidRDefault="00B80F61" w:rsidP="00B80F61">
      <w:pPr>
        <w:pStyle w:val="SingleTxtGR"/>
      </w:pPr>
      <w:r w:rsidRPr="00B80F61">
        <w:lastRenderedPageBreak/>
        <w:t>Максимальные погрешности при определении:</w:t>
      </w:r>
    </w:p>
    <w:p w:rsidR="00B80F61" w:rsidRPr="00B80F61" w:rsidRDefault="00B80F61" w:rsidP="008307BE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B80F61">
        <w:t>Значение величины U для кузова:</w:t>
      </w:r>
      <w:r w:rsidR="008307BE">
        <w:tab/>
      </w:r>
    </w:p>
    <w:p w:rsidR="00B80F61" w:rsidRPr="00B80F61" w:rsidRDefault="00B80F61" w:rsidP="00585D79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B80F61">
        <w:t>Холодопроизводительность установки, рабо</w:t>
      </w:r>
      <w:r w:rsidR="008307BE">
        <w:t>тающей на сжиженном газе:</w:t>
      </w:r>
      <w:r w:rsidR="008307BE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860"/>
        <w:gridCol w:w="1072"/>
        <w:gridCol w:w="932"/>
        <w:gridCol w:w="684"/>
        <w:gridCol w:w="704"/>
        <w:gridCol w:w="851"/>
        <w:gridCol w:w="851"/>
      </w:tblGrid>
      <w:tr w:rsidR="00B80F61" w:rsidRPr="008307BE" w:rsidTr="00B24E86">
        <w:trPr>
          <w:cantSplit/>
          <w:trHeight w:val="837"/>
          <w:jc w:val="center"/>
        </w:trPr>
        <w:tc>
          <w:tcPr>
            <w:tcW w:w="7792" w:type="dxa"/>
            <w:gridSpan w:val="9"/>
            <w:shd w:val="clear" w:color="auto" w:fill="auto"/>
            <w:vAlign w:val="center"/>
          </w:tcPr>
          <w:p w:rsidR="00B80F61" w:rsidRPr="008307BE" w:rsidRDefault="00B80F61" w:rsidP="00B24E86">
            <w:pPr>
              <w:tabs>
                <w:tab w:val="left" w:leader="dot" w:pos="7371"/>
              </w:tabs>
              <w:spacing w:before="60" w:after="60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 xml:space="preserve">Средняя температура воздуха снаружи емкости: </w:t>
            </w:r>
            <w:r w:rsidR="00B24E86">
              <w:rPr>
                <w:sz w:val="18"/>
                <w:szCs w:val="18"/>
              </w:rPr>
              <w:tab/>
            </w:r>
            <w:r w:rsidR="00B24E86">
              <w:rPr>
                <w:sz w:val="18"/>
                <w:szCs w:val="18"/>
              </w:rPr>
              <w:tab/>
            </w:r>
            <w:r w:rsidRPr="008307BE">
              <w:rPr>
                <w:sz w:val="18"/>
                <w:szCs w:val="18"/>
              </w:rPr>
              <w:t>ºC</w:t>
            </w:r>
          </w:p>
          <w:p w:rsidR="00B80F61" w:rsidRPr="00B24E86" w:rsidRDefault="00B80F61" w:rsidP="00B24E86">
            <w:pPr>
              <w:tabs>
                <w:tab w:val="left" w:leader="dot" w:pos="7371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8307BE">
              <w:rPr>
                <w:sz w:val="18"/>
                <w:szCs w:val="18"/>
              </w:rPr>
              <w:t>Источник электропитания:</w:t>
            </w:r>
            <w:r w:rsidR="00B24E86">
              <w:rPr>
                <w:sz w:val="18"/>
                <w:szCs w:val="18"/>
              </w:rPr>
              <w:tab/>
            </w:r>
            <w:r w:rsidR="00B24E86">
              <w:rPr>
                <w:sz w:val="18"/>
                <w:szCs w:val="18"/>
                <w:lang w:val="en-US"/>
              </w:rPr>
              <w:t>…</w:t>
            </w:r>
          </w:p>
        </w:tc>
      </w:tr>
      <w:tr w:rsidR="00B24E86" w:rsidRPr="008307BE" w:rsidTr="00B24E86">
        <w:trPr>
          <w:cantSplit/>
          <w:trHeight w:val="1583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B80F61" w:rsidRPr="008307BE" w:rsidRDefault="00B80F61" w:rsidP="00585D79">
            <w:pPr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Расход сжиженного газа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80F61" w:rsidRPr="008307BE" w:rsidRDefault="00B80F61" w:rsidP="00585D79">
            <w:pPr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80F61" w:rsidRPr="008307BE" w:rsidRDefault="00B80F61" w:rsidP="00585D79">
            <w:pPr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Давление на выходе из емкости</w:t>
            </w: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80F61" w:rsidRPr="008307BE" w:rsidRDefault="00B80F61" w:rsidP="00585D79">
            <w:pPr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Температура жидкости в испарителе</w:t>
            </w:r>
          </w:p>
        </w:tc>
        <w:tc>
          <w:tcPr>
            <w:tcW w:w="932" w:type="dxa"/>
            <w:shd w:val="clear" w:color="auto" w:fill="auto"/>
            <w:textDirection w:val="tbRlV"/>
            <w:vAlign w:val="center"/>
          </w:tcPr>
          <w:p w:rsidR="00B80F61" w:rsidRPr="008307BE" w:rsidRDefault="00B80F61" w:rsidP="00585D79">
            <w:pPr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Температура наружного воздуха</w:t>
            </w:r>
          </w:p>
        </w:tc>
        <w:tc>
          <w:tcPr>
            <w:tcW w:w="684" w:type="dxa"/>
            <w:shd w:val="clear" w:color="auto" w:fill="auto"/>
            <w:textDirection w:val="tbRlV"/>
            <w:vAlign w:val="center"/>
          </w:tcPr>
          <w:p w:rsidR="00B80F61" w:rsidRPr="008307BE" w:rsidRDefault="00B80F61" w:rsidP="00585D79">
            <w:pPr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Внутренняя температура</w:t>
            </w:r>
          </w:p>
        </w:tc>
        <w:tc>
          <w:tcPr>
            <w:tcW w:w="704" w:type="dxa"/>
            <w:shd w:val="clear" w:color="auto" w:fill="auto"/>
            <w:textDirection w:val="tbRlV"/>
            <w:vAlign w:val="center"/>
          </w:tcPr>
          <w:p w:rsidR="00B80F61" w:rsidRPr="008307BE" w:rsidRDefault="00B80F61" w:rsidP="00585D79">
            <w:pPr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Тепловая мощность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B80F61" w:rsidRPr="008307BE" w:rsidRDefault="00B80F61" w:rsidP="00585D79">
            <w:pPr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Температура воздуха на входе испарителя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B80F61" w:rsidRPr="008307BE" w:rsidRDefault="00B80F61" w:rsidP="00585D79">
            <w:pPr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Полезная холодопроизводительность</w:t>
            </w:r>
          </w:p>
        </w:tc>
      </w:tr>
      <w:tr w:rsidR="00B24E86" w:rsidRPr="008307BE" w:rsidTr="00B24E86">
        <w:trPr>
          <w:cantSplit/>
          <w:trHeight w:val="11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0F61" w:rsidRPr="008307BE" w:rsidRDefault="00B80F61" w:rsidP="00B24E8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[кг/ч]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F61" w:rsidRPr="008307BE" w:rsidRDefault="00B80F61" w:rsidP="00B24E8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[Vdc] и [А]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61" w:rsidRPr="008307BE" w:rsidRDefault="00B80F61" w:rsidP="00B24E8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[бар абс.]</w:t>
            </w: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0F61" w:rsidRPr="008307BE" w:rsidRDefault="00B80F61" w:rsidP="00B24E8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[°C]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80F61" w:rsidRPr="008307BE" w:rsidRDefault="00B80F61" w:rsidP="00B24E8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[°C]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80F61" w:rsidRPr="008307BE" w:rsidRDefault="00B80F61" w:rsidP="00B24E8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[°C]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80F61" w:rsidRPr="008307BE" w:rsidRDefault="00B80F61" w:rsidP="00B24E8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[Вт]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F61" w:rsidRPr="008307BE" w:rsidRDefault="00B80F61" w:rsidP="00B24E8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[°C]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F61" w:rsidRPr="008307BE" w:rsidRDefault="00B80F61" w:rsidP="00B24E8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307BE">
              <w:rPr>
                <w:sz w:val="18"/>
                <w:szCs w:val="18"/>
              </w:rPr>
              <w:t>[Вт]</w:t>
            </w:r>
          </w:p>
        </w:tc>
      </w:tr>
      <w:tr w:rsidR="00B24E86" w:rsidRPr="008307BE" w:rsidTr="00B24E86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B80F61" w:rsidRPr="008307BE" w:rsidRDefault="00B80F61" w:rsidP="008307B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F61" w:rsidRPr="008307BE" w:rsidRDefault="00B80F61" w:rsidP="008307B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61" w:rsidRPr="008307BE" w:rsidRDefault="00B80F61" w:rsidP="008307B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0F61" w:rsidRPr="008307BE" w:rsidRDefault="00B80F61" w:rsidP="008307B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B80F61" w:rsidRPr="008307BE" w:rsidRDefault="00B80F61" w:rsidP="008307B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B80F61" w:rsidRPr="008307BE" w:rsidRDefault="00B80F61" w:rsidP="008307B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B80F61" w:rsidRPr="008307BE" w:rsidRDefault="00B80F61" w:rsidP="008307B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F61" w:rsidRPr="008307BE" w:rsidRDefault="00B80F61" w:rsidP="008307B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0F61" w:rsidRPr="008307BE" w:rsidRDefault="00B80F61" w:rsidP="008307B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B80F61" w:rsidRPr="00B80F61" w:rsidRDefault="00B80F61" w:rsidP="008307BE">
      <w:pPr>
        <w:pStyle w:val="SingleTxtGR"/>
        <w:spacing w:before="120"/>
        <w:rPr>
          <w:bCs/>
        </w:rPr>
      </w:pPr>
      <w:r w:rsidRPr="00B80F61">
        <w:rPr>
          <w:bCs/>
        </w:rPr>
        <w:t>Исправленная мощность охлаждения [Вт]:</w:t>
      </w:r>
    </w:p>
    <w:p w:rsidR="00B80F61" w:rsidRPr="00B80F61" w:rsidRDefault="00B80F61" w:rsidP="00B80F61">
      <w:pPr>
        <w:pStyle w:val="SingleTxtGR"/>
      </w:pPr>
      <w:r w:rsidRPr="00B80F61">
        <w:t>с)</w:t>
      </w:r>
      <w:r w:rsidRPr="00B80F61">
        <w:tab/>
        <w:t>Проверки:</w:t>
      </w:r>
    </w:p>
    <w:p w:rsidR="00B80F61" w:rsidRPr="00B80F61" w:rsidRDefault="00593540" w:rsidP="00585D79">
      <w:pPr>
        <w:pStyle w:val="SingleTxtGR"/>
        <w:tabs>
          <w:tab w:val="clear" w:pos="3969"/>
          <w:tab w:val="left" w:pos="4536"/>
          <w:tab w:val="right" w:leader="dot" w:pos="8505"/>
        </w:tabs>
        <w:spacing w:after="0"/>
      </w:pPr>
      <w:r>
        <w:t>Регулятор температуры:</w:t>
      </w:r>
      <w:r>
        <w:tab/>
      </w:r>
      <w:r w:rsidR="00585D79">
        <w:tab/>
      </w:r>
      <w:r w:rsidR="00B80F61" w:rsidRPr="00B80F61">
        <w:t>Установка</w:t>
      </w:r>
      <w:r>
        <w:tab/>
      </w:r>
      <w:r w:rsidR="00B80F61" w:rsidRPr="00B80F61">
        <w:t>ºC</w:t>
      </w:r>
    </w:p>
    <w:p w:rsidR="00B80F61" w:rsidRPr="00B80F61" w:rsidRDefault="00593540" w:rsidP="00585D79">
      <w:pPr>
        <w:pStyle w:val="SingleTxtGR"/>
        <w:tabs>
          <w:tab w:val="clear" w:pos="3969"/>
          <w:tab w:val="left" w:pos="4536"/>
          <w:tab w:val="right" w:leader="dot" w:pos="8505"/>
        </w:tabs>
        <w:spacing w:after="0"/>
      </w:pPr>
      <w:r>
        <w:tab/>
      </w:r>
      <w:r w:rsidR="00585D79">
        <w:tab/>
      </w:r>
      <w:r w:rsidR="00585D79">
        <w:tab/>
      </w:r>
      <w:r w:rsidR="00585D79">
        <w:tab/>
      </w:r>
      <w:r w:rsidR="00585D79">
        <w:tab/>
      </w:r>
      <w:r w:rsidR="00B80F61" w:rsidRPr="00B80F61">
        <w:t>Перепад</w:t>
      </w:r>
      <w:r>
        <w:tab/>
      </w:r>
      <w:r w:rsidR="00B80F61" w:rsidRPr="00B80F61">
        <w:t>°C</w:t>
      </w:r>
    </w:p>
    <w:p w:rsidR="00B80F61" w:rsidRPr="00593540" w:rsidRDefault="00B80F61" w:rsidP="00585D79">
      <w:pPr>
        <w:pStyle w:val="SingleTxtGR"/>
        <w:spacing w:before="120"/>
        <w:rPr>
          <w:spacing w:val="-1"/>
        </w:rPr>
      </w:pPr>
      <w:r w:rsidRPr="00593540">
        <w:rPr>
          <w:spacing w:val="-1"/>
        </w:rPr>
        <w:t>Работа устройства для размораживания</w:t>
      </w:r>
      <w:r w:rsidRPr="00593540">
        <w:rPr>
          <w:spacing w:val="-1"/>
          <w:sz w:val="18"/>
          <w:szCs w:val="18"/>
          <w:vertAlign w:val="superscript"/>
        </w:rPr>
        <w:t>1</w:t>
      </w:r>
      <w:r w:rsidRPr="00593540">
        <w:rPr>
          <w:spacing w:val="-1"/>
        </w:rPr>
        <w:t>: удовлетворительная/неудовлетворительная</w:t>
      </w:r>
    </w:p>
    <w:p w:rsidR="00B80F61" w:rsidRPr="00B80F61" w:rsidRDefault="00B80F61" w:rsidP="00B80F61">
      <w:pPr>
        <w:pStyle w:val="SingleTxtGR"/>
      </w:pPr>
      <w:r w:rsidRPr="00B80F61">
        <w:t xml:space="preserve">Объем воздушного потока на выходе испарителя: </w:t>
      </w:r>
    </w:p>
    <w:p w:rsidR="00B80F61" w:rsidRPr="00593540" w:rsidRDefault="00585D79" w:rsidP="00585D79">
      <w:pPr>
        <w:pStyle w:val="SingleTxtGR"/>
        <w:tabs>
          <w:tab w:val="right" w:leader="dot" w:pos="8505"/>
        </w:tabs>
        <w:spacing w:after="0"/>
      </w:pPr>
      <w:r>
        <w:tab/>
      </w:r>
      <w:r w:rsidR="00593540" w:rsidRPr="00593540">
        <w:t>Измеренное значение:</w:t>
      </w:r>
      <w:r>
        <w:tab/>
      </w:r>
      <w:r>
        <w:tab/>
      </w:r>
      <w:r w:rsidR="00B80F61" w:rsidRPr="00593540">
        <w:t>м</w:t>
      </w:r>
      <w:r w:rsidR="00B80F61" w:rsidRPr="00585D79">
        <w:rPr>
          <w:vertAlign w:val="superscript"/>
        </w:rPr>
        <w:t>3</w:t>
      </w:r>
      <w:r w:rsidR="00B80F61" w:rsidRPr="00593540">
        <w:t>/ч</w:t>
      </w:r>
    </w:p>
    <w:p w:rsidR="00B80F61" w:rsidRPr="00B80F61" w:rsidRDefault="00593540" w:rsidP="00585D79">
      <w:pPr>
        <w:pStyle w:val="SingleTxtGR"/>
        <w:tabs>
          <w:tab w:val="right" w:leader="dot" w:pos="8505"/>
        </w:tabs>
        <w:spacing w:after="0"/>
      </w:pPr>
      <w:r>
        <w:tab/>
      </w:r>
      <w:r w:rsidR="00B80F61" w:rsidRPr="00B80F61">
        <w:t>При давлении</w:t>
      </w:r>
      <w:r w:rsidRPr="00593540">
        <w:t>:</w:t>
      </w:r>
      <w:r w:rsidRPr="00593540">
        <w:tab/>
      </w:r>
      <w:r w:rsidR="00585D79">
        <w:tab/>
      </w:r>
      <w:r w:rsidR="00585D79">
        <w:tab/>
      </w:r>
      <w:r w:rsidR="00B80F61" w:rsidRPr="00B80F61">
        <w:t>Па</w:t>
      </w:r>
    </w:p>
    <w:p w:rsidR="00B80F61" w:rsidRPr="00B80F61" w:rsidRDefault="00593540" w:rsidP="00585D79">
      <w:pPr>
        <w:pStyle w:val="SingleTxtGR"/>
        <w:tabs>
          <w:tab w:val="right" w:leader="dot" w:pos="8505"/>
        </w:tabs>
        <w:spacing w:after="0"/>
      </w:pPr>
      <w:r>
        <w:tab/>
      </w:r>
      <w:r w:rsidR="00B80F61" w:rsidRPr="00B80F61">
        <w:t>При температуре</w:t>
      </w:r>
      <w:r w:rsidRPr="00593540">
        <w:t>:</w:t>
      </w:r>
      <w:r w:rsidRPr="00593540">
        <w:tab/>
      </w:r>
      <w:r w:rsidR="00585D79">
        <w:tab/>
      </w:r>
      <w:r w:rsidR="00585D79">
        <w:tab/>
      </w:r>
      <w:r w:rsidR="00B80F61" w:rsidRPr="00B80F61">
        <w:t>ºC</w:t>
      </w:r>
    </w:p>
    <w:p w:rsidR="00B80F61" w:rsidRPr="00B80F61" w:rsidRDefault="00593540" w:rsidP="00585D79">
      <w:pPr>
        <w:pStyle w:val="SingleTxtGR"/>
        <w:tabs>
          <w:tab w:val="right" w:leader="dot" w:pos="8505"/>
        </w:tabs>
        <w:spacing w:after="0"/>
      </w:pPr>
      <w:r>
        <w:tab/>
      </w:r>
      <w:r w:rsidR="00B80F61" w:rsidRPr="00B80F61">
        <w:t>При частоте вращения</w:t>
      </w:r>
      <w:r w:rsidRPr="00593540">
        <w:t>:</w:t>
      </w:r>
      <w:r w:rsidRPr="00593540">
        <w:tab/>
      </w:r>
      <w:r w:rsidR="00585D79">
        <w:tab/>
      </w:r>
      <w:r w:rsidR="00B80F61" w:rsidRPr="00B80F61">
        <w:t>об/мин</w:t>
      </w:r>
    </w:p>
    <w:p w:rsidR="00B80F61" w:rsidRPr="00B80F61" w:rsidRDefault="00593540" w:rsidP="00484BD4">
      <w:pPr>
        <w:tabs>
          <w:tab w:val="left" w:leader="dot" w:pos="3402"/>
          <w:tab w:val="left" w:leader="dot" w:pos="8505"/>
        </w:tabs>
        <w:spacing w:before="120"/>
        <w:ind w:left="1134"/>
      </w:pPr>
      <w:r>
        <w:t>Минимальная емкость бака:</w:t>
      </w:r>
      <w:r>
        <w:tab/>
      </w:r>
    </w:p>
    <w:p w:rsidR="00B80F61" w:rsidRPr="00B80F61" w:rsidRDefault="00B80F61" w:rsidP="00593540">
      <w:pPr>
        <w:pStyle w:val="SingleTxtGR"/>
        <w:spacing w:before="120"/>
      </w:pPr>
      <w:r w:rsidRPr="00B80F61">
        <w:t>d)</w:t>
      </w:r>
      <w:r w:rsidRPr="00B80F61">
        <w:tab/>
        <w:t>Примечания</w:t>
      </w:r>
    </w:p>
    <w:p w:rsidR="00B80F61" w:rsidRDefault="00593540" w:rsidP="005935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>
        <w:tab/>
      </w:r>
    </w:p>
    <w:p w:rsidR="00593540" w:rsidRDefault="00593540" w:rsidP="005935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>
        <w:tab/>
      </w:r>
    </w:p>
    <w:p w:rsidR="00593540" w:rsidRPr="00B80F61" w:rsidRDefault="00593540" w:rsidP="00593540">
      <w:pPr>
        <w:pStyle w:val="SingleTxtGR"/>
        <w:pBdr>
          <w:bottom w:val="single" w:sz="4" w:space="1" w:color="auto"/>
        </w:pBdr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>
        <w:tab/>
      </w:r>
    </w:p>
    <w:p w:rsidR="00A5481B" w:rsidRDefault="00B80F61" w:rsidP="00B80F61">
      <w:pPr>
        <w:pStyle w:val="SingleTxtGR"/>
      </w:pPr>
      <w:r w:rsidRPr="00B80F61">
        <w:t xml:space="preserve">Настоящий протокол испытания действителен в течение не более шести лет с момента окончания испытаний. </w:t>
      </w:r>
    </w:p>
    <w:p w:rsidR="00A5481B" w:rsidRDefault="00B80F61" w:rsidP="005935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5103"/>
        </w:tabs>
      </w:pPr>
      <w:r w:rsidRPr="00B80F61">
        <w:t>Составлен в:</w:t>
      </w:r>
      <w:r w:rsidR="00593540">
        <w:tab/>
      </w:r>
    </w:p>
    <w:p w:rsidR="00A5481B" w:rsidRDefault="00B80F61" w:rsidP="005935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5103"/>
          <w:tab w:val="left" w:pos="5670"/>
        </w:tabs>
        <w:rPr>
          <w:bCs/>
        </w:rPr>
      </w:pPr>
      <w:r w:rsidRPr="00B80F61">
        <w:rPr>
          <w:bCs/>
        </w:rPr>
        <w:t>Дата:</w:t>
      </w:r>
      <w:r w:rsidRPr="00B80F61">
        <w:rPr>
          <w:bCs/>
        </w:rPr>
        <w:tab/>
      </w:r>
      <w:r w:rsidR="00593540">
        <w:rPr>
          <w:bCs/>
        </w:rPr>
        <w:tab/>
      </w:r>
      <w:r w:rsidRPr="00B80F61">
        <w:rPr>
          <w:bCs/>
        </w:rPr>
        <w:t>Ответственный за испытание</w:t>
      </w:r>
    </w:p>
    <w:p w:rsidR="00B80F61" w:rsidRDefault="00B80F61" w:rsidP="0059354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0"/>
          <w:tab w:val="left" w:leader="dot" w:pos="8505"/>
        </w:tabs>
      </w:pPr>
      <w:r w:rsidRPr="00B80F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17231" wp14:editId="4C267C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" name="Freeform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A569" id="Freeform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B80F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960924" wp14:editId="45E9A75C">
                <wp:simplePos x="0" y="0"/>
                <wp:positionH relativeFrom="page">
                  <wp:posOffset>1079500</wp:posOffset>
                </wp:positionH>
                <wp:positionV relativeFrom="paragraph">
                  <wp:posOffset>0</wp:posOffset>
                </wp:positionV>
                <wp:extent cx="1799590" cy="12065"/>
                <wp:effectExtent l="3175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2065"/>
                        </a:xfrm>
                        <a:custGeom>
                          <a:avLst/>
                          <a:gdLst>
                            <a:gd name="G0" fmla="*/ 2835 1 2"/>
                            <a:gd name="G1" fmla="*/ 20 1 2"/>
                            <a:gd name="G2" fmla="+- 20 0 0"/>
                            <a:gd name="G3" fmla="+- 2835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083C" id="Freeform 3" o:spid="_x0000_s1026" style="position:absolute;margin-left:85pt;margin-top:0;width:141.7pt;height:.9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79959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" path="m,l,,,,,xe" fillcolor="black" stroked="f" strokecolor="#3465a4">
                <v:path o:connecttype="custom" o:connectlocs="1799590,6033;899795,12065;0,6033;899795,0" o:connectangles="0,90,180,270" textboxrect="0,0,1799590,12065"/>
                <w10:wrap anchorx="page"/>
              </v:shape>
            </w:pict>
          </mc:Fallback>
        </mc:AlternateContent>
      </w:r>
      <w:r w:rsidR="00593540">
        <w:tab/>
      </w:r>
      <w:r w:rsidR="00593540">
        <w:tab/>
      </w:r>
    </w:p>
    <w:p w:rsidR="00593540" w:rsidRPr="00593540" w:rsidRDefault="00593540" w:rsidP="00593540">
      <w:pPr>
        <w:pStyle w:val="SingleTxtGR"/>
      </w:pPr>
      <w:r w:rsidRPr="00593540">
        <w:t>______________</w:t>
      </w:r>
    </w:p>
    <w:p w:rsidR="00B80F61" w:rsidRPr="00593540" w:rsidRDefault="00B80F61" w:rsidP="00593540">
      <w:pPr>
        <w:pStyle w:val="SingleTxtGR"/>
        <w:spacing w:after="0"/>
        <w:rPr>
          <w:i/>
          <w:sz w:val="18"/>
          <w:szCs w:val="18"/>
          <w:vertAlign w:val="superscript"/>
        </w:rPr>
      </w:pPr>
      <w:r w:rsidRPr="00593540">
        <w:rPr>
          <w:i/>
          <w:sz w:val="18"/>
          <w:szCs w:val="18"/>
          <w:vertAlign w:val="superscript"/>
        </w:rPr>
        <w:t>1</w:t>
      </w:r>
      <w:r w:rsidR="00593540" w:rsidRPr="00593540">
        <w:rPr>
          <w:i/>
          <w:sz w:val="18"/>
          <w:szCs w:val="18"/>
        </w:rPr>
        <w:t xml:space="preserve">  </w:t>
      </w:r>
      <w:r w:rsidRPr="00593540">
        <w:rPr>
          <w:i/>
          <w:iCs/>
          <w:sz w:val="18"/>
          <w:szCs w:val="18"/>
        </w:rPr>
        <w:t>Ненужное вычеркнуть.</w:t>
      </w:r>
    </w:p>
    <w:p w:rsidR="00B80F61" w:rsidRPr="00593540" w:rsidRDefault="00B80F61" w:rsidP="00593540">
      <w:pPr>
        <w:pStyle w:val="SingleTxtGR"/>
        <w:rPr>
          <w:i/>
          <w:sz w:val="18"/>
          <w:szCs w:val="18"/>
        </w:rPr>
      </w:pPr>
      <w:r w:rsidRPr="00593540">
        <w:rPr>
          <w:i/>
          <w:sz w:val="18"/>
          <w:szCs w:val="18"/>
          <w:vertAlign w:val="superscript"/>
        </w:rPr>
        <w:t>2</w:t>
      </w:r>
      <w:r w:rsidR="00593540" w:rsidRPr="00593540">
        <w:rPr>
          <w:i/>
          <w:sz w:val="18"/>
          <w:szCs w:val="18"/>
        </w:rPr>
        <w:t xml:space="preserve">  </w:t>
      </w:r>
      <w:r w:rsidRPr="00593540">
        <w:rPr>
          <w:i/>
          <w:iCs/>
          <w:sz w:val="18"/>
          <w:szCs w:val="18"/>
        </w:rPr>
        <w:t>Величина, указанная изготовителем</w:t>
      </w:r>
      <w:r w:rsidRPr="00712EF9">
        <w:rPr>
          <w:iCs/>
        </w:rPr>
        <w:t>»</w:t>
      </w:r>
      <w:r w:rsidRPr="00593540">
        <w:rPr>
          <w:i/>
          <w:iCs/>
          <w:sz w:val="18"/>
          <w:szCs w:val="18"/>
        </w:rPr>
        <w:t>.</w:t>
      </w:r>
    </w:p>
    <w:p w:rsidR="00B80F61" w:rsidRPr="00B80F61" w:rsidRDefault="00B80F61" w:rsidP="00B80F61">
      <w:pPr>
        <w:pStyle w:val="SingleTxtGR"/>
        <w:rPr>
          <w:i/>
          <w:iCs/>
        </w:rPr>
      </w:pPr>
      <w:r w:rsidRPr="00B80F61">
        <w:t>(</w:t>
      </w:r>
      <w:r w:rsidRPr="00B80F61">
        <w:rPr>
          <w:i/>
          <w:iCs/>
        </w:rPr>
        <w:t>Справочный документ: ECE/TRANS/WP.11/2017/5)</w:t>
      </w:r>
    </w:p>
    <w:p w:rsidR="00B80F61" w:rsidRPr="00593540" w:rsidRDefault="00B80F61" w:rsidP="00593540">
      <w:pPr>
        <w:pStyle w:val="H1GR"/>
        <w:pageBreakBefore/>
        <w:rPr>
          <w:u w:val="single"/>
        </w:rPr>
      </w:pPr>
      <w:r w:rsidRPr="00B80F61">
        <w:lastRenderedPageBreak/>
        <w:tab/>
      </w:r>
      <w:r w:rsidRPr="00B80F61">
        <w:tab/>
      </w:r>
      <w:r w:rsidRPr="00593540">
        <w:rPr>
          <w:u w:val="single"/>
        </w:rPr>
        <w:t>Предложение по поправке 5</w:t>
      </w:r>
    </w:p>
    <w:p w:rsidR="00B80F61" w:rsidRPr="00B80F61" w:rsidRDefault="00B80F61" w:rsidP="00593540">
      <w:pPr>
        <w:pStyle w:val="H23GR"/>
      </w:pPr>
      <w:r w:rsidRPr="00B80F61">
        <w:tab/>
        <w:t>7.</w:t>
      </w:r>
      <w:r w:rsidRPr="00B80F61">
        <w:tab/>
        <w:t>Приложение 1, добавление 2</w:t>
      </w:r>
    </w:p>
    <w:p w:rsidR="00B80F61" w:rsidRPr="00B80F61" w:rsidRDefault="00B80F61" w:rsidP="00B80F61">
      <w:pPr>
        <w:pStyle w:val="SingleTxtGR"/>
      </w:pPr>
      <w:r w:rsidRPr="00B80F61">
        <w:t>В пункте 6.2 добавить новый подпункт iii) следующего содержания и соответствующим образом изменить нумерацию существующих подпунктов iii) и iv):</w:t>
      </w:r>
    </w:p>
    <w:p w:rsidR="00B80F61" w:rsidRPr="00B80F61" w:rsidRDefault="00B80F61" w:rsidP="00B80F61">
      <w:pPr>
        <w:pStyle w:val="SingleTxtGR"/>
      </w:pPr>
      <w:r w:rsidRPr="00B80F61">
        <w:t>«iii)</w:t>
      </w:r>
      <w:r w:rsidRPr="00B80F61">
        <w:tab/>
        <w:t xml:space="preserve">Многокамерные транспортные средства </w:t>
      </w:r>
    </w:p>
    <w:p w:rsidR="00B80F61" w:rsidRPr="00B80F61" w:rsidRDefault="00B80F61" w:rsidP="00593540">
      <w:pPr>
        <w:pStyle w:val="SingleTxtGR"/>
        <w:ind w:left="1701"/>
      </w:pPr>
      <w:r w:rsidRPr="00B80F61">
        <w:t xml:space="preserve">Испытание, предусмотренное в пункте i), проводится одновременно для всех камер. В ходе этих испытаний разделяющие стенки, если они являются съемными, располагают таким образом, чтобы объемы камер соответствовали требуемой максимальной холодопроизводительности. </w:t>
      </w:r>
    </w:p>
    <w:p w:rsidR="00B80F61" w:rsidRPr="00B80F61" w:rsidRDefault="00B80F61" w:rsidP="00593540">
      <w:pPr>
        <w:pStyle w:val="SingleTxtGR"/>
        <w:ind w:left="1701"/>
      </w:pPr>
      <w:r w:rsidRPr="00B80F61">
        <w:t>Измерения производят до тех пор, пока самая высокая температура, измеренная одним из двух датчиков, расположенных внутри каждой из камер, не будет соответствовать температуре для данного класса.</w:t>
      </w:r>
    </w:p>
    <w:p w:rsidR="00B80F61" w:rsidRPr="00B80F61" w:rsidRDefault="00B80F61" w:rsidP="00593540">
      <w:pPr>
        <w:pStyle w:val="SingleTxtGR"/>
        <w:ind w:left="1701"/>
      </w:pPr>
      <w:r w:rsidRPr="00B80F61">
        <w:t xml:space="preserve">Для многокамерных транспортных средств, у которых температура камеры может быть изменена, затем проводят дополнительное испытание реверсивного режима. </w:t>
      </w:r>
    </w:p>
    <w:p w:rsidR="00B80F61" w:rsidRPr="00B80F61" w:rsidRDefault="00B80F61" w:rsidP="00593540">
      <w:pPr>
        <w:pStyle w:val="SingleTxtGR"/>
        <w:ind w:left="1701"/>
      </w:pPr>
      <w:r w:rsidRPr="00B80F61">
        <w:t>Температуру камер выбирают таким образом, чтобы в ходе испытания она, по возможности, была для смежных камер различной. Отдельные камеры доводят до нужной температуры данного класса (–20 °C), в то время как для других она должна составлять 0° C. После того как указанные значения будут достигнуты, температурные условия для каждой камеры должны быть изменены на обратные – –20</w:t>
      </w:r>
      <w:r w:rsidR="00712EF9">
        <w:t xml:space="preserve"> </w:t>
      </w:r>
      <w:r w:rsidRPr="00B80F61">
        <w:t>°C для камер с температурой 0</w:t>
      </w:r>
      <w:r w:rsidR="00712EF9">
        <w:t xml:space="preserve"> </w:t>
      </w:r>
      <w:r w:rsidRPr="00B80F61">
        <w:t xml:space="preserve">°C </w:t>
      </w:r>
      <w:r w:rsidR="000720E7">
        <w:br/>
      </w:r>
      <w:r w:rsidRPr="00B80F61">
        <w:t>и 0</w:t>
      </w:r>
      <w:r w:rsidR="00712EF9">
        <w:t xml:space="preserve"> </w:t>
      </w:r>
      <w:r w:rsidRPr="00B80F61">
        <w:t>°C для камер с температурой –20</w:t>
      </w:r>
      <w:r w:rsidR="00712EF9">
        <w:t xml:space="preserve"> </w:t>
      </w:r>
      <w:r w:rsidRPr="00B80F61">
        <w:t>°C.</w:t>
      </w:r>
    </w:p>
    <w:p w:rsidR="00B80F61" w:rsidRPr="00B80F61" w:rsidRDefault="00B80F61" w:rsidP="00593540">
      <w:pPr>
        <w:pStyle w:val="SingleTxtGR"/>
        <w:ind w:left="1701"/>
      </w:pPr>
      <w:r w:rsidRPr="00B80F61">
        <w:t>Необходимо убедиться в том, что в камерах при 0 °C имеет место правильная регулировка температуры на уровне 0 °C ± 3 °C в течение как минимум 10 минут, в то время как в других камерах температура поддерживается на уровне –20 °C. Затем заданные значения всех камер меняются на обратные, после чего проводится аналогичная проверка.</w:t>
      </w:r>
    </w:p>
    <w:p w:rsidR="00B80F61" w:rsidRPr="00B80F61" w:rsidRDefault="00B80F61" w:rsidP="00593540">
      <w:pPr>
        <w:pStyle w:val="SingleTxtGR"/>
        <w:ind w:left="1701"/>
      </w:pPr>
      <w:r w:rsidRPr="00B80F61">
        <w:t>В случае транспортных средств, оснащенных функцией подогрева, испытания должны начаться после испытаний эффективности при температуре –20</w:t>
      </w:r>
      <w:r w:rsidR="00712EF9">
        <w:t xml:space="preserve"> </w:t>
      </w:r>
      <w:r w:rsidRPr="00B80F61">
        <w:t>°C. Без открытия дверей камеры, заданные значения которых были установлены на уровне 0</w:t>
      </w:r>
      <w:r w:rsidR="00712EF9">
        <w:t xml:space="preserve"> </w:t>
      </w:r>
      <w:r w:rsidRPr="00B80F61">
        <w:t>°C, подвергаются подогреву, в то время как для других камер температура поддерживается на уровне –20</w:t>
      </w:r>
      <w:r w:rsidR="00712EF9">
        <w:t xml:space="preserve"> </w:t>
      </w:r>
      <w:r w:rsidRPr="00B80F61">
        <w:t xml:space="preserve">°C. После выполнения проверки заданные значения камер меняются на обратные. Ограничения по времени для проведения этих испытаний не предусмотрены. </w:t>
      </w:r>
    </w:p>
    <w:p w:rsidR="00B80F61" w:rsidRPr="00B80F61" w:rsidRDefault="00B80F61" w:rsidP="00593540">
      <w:pPr>
        <w:pStyle w:val="SingleTxtGR"/>
        <w:ind w:left="1701"/>
      </w:pPr>
      <w:r w:rsidRPr="00B80F61">
        <w:t>Для транспортных средств, не оснащенных функцией подогрева, допускается открытие дверей камер для более быстрого повышения температуры камер, о которых идет речь.</w:t>
      </w:r>
    </w:p>
    <w:p w:rsidR="00B80F61" w:rsidRPr="00B80F61" w:rsidRDefault="00B80F61" w:rsidP="00593540">
      <w:pPr>
        <w:pStyle w:val="SingleTxtGR"/>
        <w:ind w:left="1701"/>
      </w:pPr>
      <w:r w:rsidRPr="00B80F61">
        <w:t xml:space="preserve">Транспортное средство считают соответствующим установленным требованиям, если: </w:t>
      </w:r>
    </w:p>
    <w:p w:rsidR="00B80F61" w:rsidRPr="00B80F61" w:rsidRDefault="00B80F61" w:rsidP="00363FC7">
      <w:pPr>
        <w:pStyle w:val="Bullet2GR"/>
      </w:pPr>
      <w:r w:rsidRPr="00B80F61">
        <w:t>для каждой камеры температура класса достигается в течение времени, указанного в таблице подпункта i). Для определения этого времени выбирают самую низкую среднюю наружную температуру, зарегистрированную между двумя сериями измерений, выполненных с помощью двух внешних датчиков; и</w:t>
      </w:r>
    </w:p>
    <w:p w:rsidR="00B80F61" w:rsidRPr="00B80F61" w:rsidRDefault="00B80F61" w:rsidP="00593540">
      <w:pPr>
        <w:pStyle w:val="SingleTxtGR"/>
        <w:ind w:left="1701"/>
      </w:pPr>
      <w:r w:rsidRPr="00B80F61">
        <w:t>дополнительные испытания, указанные в подразделе iii), в соответствующих случаях, признаются удовлетворительными».</w:t>
      </w:r>
    </w:p>
    <w:p w:rsidR="00B80F61" w:rsidRPr="00B80F61" w:rsidRDefault="00B80F61" w:rsidP="00B80F61">
      <w:pPr>
        <w:pStyle w:val="SingleTxtGR"/>
        <w:rPr>
          <w:i/>
          <w:iCs/>
        </w:rPr>
      </w:pPr>
      <w:r w:rsidRPr="00B80F61">
        <w:rPr>
          <w:i/>
          <w:iCs/>
        </w:rPr>
        <w:t>(Справочный документ ECE/TRANS/WP.11/2017/8 с исправлениями, содержащимися в документе ECE/TRANS/WP.11/2017/8/Corr.1)</w:t>
      </w:r>
    </w:p>
    <w:p w:rsidR="00B80F61" w:rsidRPr="00363FC7" w:rsidRDefault="00B80F61" w:rsidP="00363FC7">
      <w:pPr>
        <w:pStyle w:val="H1GR"/>
        <w:rPr>
          <w:u w:val="single"/>
        </w:rPr>
      </w:pPr>
      <w:r w:rsidRPr="00B80F61">
        <w:lastRenderedPageBreak/>
        <w:tab/>
      </w:r>
      <w:r w:rsidR="00363FC7">
        <w:tab/>
      </w:r>
      <w:r w:rsidRPr="00363FC7">
        <w:rPr>
          <w:u w:val="single"/>
        </w:rPr>
        <w:t>Предложение по поправке 6</w:t>
      </w:r>
    </w:p>
    <w:p w:rsidR="00B80F61" w:rsidRPr="00B80F61" w:rsidRDefault="00B80F61" w:rsidP="00363FC7">
      <w:pPr>
        <w:pStyle w:val="H23GR"/>
      </w:pPr>
      <w:r w:rsidRPr="00B80F61">
        <w:tab/>
        <w:t>8.</w:t>
      </w:r>
      <w:r w:rsidRPr="00B80F61">
        <w:tab/>
        <w:t>Приложение 1, добавление 2, пункты 2.1.8, 2.2.9, 3.1.4, 3.2.3 и 3.3.4</w:t>
      </w:r>
    </w:p>
    <w:p w:rsidR="00B80F61" w:rsidRPr="00B80F61" w:rsidRDefault="00B80F61" w:rsidP="00B80F61">
      <w:pPr>
        <w:pStyle w:val="SingleTxtGR"/>
      </w:pPr>
      <w:r w:rsidRPr="00B80F61">
        <w:t>Изменить следующим образом:</w:t>
      </w:r>
    </w:p>
    <w:p w:rsidR="00B80F61" w:rsidRPr="00B80F61" w:rsidRDefault="00B80F61" w:rsidP="00B80F61">
      <w:pPr>
        <w:pStyle w:val="SingleTxtGR"/>
      </w:pPr>
      <w:r w:rsidRPr="00B80F61">
        <w:t>«Средняя наружная температура и средняя внутренняя температура кузова должны измеряться по меньшей мере каждые 5 минут».</w:t>
      </w:r>
    </w:p>
    <w:p w:rsidR="00B80F61" w:rsidRPr="00B80F61" w:rsidRDefault="00B80F61" w:rsidP="00B80F61">
      <w:pPr>
        <w:pStyle w:val="SingleTxtGR"/>
        <w:rPr>
          <w:i/>
          <w:iCs/>
        </w:rPr>
      </w:pPr>
      <w:r w:rsidRPr="00B80F61">
        <w:rPr>
          <w:i/>
          <w:iCs/>
        </w:rPr>
        <w:t>(Справочный документ: ECE/TRANS/WP.11/2017/9, предложение 2)</w:t>
      </w:r>
    </w:p>
    <w:p w:rsidR="00B80F61" w:rsidRPr="00363FC7" w:rsidRDefault="00B80F61" w:rsidP="00363FC7">
      <w:pPr>
        <w:pStyle w:val="H1GR"/>
        <w:rPr>
          <w:u w:val="single"/>
        </w:rPr>
      </w:pPr>
      <w:r w:rsidRPr="00B80F61">
        <w:tab/>
      </w:r>
      <w:r w:rsidR="00363FC7">
        <w:tab/>
      </w:r>
      <w:r w:rsidRPr="00363FC7">
        <w:rPr>
          <w:u w:val="single"/>
        </w:rPr>
        <w:t>Предложение по поправке 7</w:t>
      </w:r>
    </w:p>
    <w:p w:rsidR="00B80F61" w:rsidRPr="00B80F61" w:rsidRDefault="00B80F61" w:rsidP="00363FC7">
      <w:pPr>
        <w:pStyle w:val="H23GR"/>
      </w:pPr>
      <w:r w:rsidRPr="00B80F61">
        <w:tab/>
        <w:t>9.</w:t>
      </w:r>
      <w:r w:rsidRPr="00B80F61">
        <w:tab/>
        <w:t>Приложение 1, добавление 4</w:t>
      </w:r>
    </w:p>
    <w:p w:rsidR="00B80F61" w:rsidRPr="00B80F61" w:rsidRDefault="00B80F61" w:rsidP="00B80F61">
      <w:pPr>
        <w:pStyle w:val="SingleTxtGR"/>
      </w:pPr>
      <w:r w:rsidRPr="00B80F61">
        <w:t>Включить следующий текст после таблицы:</w:t>
      </w:r>
    </w:p>
    <w:p w:rsidR="00B80F61" w:rsidRPr="00B80F61" w:rsidRDefault="00B80F61" w:rsidP="00B80F61">
      <w:pPr>
        <w:pStyle w:val="SingleTxtGR"/>
      </w:pPr>
      <w:r w:rsidRPr="00B80F61">
        <w:t>«В случае многокамерного транспортного средства, разделенного на две камеры, его маркировка должна представлять собой опознавательные обозначения каждой камеры (например: FRC-FRA), начиная с камеры, расположенной в передней части транспортного средства или на его левой стороне;</w:t>
      </w:r>
    </w:p>
    <w:p w:rsidR="00B80F61" w:rsidRPr="00B80F61" w:rsidRDefault="00B80F61" w:rsidP="00B80F61">
      <w:pPr>
        <w:pStyle w:val="SingleTxtGR"/>
      </w:pPr>
      <w:r w:rsidRPr="00B80F61">
        <w:t>в случае других многокамерных транспортных средств опознавательное обозначение должно быть выбрано только для самого высокого класса СПС, т.е. класса, который предусматривает самую большую разницу между внутренней и наружной температурами, и дополнено буквой М (например, FRC-M).</w:t>
      </w:r>
    </w:p>
    <w:p w:rsidR="00B80F61" w:rsidRPr="00B80F61" w:rsidRDefault="00B80F61" w:rsidP="00B80F61">
      <w:pPr>
        <w:pStyle w:val="SingleTxtGR"/>
      </w:pPr>
      <w:r w:rsidRPr="00B80F61">
        <w:t>Эта маркировка является обязательной для всех транспортных средств, произведенных с 1 октября 2020 года».</w:t>
      </w:r>
    </w:p>
    <w:p w:rsidR="00B80F61" w:rsidRPr="00B80F61" w:rsidRDefault="00B80F61" w:rsidP="00B80F61">
      <w:pPr>
        <w:pStyle w:val="SingleTxtGR"/>
        <w:rPr>
          <w:i/>
        </w:rPr>
      </w:pPr>
      <w:r w:rsidRPr="00B80F61">
        <w:rPr>
          <w:i/>
          <w:iCs/>
        </w:rPr>
        <w:t>(Справочные документы: ECE/TRANS/WP.11/2017/6 и неофициальные документы INF.8 и INF.13 с поправками)</w:t>
      </w:r>
    </w:p>
    <w:p w:rsidR="00B80F61" w:rsidRPr="00B80F61" w:rsidRDefault="00B80F61" w:rsidP="00363FC7">
      <w:pPr>
        <w:pStyle w:val="H23GR"/>
      </w:pPr>
      <w:r w:rsidRPr="00B80F61">
        <w:tab/>
        <w:t>10.</w:t>
      </w:r>
      <w:r w:rsidRPr="00B80F61">
        <w:tab/>
        <w:t>Приложение 1, добавление 2</w:t>
      </w:r>
    </w:p>
    <w:p w:rsidR="00B80F61" w:rsidRPr="00B80F61" w:rsidRDefault="00B80F61" w:rsidP="00B80F61">
      <w:pPr>
        <w:pStyle w:val="SingleTxtGR"/>
      </w:pPr>
      <w:r w:rsidRPr="00B80F61">
        <w:t>Включить следующий текст после нынешнего пункта 7.3.6:</w:t>
      </w:r>
    </w:p>
    <w:p w:rsidR="00B80F61" w:rsidRPr="00B80F61" w:rsidRDefault="00B80F61" w:rsidP="00B80F61">
      <w:pPr>
        <w:pStyle w:val="SingleTxtGR"/>
      </w:pPr>
      <w:r w:rsidRPr="00B80F61">
        <w:t>«Заявление о соответствии должно быть приведено в документе, дополняющем свидетельство о соответствии, выдаваемое компетентным органом страны изготовления. Документ основывается на информации, предоставленной изготовителем.</w:t>
      </w:r>
    </w:p>
    <w:p w:rsidR="00B80F61" w:rsidRPr="00B80F61" w:rsidRDefault="00B80F61" w:rsidP="00B80F61">
      <w:pPr>
        <w:pStyle w:val="SingleTxtGR"/>
      </w:pPr>
      <w:r w:rsidRPr="00B80F61">
        <w:t>Этот документ должен включать по крайней мере следующее:</w:t>
      </w:r>
    </w:p>
    <w:p w:rsidR="00B80F61" w:rsidRPr="00B80F61" w:rsidRDefault="00B80F61" w:rsidP="00363FC7">
      <w:pPr>
        <w:pStyle w:val="Bullet1GR"/>
      </w:pPr>
      <w:r w:rsidRPr="00B80F61">
        <w:t xml:space="preserve">рисунок с указанием фактической конфигурации камер и схемы испарителей; </w:t>
      </w:r>
      <w:r w:rsidRPr="00B80F61">
        <w:tab/>
      </w:r>
    </w:p>
    <w:p w:rsidR="00B80F61" w:rsidRPr="00B80F61" w:rsidRDefault="00B80F61" w:rsidP="00363FC7">
      <w:pPr>
        <w:pStyle w:val="Bullet1GR"/>
      </w:pPr>
      <w:r w:rsidRPr="00B80F61">
        <w:t>расчеты, подтверждающие, что данное многокамерное транспортное средство удовлетворяет требованиям СПС в отношении предоставления пользователю предполагаемой степени свободы в том, что касается температурного режима и размеров камер».</w:t>
      </w:r>
    </w:p>
    <w:p w:rsidR="00B80F61" w:rsidRPr="00B80F61" w:rsidRDefault="00B80F61" w:rsidP="00B80F61">
      <w:pPr>
        <w:pStyle w:val="SingleTxtGR"/>
      </w:pPr>
      <w:r w:rsidRPr="00B80F61">
        <w:rPr>
          <w:i/>
          <w:iCs/>
        </w:rPr>
        <w:t>(Справочные документы: ECE/TRANS/WP.11/2017/6 и неофициальные документы INF.8 и INF.13 с поправками)</w:t>
      </w:r>
    </w:p>
    <w:p w:rsidR="00B80F61" w:rsidRPr="00B80F61" w:rsidRDefault="00B80F61" w:rsidP="00B80F61">
      <w:pPr>
        <w:pStyle w:val="SingleTxtGR"/>
        <w:rPr>
          <w:b/>
        </w:rPr>
      </w:pPr>
      <w:r w:rsidRPr="00B80F61">
        <w:br w:type="page"/>
      </w:r>
    </w:p>
    <w:p w:rsidR="00B80F61" w:rsidRPr="00B80F61" w:rsidRDefault="00B80F61" w:rsidP="00363FC7">
      <w:pPr>
        <w:pStyle w:val="HChGR"/>
      </w:pPr>
      <w:r w:rsidRPr="00B80F61">
        <w:lastRenderedPageBreak/>
        <w:t>Приложение II</w:t>
      </w:r>
    </w:p>
    <w:p w:rsidR="00B80F61" w:rsidRPr="00B80F61" w:rsidRDefault="00B80F61" w:rsidP="00363FC7">
      <w:pPr>
        <w:pStyle w:val="HChGR"/>
      </w:pPr>
      <w:r w:rsidRPr="00B80F61">
        <w:tab/>
      </w:r>
      <w:r w:rsidRPr="00B80F61">
        <w:tab/>
        <w:t>Исправления к СПС</w:t>
      </w:r>
    </w:p>
    <w:p w:rsidR="00B80F61" w:rsidRPr="00B80F61" w:rsidRDefault="00712EF9" w:rsidP="00363FC7">
      <w:pPr>
        <w:pStyle w:val="H23GR"/>
      </w:pPr>
      <w:r>
        <w:t xml:space="preserve"> </w:t>
      </w:r>
      <w:r>
        <w:tab/>
      </w:r>
      <w:r w:rsidR="00363FC7">
        <w:tab/>
      </w:r>
      <w:r w:rsidR="00363FC7" w:rsidRPr="00363FC7">
        <w:t>1.</w:t>
      </w:r>
      <w:r w:rsidR="00363FC7" w:rsidRPr="00363FC7">
        <w:tab/>
      </w:r>
      <w:r w:rsidR="00B80F61" w:rsidRPr="00B80F61">
        <w:t>Приложение 1, добавление 2, пункт 1.2</w:t>
      </w:r>
    </w:p>
    <w:p w:rsidR="00B80F61" w:rsidRPr="00B80F61" w:rsidRDefault="00B80F61" w:rsidP="00B80F61">
      <w:pPr>
        <w:pStyle w:val="SingleTxtGR"/>
      </w:pPr>
      <w:r w:rsidRPr="00B80F61">
        <w:t>В тексте СПС на русском языке заменить «</w:t>
      </w:r>
      <w:r w:rsidRPr="000720E7">
        <w:rPr>
          <w:b/>
          <w:bCs/>
          <w:i/>
        </w:rPr>
        <w:t>надколенные дуги</w:t>
      </w:r>
      <w:r w:rsidRPr="00B80F61">
        <w:t>» на «</w:t>
      </w:r>
      <w:r w:rsidRPr="00B80F61">
        <w:rPr>
          <w:b/>
          <w:bCs/>
        </w:rPr>
        <w:t>колесные арки</w:t>
      </w:r>
      <w:r w:rsidRPr="00B80F61">
        <w:t>». Это исправление не относится к тексту на английском и французском языках.</w:t>
      </w:r>
    </w:p>
    <w:p w:rsidR="00B80F61" w:rsidRPr="00B80F61" w:rsidRDefault="00B80F61" w:rsidP="00B80F61">
      <w:pPr>
        <w:pStyle w:val="SingleTxtGR"/>
      </w:pPr>
      <w:r w:rsidRPr="00B80F61">
        <w:rPr>
          <w:i/>
          <w:iCs/>
        </w:rPr>
        <w:t>(Справочный документ: ECE/TRANS/WP.11/2017/21)</w:t>
      </w:r>
    </w:p>
    <w:p w:rsidR="00B80F61" w:rsidRPr="00B80F61" w:rsidRDefault="00363FC7" w:rsidP="00363FC7">
      <w:pPr>
        <w:pStyle w:val="H23GR"/>
      </w:pPr>
      <w:r>
        <w:tab/>
      </w:r>
      <w:r w:rsidR="00712EF9">
        <w:tab/>
      </w:r>
      <w:r w:rsidRPr="00363FC7">
        <w:t>2.</w:t>
      </w:r>
      <w:r w:rsidRPr="00363FC7">
        <w:tab/>
      </w:r>
      <w:r w:rsidR="00B80F61" w:rsidRPr="00B80F61">
        <w:t>Приложение 1, добавление 2, пункт 2.3.1</w:t>
      </w:r>
    </w:p>
    <w:p w:rsidR="00B80F61" w:rsidRPr="00B80F61" w:rsidRDefault="00B80F61" w:rsidP="00B80F61">
      <w:pPr>
        <w:pStyle w:val="SingleTxtGR"/>
      </w:pPr>
      <w:r w:rsidRPr="00B80F61">
        <w:t>В тексте СПС на русском языке заменить «не ниже» на «ниже». Это исправление не относится к тексту на английском и французском языках.</w:t>
      </w:r>
    </w:p>
    <w:p w:rsidR="00B80F61" w:rsidRPr="00B80F61" w:rsidRDefault="00B80F61" w:rsidP="00B80F61">
      <w:pPr>
        <w:pStyle w:val="SingleTxtGR"/>
        <w:rPr>
          <w:i/>
        </w:rPr>
      </w:pPr>
      <w:r w:rsidRPr="00B80F61">
        <w:rPr>
          <w:i/>
          <w:iCs/>
        </w:rPr>
        <w:t>(Справочный документ: ECE/TRANS/WP.11/2017/18)</w:t>
      </w:r>
    </w:p>
    <w:p w:rsidR="00B80F61" w:rsidRPr="00B80F61" w:rsidRDefault="00363FC7" w:rsidP="00363FC7">
      <w:pPr>
        <w:pStyle w:val="H23GR"/>
      </w:pPr>
      <w:r>
        <w:tab/>
      </w:r>
      <w:r w:rsidR="00712EF9">
        <w:tab/>
      </w:r>
      <w:r w:rsidR="00B80F61" w:rsidRPr="00B80F61">
        <w:t>3.</w:t>
      </w:r>
      <w:r w:rsidR="00B80F61" w:rsidRPr="00B80F61">
        <w:tab/>
        <w:t>Приложение 1, добавление 2, пункт 2.1.4</w:t>
      </w:r>
    </w:p>
    <w:p w:rsidR="00B80F61" w:rsidRPr="00B80F61" w:rsidRDefault="00B80F61" w:rsidP="00B80F61">
      <w:pPr>
        <w:pStyle w:val="SingleTxtGR"/>
      </w:pPr>
      <w:r w:rsidRPr="00B80F61">
        <w:rPr>
          <w:i/>
          <w:iCs/>
        </w:rPr>
        <w:t>Вместо</w:t>
      </w:r>
      <w:r w:rsidR="000720E7">
        <w:t xml:space="preserve"> «25</w:t>
      </w:r>
      <w:r w:rsidR="000720E7" w:rsidRPr="000720E7">
        <w:t xml:space="preserve"> </w:t>
      </w:r>
      <w:r w:rsidR="000720E7">
        <w:t>°</w:t>
      </w:r>
      <w:r w:rsidRPr="00B80F61">
        <w:t xml:space="preserve">C ± 2 K» </w:t>
      </w:r>
      <w:r w:rsidRPr="00B80F61">
        <w:rPr>
          <w:i/>
          <w:iCs/>
        </w:rPr>
        <w:t xml:space="preserve">читать </w:t>
      </w:r>
      <w:r w:rsidR="000720E7">
        <w:t>«25</w:t>
      </w:r>
      <w:r w:rsidR="000720E7" w:rsidRPr="000720E7">
        <w:t xml:space="preserve"> </w:t>
      </w:r>
      <w:r w:rsidR="000720E7">
        <w:t>°C ± 2</w:t>
      </w:r>
      <w:r w:rsidR="000720E7" w:rsidRPr="000720E7">
        <w:t xml:space="preserve"> </w:t>
      </w:r>
      <w:r w:rsidR="000720E7">
        <w:t>°</w:t>
      </w:r>
      <w:r w:rsidRPr="00B80F61">
        <w:t>C».</w:t>
      </w:r>
    </w:p>
    <w:p w:rsidR="00B80F61" w:rsidRPr="00B80F61" w:rsidRDefault="00B80F61" w:rsidP="00B80F61">
      <w:pPr>
        <w:pStyle w:val="SingleTxtGR"/>
      </w:pPr>
      <w:r w:rsidRPr="00B80F61">
        <w:rPr>
          <w:i/>
          <w:iCs/>
        </w:rPr>
        <w:t>(Справочный документ: неофициальный документ INF.7)</w:t>
      </w:r>
    </w:p>
    <w:p w:rsidR="00B80F61" w:rsidRPr="00B80F61" w:rsidRDefault="00363FC7" w:rsidP="00363FC7">
      <w:pPr>
        <w:pStyle w:val="H23GR"/>
      </w:pPr>
      <w:r>
        <w:tab/>
      </w:r>
      <w:r w:rsidR="00712EF9">
        <w:tab/>
      </w:r>
      <w:r w:rsidR="00B80F61" w:rsidRPr="00B80F61">
        <w:t>4.</w:t>
      </w:r>
      <w:r w:rsidR="00B80F61" w:rsidRPr="00B80F61">
        <w:tab/>
        <w:t>Приложение 1, добавление 2, пункт 2.1.4</w:t>
      </w:r>
    </w:p>
    <w:p w:rsidR="00B80F61" w:rsidRPr="00B80F61" w:rsidRDefault="00B80F61" w:rsidP="00B80F61">
      <w:pPr>
        <w:pStyle w:val="SingleTxtGR"/>
      </w:pPr>
      <w:r w:rsidRPr="00B80F61">
        <w:t xml:space="preserve">Вместо «20 °C ± 0,5 K» </w:t>
      </w:r>
      <w:r w:rsidRPr="00712EF9">
        <w:rPr>
          <w:i/>
        </w:rPr>
        <w:t>читать</w:t>
      </w:r>
      <w:r w:rsidR="00712EF9">
        <w:t xml:space="preserve"> «+</w:t>
      </w:r>
      <w:r w:rsidRPr="00B80F61">
        <w:t>20 °C ± 0,5 °C».</w:t>
      </w:r>
    </w:p>
    <w:p w:rsidR="00B80F61" w:rsidRPr="00B80F61" w:rsidRDefault="00B80F61" w:rsidP="00B80F61">
      <w:pPr>
        <w:pStyle w:val="SingleTxtGR"/>
      </w:pPr>
      <w:r w:rsidRPr="00B80F61">
        <w:rPr>
          <w:i/>
          <w:iCs/>
        </w:rPr>
        <w:t>(Справочный документ: неофициальный документ INF.7)</w:t>
      </w:r>
    </w:p>
    <w:p w:rsidR="00B80F61" w:rsidRPr="00B80F61" w:rsidRDefault="00363FC7" w:rsidP="00363FC7">
      <w:pPr>
        <w:pStyle w:val="H23GR"/>
      </w:pPr>
      <w:r>
        <w:tab/>
      </w:r>
      <w:r w:rsidR="00712EF9">
        <w:tab/>
      </w:r>
      <w:r w:rsidR="00B80F61" w:rsidRPr="00B80F61">
        <w:t>5.</w:t>
      </w:r>
      <w:r w:rsidR="00B80F61" w:rsidRPr="00B80F61">
        <w:tab/>
        <w:t>Приложение 1, добавление 2, пункт 2.2.5</w:t>
      </w:r>
    </w:p>
    <w:p w:rsidR="00B80F61" w:rsidRPr="00B80F61" w:rsidRDefault="000720E7" w:rsidP="00B80F61">
      <w:pPr>
        <w:pStyle w:val="SingleTxtGR"/>
      </w:pPr>
      <w:r>
        <w:t>Вместо «25</w:t>
      </w:r>
      <w:r w:rsidRPr="000720E7">
        <w:t xml:space="preserve"> </w:t>
      </w:r>
      <w:r>
        <w:t>°</w:t>
      </w:r>
      <w:r w:rsidR="00B80F61" w:rsidRPr="00B80F61">
        <w:t xml:space="preserve">C ± </w:t>
      </w:r>
      <w:r>
        <w:t xml:space="preserve">2 K» </w:t>
      </w:r>
      <w:r w:rsidRPr="00712EF9">
        <w:rPr>
          <w:i/>
        </w:rPr>
        <w:t>читать</w:t>
      </w:r>
      <w:r>
        <w:t xml:space="preserve"> «25</w:t>
      </w:r>
      <w:r w:rsidRPr="000720E7">
        <w:t xml:space="preserve"> </w:t>
      </w:r>
      <w:r>
        <w:t>°C ± 2</w:t>
      </w:r>
      <w:r w:rsidRPr="000720E7">
        <w:t xml:space="preserve"> </w:t>
      </w:r>
      <w:r>
        <w:t>°</w:t>
      </w:r>
      <w:r w:rsidR="00B80F61" w:rsidRPr="00B80F61">
        <w:t>C».</w:t>
      </w:r>
    </w:p>
    <w:p w:rsidR="00B80F61" w:rsidRPr="00B80F61" w:rsidRDefault="00B80F61" w:rsidP="00B80F61">
      <w:pPr>
        <w:pStyle w:val="SingleTxtGR"/>
      </w:pPr>
      <w:r w:rsidRPr="00B80F61">
        <w:rPr>
          <w:i/>
          <w:iCs/>
        </w:rPr>
        <w:t>(Справочный документ: неофициальный документ INF.7)</w:t>
      </w:r>
    </w:p>
    <w:p w:rsidR="00B80F61" w:rsidRPr="00B80F61" w:rsidRDefault="00363FC7" w:rsidP="00363FC7">
      <w:pPr>
        <w:pStyle w:val="H23GR"/>
      </w:pPr>
      <w:r>
        <w:tab/>
      </w:r>
      <w:r w:rsidR="00712EF9">
        <w:tab/>
      </w:r>
      <w:r w:rsidR="00B80F61" w:rsidRPr="00B80F61">
        <w:t>6.</w:t>
      </w:r>
      <w:r w:rsidR="00B80F61" w:rsidRPr="00B80F61">
        <w:tab/>
        <w:t>Приложение 1, добавление 2, пункт 2.2.5</w:t>
      </w:r>
    </w:p>
    <w:p w:rsidR="00B80F61" w:rsidRPr="00B80F61" w:rsidRDefault="00B80F61" w:rsidP="00B80F61">
      <w:pPr>
        <w:pStyle w:val="SingleTxtGR"/>
      </w:pPr>
      <w:r w:rsidRPr="00B80F61">
        <w:t xml:space="preserve">Вместо «20 °C ± 0,5 K» </w:t>
      </w:r>
      <w:r w:rsidRPr="00712EF9">
        <w:rPr>
          <w:i/>
        </w:rPr>
        <w:t>читать</w:t>
      </w:r>
      <w:r w:rsidRPr="00B80F61">
        <w:t xml:space="preserve"> «20 °C ± 0,5 °C».</w:t>
      </w:r>
    </w:p>
    <w:p w:rsidR="00B80F61" w:rsidRPr="00B80F61" w:rsidRDefault="00B80F61" w:rsidP="00B80F61">
      <w:pPr>
        <w:pStyle w:val="SingleTxtGR"/>
      </w:pPr>
      <w:r w:rsidRPr="00B80F61">
        <w:rPr>
          <w:i/>
          <w:iCs/>
        </w:rPr>
        <w:t>(Справочный документ: неофициальный документ INF.7)</w:t>
      </w:r>
    </w:p>
    <w:p w:rsidR="00B80F61" w:rsidRPr="00B80F61" w:rsidRDefault="00363FC7" w:rsidP="00363FC7">
      <w:pPr>
        <w:pStyle w:val="H23GR"/>
      </w:pPr>
      <w:r>
        <w:tab/>
      </w:r>
      <w:r w:rsidR="00712EF9">
        <w:tab/>
      </w:r>
      <w:r w:rsidR="00B80F61" w:rsidRPr="00B80F61">
        <w:t>7.</w:t>
      </w:r>
      <w:r w:rsidR="00B80F61" w:rsidRPr="00B80F61">
        <w:tab/>
        <w:t>Приложение 1, добавление 2, пункт 3.1.1</w:t>
      </w:r>
    </w:p>
    <w:p w:rsidR="00B80F61" w:rsidRPr="00B80F61" w:rsidRDefault="00712EF9" w:rsidP="00B80F61">
      <w:pPr>
        <w:pStyle w:val="SingleTxtGR"/>
      </w:pPr>
      <w:r>
        <w:t>Вместо «± 0,5 K, при +</w:t>
      </w:r>
      <w:r w:rsidR="00B80F61" w:rsidRPr="00B80F61">
        <w:t xml:space="preserve">30 °C» </w:t>
      </w:r>
      <w:r w:rsidR="00B80F61" w:rsidRPr="00712EF9">
        <w:rPr>
          <w:i/>
        </w:rPr>
        <w:t>читать</w:t>
      </w:r>
      <w:r>
        <w:t xml:space="preserve"> «± 0,5 °C, при +</w:t>
      </w:r>
      <w:r w:rsidR="00B80F61" w:rsidRPr="00B80F61">
        <w:t>30 °C».</w:t>
      </w:r>
    </w:p>
    <w:p w:rsidR="00B80F61" w:rsidRPr="00B80F61" w:rsidRDefault="00B80F61" w:rsidP="00B80F61">
      <w:pPr>
        <w:pStyle w:val="SingleTxtGR"/>
      </w:pPr>
      <w:r w:rsidRPr="00B80F61">
        <w:rPr>
          <w:i/>
          <w:iCs/>
        </w:rPr>
        <w:t>(Справочный документ: неофициальный документ INF.7)</w:t>
      </w:r>
    </w:p>
    <w:p w:rsidR="00B80F61" w:rsidRPr="00B80F61" w:rsidRDefault="00363FC7" w:rsidP="00363FC7">
      <w:pPr>
        <w:pStyle w:val="H23GR"/>
      </w:pPr>
      <w:r>
        <w:tab/>
      </w:r>
      <w:r w:rsidR="00712EF9">
        <w:tab/>
      </w:r>
      <w:r w:rsidR="00B80F61" w:rsidRPr="00B80F61">
        <w:t>8.</w:t>
      </w:r>
      <w:r w:rsidR="00B80F61" w:rsidRPr="00B80F61">
        <w:tab/>
        <w:t>Приложение 1, добавление 2, пункт 4.2.3 i)</w:t>
      </w:r>
    </w:p>
    <w:p w:rsidR="00B80F61" w:rsidRPr="00B80F61" w:rsidRDefault="00B80F61" w:rsidP="00B80F61">
      <w:pPr>
        <w:pStyle w:val="SingleTxtGR"/>
      </w:pPr>
      <w:r w:rsidRPr="00B80F61">
        <w:t xml:space="preserve">Вместо «30 ºC ± 0,5 K» </w:t>
      </w:r>
      <w:r w:rsidRPr="00712EF9">
        <w:rPr>
          <w:i/>
        </w:rPr>
        <w:t>читать</w:t>
      </w:r>
      <w:r w:rsidRPr="00B80F61">
        <w:t xml:space="preserve"> «30 °C ± 0,5 °C».</w:t>
      </w:r>
    </w:p>
    <w:p w:rsidR="00B80F61" w:rsidRPr="00B80F61" w:rsidRDefault="00B80F61" w:rsidP="00B80F61">
      <w:pPr>
        <w:pStyle w:val="SingleTxtGR"/>
      </w:pPr>
      <w:r w:rsidRPr="00B80F61">
        <w:rPr>
          <w:i/>
          <w:iCs/>
        </w:rPr>
        <w:t>(Справочный документ: неофициальный документ INF.7)</w:t>
      </w:r>
    </w:p>
    <w:p w:rsidR="00B80F61" w:rsidRPr="00B80F61" w:rsidRDefault="00363FC7" w:rsidP="00363FC7">
      <w:pPr>
        <w:pStyle w:val="H23GR"/>
      </w:pPr>
      <w:r>
        <w:tab/>
      </w:r>
      <w:r w:rsidR="00712EF9">
        <w:tab/>
      </w:r>
      <w:r w:rsidR="00B80F61" w:rsidRPr="00B80F61">
        <w:t>9.</w:t>
      </w:r>
      <w:r w:rsidR="00B80F61" w:rsidRPr="00B80F61">
        <w:tab/>
        <w:t>Приложение 1, добавление 2, пункт 4.3.1 a)</w:t>
      </w:r>
    </w:p>
    <w:p w:rsidR="00B80F61" w:rsidRPr="00B80F61" w:rsidRDefault="00B80F61" w:rsidP="00B80F61">
      <w:pPr>
        <w:pStyle w:val="SingleTxtGR"/>
      </w:pPr>
      <w:r w:rsidRPr="00B80F61">
        <w:t xml:space="preserve">Вместо «30 °C ± 3 K» </w:t>
      </w:r>
      <w:r w:rsidRPr="00712EF9">
        <w:rPr>
          <w:i/>
        </w:rPr>
        <w:t>читать</w:t>
      </w:r>
      <w:r w:rsidRPr="00B80F61">
        <w:t xml:space="preserve"> «30 °C ± 3 °C».</w:t>
      </w:r>
    </w:p>
    <w:p w:rsidR="00B80F61" w:rsidRPr="00B80F61" w:rsidRDefault="00B80F61" w:rsidP="00B80F61">
      <w:pPr>
        <w:pStyle w:val="SingleTxtGR"/>
      </w:pPr>
      <w:r w:rsidRPr="00B80F61">
        <w:rPr>
          <w:i/>
          <w:iCs/>
        </w:rPr>
        <w:t>(Справочный документ: неофициальный документ INF.7)</w:t>
      </w:r>
    </w:p>
    <w:p w:rsidR="00B80F61" w:rsidRPr="00B80F61" w:rsidRDefault="00B80F61" w:rsidP="00B80F61">
      <w:pPr>
        <w:pStyle w:val="SingleTxtGR"/>
        <w:rPr>
          <w:b/>
        </w:rPr>
      </w:pPr>
      <w:r w:rsidRPr="00B80F61">
        <w:br w:type="page"/>
      </w:r>
    </w:p>
    <w:p w:rsidR="00B80F61" w:rsidRPr="00B80F61" w:rsidRDefault="00B80F61" w:rsidP="00363FC7">
      <w:pPr>
        <w:pStyle w:val="HChGR"/>
      </w:pPr>
      <w:r w:rsidRPr="00B80F61">
        <w:lastRenderedPageBreak/>
        <w:t>Приложение III</w:t>
      </w:r>
    </w:p>
    <w:p w:rsidR="00B80F61" w:rsidRPr="00B80F61" w:rsidRDefault="00B80F61" w:rsidP="00363FC7">
      <w:pPr>
        <w:pStyle w:val="HChGR"/>
      </w:pPr>
      <w:r w:rsidRPr="00B80F61">
        <w:tab/>
      </w:r>
      <w:r w:rsidRPr="00B80F61">
        <w:tab/>
        <w:t>Дополнения для Справочника СПС</w:t>
      </w:r>
    </w:p>
    <w:p w:rsidR="00B80F61" w:rsidRPr="00B80F61" w:rsidRDefault="00363FC7" w:rsidP="00363FC7">
      <w:pPr>
        <w:pStyle w:val="H23GR"/>
      </w:pPr>
      <w:r>
        <w:tab/>
      </w:r>
      <w:r w:rsidR="00B80F61" w:rsidRPr="00B80F61">
        <w:t>1.</w:t>
      </w:r>
      <w:r w:rsidR="00B80F61" w:rsidRPr="00B80F61">
        <w:tab/>
        <w:t>Приложение 1, добавление 2</w:t>
      </w:r>
    </w:p>
    <w:p w:rsidR="00B80F61" w:rsidRPr="00B80F61" w:rsidRDefault="00B80F61" w:rsidP="00B80F61">
      <w:pPr>
        <w:pStyle w:val="SingleTxtGR"/>
      </w:pPr>
      <w:r w:rsidRPr="00B80F61">
        <w:t>Добавить к пункту 7.3.6 замечание следующего содержания:</w:t>
      </w:r>
    </w:p>
    <w:p w:rsidR="00B80F61" w:rsidRPr="00712EF9" w:rsidRDefault="00B80F61" w:rsidP="00B80F61">
      <w:pPr>
        <w:pStyle w:val="SingleTxtGR"/>
      </w:pPr>
      <w:r w:rsidRPr="00B80F61">
        <w:t>«</w:t>
      </w:r>
      <w:r w:rsidRPr="00B80F61">
        <w:rPr>
          <w:i/>
          <w:iCs/>
        </w:rPr>
        <w:t>Расчеты в соответствии с пунктом 7.3.6 могут быть произведены с использованием инструмента расчета, утвержденного компетентным органом</w:t>
      </w:r>
      <w:r w:rsidRPr="00712EF9">
        <w:rPr>
          <w:iCs/>
        </w:rPr>
        <w:t>».</w:t>
      </w:r>
    </w:p>
    <w:p w:rsidR="00B80F61" w:rsidRPr="00B80F61" w:rsidRDefault="00B80F61" w:rsidP="00B80F61">
      <w:pPr>
        <w:pStyle w:val="SingleTxtGR"/>
        <w:rPr>
          <w:i/>
          <w:iCs/>
        </w:rPr>
      </w:pPr>
      <w:r w:rsidRPr="00B80F61">
        <w:rPr>
          <w:i/>
          <w:iCs/>
        </w:rPr>
        <w:t>(Справочные документы: ECE/TRANS/WP.11/2017/6 и неофициальные документы INF.8 и INF.13 с поправками)</w:t>
      </w:r>
    </w:p>
    <w:p w:rsidR="00B80F61" w:rsidRPr="00B80F61" w:rsidRDefault="00B80F61" w:rsidP="00363FC7">
      <w:pPr>
        <w:pStyle w:val="HChGR"/>
        <w:pageBreakBefore/>
      </w:pPr>
      <w:r w:rsidRPr="00B80F61">
        <w:lastRenderedPageBreak/>
        <w:tab/>
        <w:t>Приложение IV</w:t>
      </w:r>
    </w:p>
    <w:p w:rsidR="00B80F61" w:rsidRPr="00B80F61" w:rsidRDefault="00B80F61" w:rsidP="00363FC7">
      <w:pPr>
        <w:pStyle w:val="HChGR"/>
      </w:pPr>
      <w:r w:rsidRPr="00B80F61">
        <w:tab/>
      </w:r>
      <w:r w:rsidRPr="00B80F61">
        <w:tab/>
        <w:t>Результаты/виды деятельности для реализации в</w:t>
      </w:r>
      <w:r w:rsidR="007D6A86">
        <w:rPr>
          <w:lang w:val="en-US"/>
        </w:rPr>
        <w:t> </w:t>
      </w:r>
      <w:r w:rsidRPr="00B80F61">
        <w:t xml:space="preserve">течение двухгодичного периода 2018–2019 годов </w:t>
      </w:r>
    </w:p>
    <w:p w:rsidR="00B80F61" w:rsidRPr="00B80F61" w:rsidRDefault="00B80F61" w:rsidP="00363FC7">
      <w:pPr>
        <w:pStyle w:val="H23GR"/>
      </w:pPr>
      <w:r w:rsidRPr="00B80F61">
        <w:tab/>
      </w:r>
      <w:r w:rsidRPr="00B80F61">
        <w:tab/>
        <w:t>Подпрограмма: 02 Транспорт</w:t>
      </w:r>
    </w:p>
    <w:p w:rsidR="00B80F61" w:rsidRPr="00B80F61" w:rsidRDefault="00B80F61" w:rsidP="00363FC7">
      <w:pPr>
        <w:pStyle w:val="H1GR"/>
      </w:pPr>
      <w:r w:rsidRPr="00B80F61">
        <w:tab/>
      </w:r>
      <w:r w:rsidRPr="00B80F61">
        <w:tab/>
        <w:t>Направление деятельности 12</w:t>
      </w:r>
      <w:r w:rsidRPr="00B80F61">
        <w:br/>
        <w:t>Перевозка скоропортящихся пищевых продуктов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828"/>
        <w:gridCol w:w="237"/>
        <w:gridCol w:w="3305"/>
      </w:tblGrid>
      <w:tr w:rsidR="00B80F61" w:rsidRPr="00363FC7" w:rsidTr="00363FC7">
        <w:trPr>
          <w:tblHeader/>
        </w:trPr>
        <w:tc>
          <w:tcPr>
            <w:tcW w:w="40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0F61" w:rsidRPr="00363FC7" w:rsidRDefault="00B80F61" w:rsidP="00363FC7">
            <w:pPr>
              <w:spacing w:before="80" w:after="80" w:line="200" w:lineRule="exact"/>
              <w:rPr>
                <w:i/>
                <w:sz w:val="16"/>
              </w:rPr>
            </w:pPr>
            <w:r w:rsidRPr="00363FC7">
              <w:rPr>
                <w:i/>
                <w:sz w:val="16"/>
              </w:rPr>
              <w:t xml:space="preserve">Описание направления деятельности </w:t>
            </w:r>
            <w:r w:rsidR="00363FC7">
              <w:rPr>
                <w:i/>
                <w:sz w:val="16"/>
              </w:rPr>
              <w:br/>
            </w:r>
            <w:r w:rsidRPr="00363FC7">
              <w:rPr>
                <w:i/>
                <w:sz w:val="16"/>
              </w:rPr>
              <w:t>(факультативно)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5" w:type="dxa"/>
            <w:tcBorders>
              <w:bottom w:val="single" w:sz="12" w:space="0" w:color="auto"/>
            </w:tcBorders>
            <w:shd w:val="clear" w:color="auto" w:fill="auto"/>
          </w:tcPr>
          <w:p w:rsidR="00B80F61" w:rsidRPr="00363FC7" w:rsidRDefault="00B80F61" w:rsidP="00363FC7">
            <w:pPr>
              <w:spacing w:before="80" w:after="80" w:line="200" w:lineRule="exact"/>
              <w:rPr>
                <w:i/>
                <w:sz w:val="16"/>
              </w:rPr>
            </w:pPr>
            <w:r w:rsidRPr="00363FC7">
              <w:rPr>
                <w:i/>
                <w:sz w:val="16"/>
              </w:rPr>
              <w:t xml:space="preserve">Ожидаемые достижения в этом </w:t>
            </w:r>
            <w:r w:rsidR="00363FC7">
              <w:rPr>
                <w:i/>
                <w:sz w:val="16"/>
              </w:rPr>
              <w:br/>
            </w:r>
            <w:r w:rsidRPr="00363FC7">
              <w:rPr>
                <w:i/>
                <w:sz w:val="16"/>
              </w:rPr>
              <w:t>направлении деятельности</w:t>
            </w:r>
          </w:p>
        </w:tc>
      </w:tr>
      <w:tr w:rsidR="00B80F61" w:rsidRPr="00363FC7" w:rsidTr="000720E7">
        <w:tc>
          <w:tcPr>
            <w:tcW w:w="4065" w:type="dxa"/>
            <w:gridSpan w:val="2"/>
            <w:tcBorders>
              <w:top w:val="single" w:sz="12" w:space="0" w:color="auto"/>
              <w:bottom w:val="nil"/>
            </w:tcBorders>
          </w:tcPr>
          <w:p w:rsidR="00B80F61" w:rsidRPr="00363FC7" w:rsidRDefault="00B80F61" w:rsidP="00363FC7">
            <w:r w:rsidRPr="00363FC7">
              <w:t>Основные цели этого направления деятельности:</w:t>
            </w:r>
          </w:p>
          <w:p w:rsidR="00B80F61" w:rsidRPr="00363FC7" w:rsidRDefault="00B80F61" w:rsidP="00363FC7">
            <w:r w:rsidRPr="00363FC7">
              <w:t>принимать и осуществлять меры, направленные на улучшение условий сохранения качества скоропортящихся пищевых продуктов в ходе их транспортировки, в частности при международных перевозках;</w:t>
            </w:r>
          </w:p>
          <w:p w:rsidR="00B80F61" w:rsidRPr="00363FC7" w:rsidRDefault="00B80F61" w:rsidP="00363FC7">
            <w:r w:rsidRPr="00363FC7">
              <w:t>содействовать облегчению международных перевозок скоропортящихся пищевых продуктов путем согласования относящихся к ним требований и правил, а также административных процедур и требований, связанных с документацией, которые применяются к этим перевозкам;</w:t>
            </w:r>
          </w:p>
          <w:p w:rsidR="00B80F61" w:rsidRPr="00363FC7" w:rsidRDefault="00B80F61" w:rsidP="00363FC7">
            <w:r w:rsidRPr="00363FC7">
              <w:t>разрабатывать и обновлять 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(СПС), заключенное в Женеве в 1970 году;</w:t>
            </w:r>
          </w:p>
          <w:p w:rsidR="00B80F61" w:rsidRPr="00363FC7" w:rsidRDefault="00B80F61" w:rsidP="00363FC7">
            <w:r w:rsidRPr="00363FC7">
              <w:t>обеспечивать согласование СПС с другими соответствующими юридическими документами, регулирующими перевозку скоропортящихся пищевых продуктов, которые были разработаны на других форумах.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5" w:type="dxa"/>
            <w:tcBorders>
              <w:top w:val="single" w:sz="12" w:space="0" w:color="auto"/>
            </w:tcBorders>
          </w:tcPr>
          <w:p w:rsidR="00B80F61" w:rsidRPr="00363FC7" w:rsidRDefault="00B80F61" w:rsidP="00363FC7">
            <w:r w:rsidRPr="00363FC7">
              <w:t xml:space="preserve">Повышение и обновление международных требований для перевозок скоропортящихся пищевых продуктов </w:t>
            </w:r>
          </w:p>
        </w:tc>
      </w:tr>
      <w:tr w:rsidR="00B80F61" w:rsidRPr="00363FC7" w:rsidTr="000720E7">
        <w:tc>
          <w:tcPr>
            <w:tcW w:w="3828" w:type="dxa"/>
            <w:tcBorders>
              <w:top w:val="nil"/>
              <w:bottom w:val="nil"/>
            </w:tcBorders>
          </w:tcPr>
          <w:p w:rsidR="00B80F61" w:rsidRPr="00363FC7" w:rsidRDefault="00B80F61" w:rsidP="00363FC7">
            <w:r w:rsidRPr="00363FC7">
              <w:t>Основные действия Отдела устойчивого транспорта:</w:t>
            </w:r>
          </w:p>
          <w:p w:rsidR="00B80F61" w:rsidRPr="00363FC7" w:rsidRDefault="00B80F61" w:rsidP="000720E7">
            <w:pPr>
              <w:pStyle w:val="Bullet1GR"/>
              <w:tabs>
                <w:tab w:val="clear" w:pos="1701"/>
              </w:tabs>
              <w:ind w:left="253" w:right="66"/>
            </w:pPr>
            <w:r w:rsidRPr="00363FC7">
              <w:t>выполнять роль секретариата для Рабочей группы по перевозкам скоропортящихся пищевых продуктов (WP.11);</w:t>
            </w:r>
          </w:p>
          <w:p w:rsidR="00B80F61" w:rsidRPr="00363FC7" w:rsidRDefault="00B80F61" w:rsidP="000720E7">
            <w:pPr>
              <w:pStyle w:val="Bullet1GR"/>
              <w:tabs>
                <w:tab w:val="clear" w:pos="1701"/>
              </w:tabs>
              <w:ind w:left="253" w:right="66"/>
            </w:pPr>
            <w:r w:rsidRPr="00363FC7">
              <w:t xml:space="preserve">выпускать обновленные издания СПС </w:t>
            </w:r>
            <w:r w:rsidR="000720E7">
              <w:br/>
            </w:r>
            <w:r w:rsidRPr="00363FC7">
              <w:t>(в печатном виде и в Интернете) и Справочника СПС (только в Интернете);</w:t>
            </w:r>
          </w:p>
          <w:p w:rsidR="00B80F61" w:rsidRPr="00363FC7" w:rsidRDefault="00B80F61" w:rsidP="000720E7">
            <w:pPr>
              <w:pStyle w:val="Bullet1GR"/>
              <w:tabs>
                <w:tab w:val="clear" w:pos="1701"/>
              </w:tabs>
              <w:ind w:left="253" w:right="66"/>
            </w:pPr>
            <w:r w:rsidRPr="00363FC7">
              <w:t>организовывать мероприятия, включая рабочие совещания, направленные на улучшение применения СПС и содействие присоединению к нему других государств;</w:t>
            </w:r>
          </w:p>
          <w:p w:rsidR="00B80F61" w:rsidRPr="00363FC7" w:rsidDel="00817D5E" w:rsidRDefault="00B80F61" w:rsidP="000720E7">
            <w:pPr>
              <w:pStyle w:val="Bullet1GR"/>
              <w:tabs>
                <w:tab w:val="clear" w:pos="1701"/>
              </w:tabs>
              <w:ind w:left="253" w:right="66"/>
            </w:pPr>
            <w:r w:rsidRPr="00363FC7">
              <w:lastRenderedPageBreak/>
              <w:t>сотрудничать с правительствами и другими сторонами (межправительственными и неправительственными организациями) в области перевозок холодильным транспортом.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2" w:type="dxa"/>
            <w:gridSpan w:val="2"/>
          </w:tcPr>
          <w:p w:rsidR="00B80F61" w:rsidRPr="00363FC7" w:rsidRDefault="00B80F61" w:rsidP="00363FC7"/>
        </w:tc>
      </w:tr>
      <w:tr w:rsidR="000720E7" w:rsidRPr="00363FC7" w:rsidTr="000720E7">
        <w:tc>
          <w:tcPr>
            <w:tcW w:w="3828" w:type="dxa"/>
            <w:tcBorders>
              <w:top w:val="nil"/>
              <w:bottom w:val="single" w:sz="12" w:space="0" w:color="auto"/>
            </w:tcBorders>
          </w:tcPr>
          <w:p w:rsidR="000720E7" w:rsidRPr="00363FC7" w:rsidRDefault="000720E7" w:rsidP="00712EF9">
            <w:pPr>
              <w:spacing w:before="0" w:after="0" w:line="20" w:lineRule="exact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2" w:type="dxa"/>
            <w:gridSpan w:val="2"/>
          </w:tcPr>
          <w:p w:rsidR="000720E7" w:rsidRPr="00363FC7" w:rsidRDefault="000720E7" w:rsidP="00712EF9">
            <w:pPr>
              <w:spacing w:before="0" w:after="0" w:line="20" w:lineRule="exact"/>
            </w:pPr>
          </w:p>
        </w:tc>
      </w:tr>
    </w:tbl>
    <w:p w:rsidR="00B80F61" w:rsidRPr="00B80F61" w:rsidRDefault="00B80F61" w:rsidP="00363FC7">
      <w:pPr>
        <w:pStyle w:val="H23GR"/>
      </w:pPr>
      <w:r w:rsidRPr="00B80F61">
        <w:tab/>
      </w:r>
      <w:r w:rsidRPr="00B80F61">
        <w:tab/>
        <w:t>Результаты/виды деятельности</w:t>
      </w:r>
    </w:p>
    <w:p w:rsidR="00B80F61" w:rsidRPr="00B80F61" w:rsidRDefault="00B80F61" w:rsidP="00363FC7">
      <w:pPr>
        <w:pStyle w:val="H4GR"/>
      </w:pPr>
      <w:r w:rsidRPr="00B80F61">
        <w:tab/>
        <w:t>a)</w:t>
      </w:r>
      <w:r w:rsidRPr="00B80F61">
        <w:tab/>
        <w:t>Совещания и соответствующая документация для заседающих органов</w:t>
      </w:r>
    </w:p>
    <w:p w:rsidR="00B80F61" w:rsidRPr="00B80F61" w:rsidRDefault="00B80F61" w:rsidP="00363FC7">
      <w:pPr>
        <w:pStyle w:val="SingleTxtGR"/>
        <w:ind w:left="1701" w:hanging="567"/>
      </w:pPr>
      <w:r w:rsidRPr="00B80F61">
        <w:t>12.1</w:t>
      </w:r>
      <w:r w:rsidRPr="00B80F61">
        <w:tab/>
        <w:t>Рабочая группа по перевозкам скоропортящихся пищевых продуктов (WP.11): семьдесят четвертая сессия (8–12 октября 2018 года), семьдесят пятая сессия (даты будут определены в 2018 году) (18 заседаний).</w:t>
      </w:r>
    </w:p>
    <w:p w:rsidR="00B80F61" w:rsidRPr="00B80F61" w:rsidRDefault="00B80F61" w:rsidP="00363FC7">
      <w:pPr>
        <w:pStyle w:val="SingleTxtGR"/>
        <w:ind w:left="1701"/>
      </w:pPr>
      <w:r w:rsidRPr="00B80F61">
        <w:t xml:space="preserve">Доклады о работе годовых сессий WP.11 (2); серии документов, касающихся, в частности, следующего: обмен информацией об осуществлении СПС; предложения по поправкам к СПС и приложениям к нему; предложения по добавлениям к Справочнику СПС; предложения по возможному распространению области применения СПС; программа работы, двухгодичная оценка и план работы (2). </w:t>
      </w:r>
    </w:p>
    <w:p w:rsidR="00B80F61" w:rsidRPr="00B80F61" w:rsidRDefault="00363FC7" w:rsidP="00363FC7">
      <w:pPr>
        <w:pStyle w:val="H4GR"/>
      </w:pPr>
      <w:r>
        <w:tab/>
      </w:r>
      <w:r w:rsidR="00B80F61" w:rsidRPr="00B80F61">
        <w:t>b)</w:t>
      </w:r>
      <w:r w:rsidR="00B80F61" w:rsidRPr="00B80F61">
        <w:tab/>
        <w:t>Публикации и другие информационные материалы</w:t>
      </w:r>
    </w:p>
    <w:p w:rsidR="00B80F61" w:rsidRPr="00B80F61" w:rsidRDefault="00B80F61" w:rsidP="00B80F61">
      <w:pPr>
        <w:pStyle w:val="SingleTxtGR"/>
      </w:pPr>
      <w:r w:rsidRPr="00B80F61">
        <w:t>12.2</w:t>
      </w:r>
      <w:r w:rsidRPr="00B80F61">
        <w:tab/>
        <w:t>Выпуск издания СПС 2018–2019 годов (1);</w:t>
      </w:r>
    </w:p>
    <w:p w:rsidR="00B80F61" w:rsidRPr="00B80F61" w:rsidRDefault="00B80F61" w:rsidP="00363FC7">
      <w:pPr>
        <w:pStyle w:val="SingleTxtGR"/>
        <w:ind w:left="1701" w:hanging="567"/>
      </w:pPr>
      <w:r w:rsidRPr="00B80F61">
        <w:t>12.3</w:t>
      </w:r>
      <w:r w:rsidRPr="00B80F61">
        <w:tab/>
        <w:t>Обновление Справочника СПС на веб-сайте Отдела устойчивого транспорта.</w:t>
      </w:r>
    </w:p>
    <w:p w:rsidR="00B80F61" w:rsidRPr="00B80F61" w:rsidRDefault="00B80F61" w:rsidP="00363FC7">
      <w:pPr>
        <w:pStyle w:val="H4GR"/>
      </w:pPr>
      <w:r w:rsidRPr="00B80F61">
        <w:tab/>
        <w:t>с)</w:t>
      </w:r>
      <w:r w:rsidRPr="00B80F61">
        <w:tab/>
        <w:t>Техническое сотрудничество</w:t>
      </w:r>
    </w:p>
    <w:p w:rsidR="00B80F61" w:rsidRPr="00B80F61" w:rsidRDefault="00B80F61" w:rsidP="00363FC7">
      <w:pPr>
        <w:pStyle w:val="SingleTxtGR"/>
        <w:ind w:left="1701" w:hanging="567"/>
      </w:pPr>
      <w:r w:rsidRPr="00B80F61">
        <w:t>12.4</w:t>
      </w:r>
      <w:r w:rsidRPr="00B80F61">
        <w:tab/>
        <w:t>Мероприятия, включая возможные рабочие совещания по вопросам улучшения применения СПС, содействия присоединению к нему стран ЕЭК</w:t>
      </w:r>
      <w:r w:rsidR="00712EF9">
        <w:t> </w:t>
      </w:r>
      <w:r w:rsidRPr="00B80F61">
        <w:t>ООН и государств за пределами региона ЕЭК ООН, а также снижения экологического воздействия перевозок холодильным транспортом.</w:t>
      </w:r>
    </w:p>
    <w:p w:rsidR="00B80F61" w:rsidRPr="00B80F61" w:rsidRDefault="00B80F61" w:rsidP="00363FC7">
      <w:pPr>
        <w:pStyle w:val="SingleTxtGR"/>
        <w:ind w:left="1701" w:hanging="567"/>
      </w:pPr>
      <w:r w:rsidRPr="00B80F61">
        <w:t>12.5</w:t>
      </w:r>
      <w:r w:rsidRPr="00B80F61">
        <w:tab/>
        <w:t>Сотрудничество с другими организациями, работающими в сфере перевозок холодильным транспортом, включая Международную ассоциацию по производству автомобильных кузовов и прицепов, Международный институт холода и «Трансфригорут интернэшнл».</w:t>
      </w:r>
    </w:p>
    <w:p w:rsidR="00B80F61" w:rsidRPr="00363FC7" w:rsidRDefault="00B80F61" w:rsidP="000720E7">
      <w:pPr>
        <w:pStyle w:val="HChGR"/>
        <w:pageBreakBefore/>
      </w:pPr>
      <w:bookmarkStart w:id="336" w:name="_Toc432670219"/>
      <w:r w:rsidRPr="00B80F61">
        <w:lastRenderedPageBreak/>
        <w:t>Приложен</w:t>
      </w:r>
      <w:r w:rsidRPr="00363FC7">
        <w:t>ие V</w:t>
      </w:r>
      <w:bookmarkEnd w:id="336"/>
    </w:p>
    <w:p w:rsidR="00B80F61" w:rsidRPr="00B80F61" w:rsidRDefault="00B80F61" w:rsidP="00363FC7">
      <w:pPr>
        <w:pStyle w:val="HChGR"/>
      </w:pPr>
      <w:r w:rsidRPr="00363FC7">
        <w:tab/>
      </w:r>
      <w:r w:rsidRPr="00363FC7">
        <w:tab/>
      </w:r>
      <w:r w:rsidRPr="00B80F61">
        <w:t xml:space="preserve">Предлагаемая оценка на двухгодичный период </w:t>
      </w:r>
      <w:r w:rsidR="00363FC7">
        <w:br/>
      </w:r>
      <w:r w:rsidRPr="00B80F61">
        <w:t>2018–2019 годов</w:t>
      </w:r>
      <w:bookmarkStart w:id="337" w:name="_Toc432670220"/>
      <w:bookmarkEnd w:id="337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66"/>
        <w:gridCol w:w="3000"/>
        <w:gridCol w:w="3104"/>
      </w:tblGrid>
      <w:tr w:rsidR="00B80F61" w:rsidRPr="00363FC7" w:rsidTr="00363FC7">
        <w:trPr>
          <w:tblHeader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80F61" w:rsidRPr="00363FC7" w:rsidRDefault="00B80F61" w:rsidP="00363FC7">
            <w:pPr>
              <w:spacing w:before="80" w:after="80" w:line="200" w:lineRule="exact"/>
              <w:rPr>
                <w:i/>
                <w:sz w:val="16"/>
              </w:rPr>
            </w:pPr>
            <w:r w:rsidRPr="00363FC7">
              <w:rPr>
                <w:i/>
                <w:sz w:val="16"/>
              </w:rPr>
              <w:t>Направление деятельности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80F61" w:rsidRPr="00363FC7" w:rsidRDefault="00B80F61" w:rsidP="00363FC7">
            <w:pPr>
              <w:spacing w:before="80" w:after="80" w:line="200" w:lineRule="exact"/>
              <w:rPr>
                <w:i/>
                <w:sz w:val="16"/>
              </w:rPr>
            </w:pPr>
            <w:r w:rsidRPr="00363FC7">
              <w:rPr>
                <w:i/>
                <w:sz w:val="16"/>
              </w:rPr>
              <w:t>Ожидаемые достижения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80F61" w:rsidRPr="00363FC7" w:rsidRDefault="00B80F61" w:rsidP="00363FC7">
            <w:pPr>
              <w:spacing w:before="80" w:after="80" w:line="200" w:lineRule="exact"/>
              <w:rPr>
                <w:i/>
                <w:sz w:val="16"/>
              </w:rPr>
            </w:pPr>
            <w:r w:rsidRPr="00363FC7">
              <w:rPr>
                <w:i/>
                <w:sz w:val="16"/>
              </w:rPr>
              <w:t>Показатели достижения результатов</w:t>
            </w:r>
          </w:p>
        </w:tc>
      </w:tr>
      <w:tr w:rsidR="00B80F61" w:rsidRPr="00363FC7" w:rsidTr="00363FC7">
        <w:trPr>
          <w:trHeight w:val="473"/>
        </w:trPr>
        <w:tc>
          <w:tcPr>
            <w:tcW w:w="1266" w:type="dxa"/>
            <w:tcBorders>
              <w:top w:val="single" w:sz="12" w:space="0" w:color="auto"/>
            </w:tcBorders>
          </w:tcPr>
          <w:p w:rsidR="00B80F61" w:rsidRPr="00363FC7" w:rsidRDefault="00B80F61" w:rsidP="00363FC7">
            <w:r w:rsidRPr="00363FC7">
              <w:t>Перевозка скоропортящихся пищевых продуктов</w:t>
            </w:r>
          </w:p>
        </w:tc>
        <w:tc>
          <w:tcPr>
            <w:tcW w:w="3000" w:type="dxa"/>
            <w:tcBorders>
              <w:top w:val="single" w:sz="12" w:space="0" w:color="auto"/>
            </w:tcBorders>
          </w:tcPr>
          <w:p w:rsidR="00B80F61" w:rsidRPr="00363FC7" w:rsidRDefault="00B80F61" w:rsidP="00363FC7">
            <w:r w:rsidRPr="00363FC7">
              <w:t>Повышение и обновление международных требований для перевозок скоропортящихся пищевых продуктов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  <w:tcBorders>
              <w:top w:val="single" w:sz="12" w:space="0" w:color="auto"/>
            </w:tcBorders>
          </w:tcPr>
          <w:p w:rsidR="00B80F61" w:rsidRPr="00363FC7" w:rsidRDefault="00B80F61" w:rsidP="00363FC7">
            <w:r w:rsidRPr="00363FC7">
              <w:t>a)</w:t>
            </w:r>
            <w:r w:rsidRPr="00363FC7">
              <w:tab/>
              <w:t>Общая процентная доля предложений о нередакционных поправках, принятых WP.11</w:t>
            </w:r>
          </w:p>
          <w:p w:rsidR="00B80F61" w:rsidRPr="00363FC7" w:rsidRDefault="00B80F61" w:rsidP="00363FC7">
            <w:r w:rsidRPr="00363FC7">
              <w:t>Показатели результативности:</w:t>
            </w:r>
          </w:p>
          <w:p w:rsidR="00B80F61" w:rsidRPr="00363FC7" w:rsidRDefault="00B80F61" w:rsidP="00363FC7">
            <w:r w:rsidRPr="00363FC7">
              <w:t>Оценка на 2016–2017 годы: 60% Целевой показатель на 2018−2019 годы: 60%</w:t>
            </w:r>
          </w:p>
        </w:tc>
      </w:tr>
      <w:tr w:rsidR="00B80F61" w:rsidRPr="00363FC7" w:rsidTr="00363FC7">
        <w:trPr>
          <w:trHeight w:val="472"/>
        </w:trPr>
        <w:tc>
          <w:tcPr>
            <w:tcW w:w="1266" w:type="dxa"/>
          </w:tcPr>
          <w:p w:rsidR="00B80F61" w:rsidRPr="00363FC7" w:rsidRDefault="00B80F61" w:rsidP="00363FC7"/>
        </w:tc>
        <w:tc>
          <w:tcPr>
            <w:tcW w:w="3000" w:type="dxa"/>
          </w:tcPr>
          <w:p w:rsidR="00B80F61" w:rsidRPr="00363FC7" w:rsidRDefault="00B80F61" w:rsidP="00363FC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</w:tcPr>
          <w:p w:rsidR="00B80F61" w:rsidRPr="00363FC7" w:rsidRDefault="00B80F61" w:rsidP="00712EF9">
            <w:r w:rsidRPr="00363FC7">
              <w:t>b)</w:t>
            </w:r>
            <w:r w:rsidRPr="00363FC7">
              <w:tab/>
              <w:t>Общее число Договаривающихся сторон Соглашения</w:t>
            </w:r>
            <w:r w:rsidR="00712EF9">
              <w:t> </w:t>
            </w:r>
            <w:r w:rsidRPr="00363FC7">
              <w:t>СПС</w:t>
            </w:r>
          </w:p>
        </w:tc>
      </w:tr>
      <w:tr w:rsidR="00B80F61" w:rsidRPr="00363FC7" w:rsidTr="00363FC7">
        <w:trPr>
          <w:trHeight w:val="472"/>
        </w:trPr>
        <w:tc>
          <w:tcPr>
            <w:tcW w:w="1266" w:type="dxa"/>
          </w:tcPr>
          <w:p w:rsidR="00B80F61" w:rsidRPr="00363FC7" w:rsidRDefault="00B80F61" w:rsidP="00363FC7"/>
        </w:tc>
        <w:tc>
          <w:tcPr>
            <w:tcW w:w="3000" w:type="dxa"/>
          </w:tcPr>
          <w:p w:rsidR="00B80F61" w:rsidRPr="00363FC7" w:rsidRDefault="00B80F61" w:rsidP="00363FC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</w:tcPr>
          <w:p w:rsidR="00B80F61" w:rsidRPr="00363FC7" w:rsidRDefault="00B80F61" w:rsidP="00363FC7">
            <w:r w:rsidRPr="00363FC7">
              <w:t>Показатели результативности:</w:t>
            </w:r>
          </w:p>
          <w:p w:rsidR="00B80F61" w:rsidRPr="00363FC7" w:rsidRDefault="00B80F61" w:rsidP="00363FC7">
            <w:r w:rsidRPr="00363FC7">
              <w:t xml:space="preserve">Базовый показатель на </w:t>
            </w:r>
            <w:r w:rsidR="007B7799">
              <w:br/>
            </w:r>
            <w:r w:rsidRPr="00363FC7">
              <w:t>2016–2017 годы: 50</w:t>
            </w:r>
            <w:r w:rsidRPr="00363FC7">
              <w:br/>
              <w:t>Целевой показатель на 2018−2019 годы: 52</w:t>
            </w:r>
          </w:p>
        </w:tc>
      </w:tr>
      <w:tr w:rsidR="00B80F61" w:rsidRPr="00363FC7" w:rsidTr="00363FC7">
        <w:trPr>
          <w:trHeight w:val="472"/>
        </w:trPr>
        <w:tc>
          <w:tcPr>
            <w:tcW w:w="1266" w:type="dxa"/>
          </w:tcPr>
          <w:p w:rsidR="00B80F61" w:rsidRPr="00363FC7" w:rsidRDefault="00B80F61" w:rsidP="00363FC7"/>
        </w:tc>
        <w:tc>
          <w:tcPr>
            <w:tcW w:w="3000" w:type="dxa"/>
          </w:tcPr>
          <w:p w:rsidR="00B80F61" w:rsidRPr="00363FC7" w:rsidRDefault="00B80F61" w:rsidP="00363FC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</w:tcPr>
          <w:p w:rsidR="00B80F61" w:rsidRPr="00363FC7" w:rsidRDefault="00B80F61" w:rsidP="00363FC7">
            <w:r w:rsidRPr="00363FC7">
              <w:t>с)</w:t>
            </w:r>
            <w:r w:rsidRPr="00363FC7">
              <w:tab/>
              <w:t>Число стран, отвечающих на вопросник по осуществлению СПС</w:t>
            </w:r>
          </w:p>
        </w:tc>
      </w:tr>
      <w:tr w:rsidR="00B80F61" w:rsidRPr="00363FC7" w:rsidTr="00363FC7">
        <w:trPr>
          <w:trHeight w:val="472"/>
        </w:trPr>
        <w:tc>
          <w:tcPr>
            <w:tcW w:w="1266" w:type="dxa"/>
          </w:tcPr>
          <w:p w:rsidR="00B80F61" w:rsidRPr="00363FC7" w:rsidRDefault="00B80F61" w:rsidP="00363FC7"/>
        </w:tc>
        <w:tc>
          <w:tcPr>
            <w:tcW w:w="3000" w:type="dxa"/>
          </w:tcPr>
          <w:p w:rsidR="00B80F61" w:rsidRPr="00363FC7" w:rsidRDefault="00B80F61" w:rsidP="00363FC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04" w:type="dxa"/>
          </w:tcPr>
          <w:p w:rsidR="00B80F61" w:rsidRPr="00363FC7" w:rsidRDefault="00B80F61" w:rsidP="00363FC7">
            <w:r w:rsidRPr="00363FC7">
              <w:t>Показатели результативности:</w:t>
            </w:r>
          </w:p>
          <w:p w:rsidR="00B80F61" w:rsidRPr="00363FC7" w:rsidRDefault="00B80F61" w:rsidP="00E52E48">
            <w:r w:rsidRPr="00363FC7">
              <w:t xml:space="preserve">Базовый показатель </w:t>
            </w:r>
            <w:r w:rsidR="00E52E48">
              <w:br/>
            </w:r>
            <w:r w:rsidRPr="00363FC7">
              <w:t>на 2016–2017 годы: 22</w:t>
            </w:r>
            <w:r w:rsidRPr="00363FC7">
              <w:br/>
              <w:t>Целевой показатель на</w:t>
            </w:r>
            <w:r w:rsidR="00E52E48">
              <w:t> </w:t>
            </w:r>
            <w:r w:rsidRPr="00363FC7">
              <w:t>2018−2019 годы: 24</w:t>
            </w:r>
          </w:p>
        </w:tc>
      </w:tr>
    </w:tbl>
    <w:p w:rsidR="00A5481B" w:rsidRPr="00363FC7" w:rsidRDefault="00363FC7" w:rsidP="00363FC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481B" w:rsidRPr="00363FC7" w:rsidSect="00B80F61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4E" w:rsidRPr="00A312BC" w:rsidRDefault="00045D4E" w:rsidP="00A312BC"/>
  </w:endnote>
  <w:endnote w:type="continuationSeparator" w:id="0">
    <w:p w:rsidR="00045D4E" w:rsidRPr="00A312BC" w:rsidRDefault="00045D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4E" w:rsidRPr="00B80F61" w:rsidRDefault="00045D4E">
    <w:pPr>
      <w:pStyle w:val="Footer"/>
    </w:pPr>
    <w:r w:rsidRPr="00B80F61">
      <w:rPr>
        <w:b/>
        <w:sz w:val="18"/>
      </w:rPr>
      <w:fldChar w:fldCharType="begin"/>
    </w:r>
    <w:r w:rsidRPr="00B80F61">
      <w:rPr>
        <w:b/>
        <w:sz w:val="18"/>
      </w:rPr>
      <w:instrText xml:space="preserve"> PAGE  \* MERGEFORMAT </w:instrText>
    </w:r>
    <w:r w:rsidRPr="00B80F61">
      <w:rPr>
        <w:b/>
        <w:sz w:val="18"/>
      </w:rPr>
      <w:fldChar w:fldCharType="separate"/>
    </w:r>
    <w:r w:rsidR="00515C5C">
      <w:rPr>
        <w:b/>
        <w:noProof/>
        <w:sz w:val="18"/>
      </w:rPr>
      <w:t>36</w:t>
    </w:r>
    <w:r w:rsidRPr="00B80F61">
      <w:rPr>
        <w:b/>
        <w:sz w:val="18"/>
      </w:rPr>
      <w:fldChar w:fldCharType="end"/>
    </w:r>
    <w:r>
      <w:rPr>
        <w:b/>
        <w:sz w:val="18"/>
      </w:rPr>
      <w:tab/>
    </w:r>
    <w:r>
      <w:t>GE.17-20647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4E" w:rsidRPr="00B80F61" w:rsidRDefault="00045D4E" w:rsidP="00B80F61">
    <w:pPr>
      <w:pStyle w:val="Footer"/>
      <w:tabs>
        <w:tab w:val="clear" w:pos="9639"/>
        <w:tab w:val="right" w:pos="9638"/>
      </w:tabs>
      <w:rPr>
        <w:b/>
        <w:sz w:val="18"/>
      </w:rPr>
    </w:pPr>
    <w:r>
      <w:t>GE.17-20647</w:t>
    </w:r>
    <w:r>
      <w:tab/>
    </w:r>
    <w:r w:rsidRPr="00B80F61">
      <w:rPr>
        <w:b/>
        <w:sz w:val="18"/>
      </w:rPr>
      <w:fldChar w:fldCharType="begin"/>
    </w:r>
    <w:r w:rsidRPr="00B80F61">
      <w:rPr>
        <w:b/>
        <w:sz w:val="18"/>
      </w:rPr>
      <w:instrText xml:space="preserve"> PAGE  \* MERGEFORMAT </w:instrText>
    </w:r>
    <w:r w:rsidRPr="00B80F61">
      <w:rPr>
        <w:b/>
        <w:sz w:val="18"/>
      </w:rPr>
      <w:fldChar w:fldCharType="separate"/>
    </w:r>
    <w:r w:rsidR="00515C5C">
      <w:rPr>
        <w:b/>
        <w:noProof/>
        <w:sz w:val="18"/>
      </w:rPr>
      <w:t>37</w:t>
    </w:r>
    <w:r w:rsidRPr="00B80F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4E" w:rsidRPr="00B80F61" w:rsidRDefault="00045D4E" w:rsidP="00B80F61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17-20647  (R)</w:t>
    </w:r>
    <w:r>
      <w:rPr>
        <w:lang w:val="en-US"/>
      </w:rPr>
      <w:t xml:space="preserve">  110118  150118</w:t>
    </w:r>
    <w:r>
      <w:br/>
    </w:r>
    <w:r w:rsidRPr="00B80F61">
      <w:rPr>
        <w:rFonts w:ascii="C39T30Lfz" w:hAnsi="C39T30Lfz"/>
        <w:spacing w:val="0"/>
        <w:w w:val="100"/>
        <w:sz w:val="56"/>
      </w:rPr>
      <w:t></w:t>
    </w:r>
    <w:r w:rsidRPr="00B80F61">
      <w:rPr>
        <w:rFonts w:ascii="C39T30Lfz" w:hAnsi="C39T30Lfz"/>
        <w:spacing w:val="0"/>
        <w:w w:val="100"/>
        <w:sz w:val="56"/>
      </w:rPr>
      <w:t></w:t>
    </w:r>
    <w:r w:rsidRPr="00B80F61">
      <w:rPr>
        <w:rFonts w:ascii="C39T30Lfz" w:hAnsi="C39T30Lfz"/>
        <w:spacing w:val="0"/>
        <w:w w:val="100"/>
        <w:sz w:val="56"/>
      </w:rPr>
      <w:t></w:t>
    </w:r>
    <w:r w:rsidRPr="00B80F61">
      <w:rPr>
        <w:rFonts w:ascii="C39T30Lfz" w:hAnsi="C39T30Lfz"/>
        <w:spacing w:val="0"/>
        <w:w w:val="100"/>
        <w:sz w:val="56"/>
      </w:rPr>
      <w:t></w:t>
    </w:r>
    <w:r w:rsidRPr="00B80F61">
      <w:rPr>
        <w:rFonts w:ascii="C39T30Lfz" w:hAnsi="C39T30Lfz"/>
        <w:spacing w:val="0"/>
        <w:w w:val="100"/>
        <w:sz w:val="56"/>
      </w:rPr>
      <w:t></w:t>
    </w:r>
    <w:r w:rsidRPr="00B80F61">
      <w:rPr>
        <w:rFonts w:ascii="C39T30Lfz" w:hAnsi="C39T30Lfz"/>
        <w:spacing w:val="0"/>
        <w:w w:val="100"/>
        <w:sz w:val="56"/>
      </w:rPr>
      <w:t></w:t>
    </w:r>
    <w:r w:rsidRPr="00B80F61">
      <w:rPr>
        <w:rFonts w:ascii="C39T30Lfz" w:hAnsi="C39T30Lfz"/>
        <w:spacing w:val="0"/>
        <w:w w:val="100"/>
        <w:sz w:val="56"/>
      </w:rPr>
      <w:t></w:t>
    </w:r>
    <w:r w:rsidRPr="00B80F61">
      <w:rPr>
        <w:rFonts w:ascii="C39T30Lfz" w:hAnsi="C39T30Lfz"/>
        <w:spacing w:val="0"/>
        <w:w w:val="100"/>
        <w:sz w:val="56"/>
      </w:rPr>
      <w:t></w:t>
    </w:r>
    <w:r w:rsidRPr="00B80F6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4E" w:rsidRPr="001075E9" w:rsidRDefault="00045D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5D4E" w:rsidRDefault="00045D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4E" w:rsidRPr="00B80F61" w:rsidRDefault="00045D4E">
    <w:pPr>
      <w:pStyle w:val="Header"/>
    </w:pPr>
    <w:fldSimple w:instr=" TITLE  \* MERGEFORMAT ">
      <w:r w:rsidR="00795341">
        <w:t>ECE/TRANS/WP.11/237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4E" w:rsidRPr="00B80F61" w:rsidRDefault="00045D4E" w:rsidP="00B80F61">
    <w:pPr>
      <w:pStyle w:val="Header"/>
      <w:jc w:val="right"/>
    </w:pPr>
    <w:fldSimple w:instr=" TITLE  \* MERGEFORMAT ">
      <w:r w:rsidR="00795341">
        <w:t>ECE/TRANS/WP.11/237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%1)"/>
      <w:lvlJc w:val="right"/>
      <w:pPr>
        <w:tabs>
          <w:tab w:val="num" w:pos="2160"/>
        </w:tabs>
        <w:ind w:left="2160" w:hanging="516"/>
      </w:pPr>
    </w:lvl>
  </w:abstractNum>
  <w:abstractNum w:abstractNumId="4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5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50"/>
    <w:rsid w:val="00033EE1"/>
    <w:rsid w:val="00042B72"/>
    <w:rsid w:val="00045D4E"/>
    <w:rsid w:val="0005142E"/>
    <w:rsid w:val="000558BD"/>
    <w:rsid w:val="000719E4"/>
    <w:rsid w:val="000720E7"/>
    <w:rsid w:val="00082F04"/>
    <w:rsid w:val="000A4532"/>
    <w:rsid w:val="000B57E7"/>
    <w:rsid w:val="000B6373"/>
    <w:rsid w:val="000E4E5B"/>
    <w:rsid w:val="000F09DF"/>
    <w:rsid w:val="000F61B2"/>
    <w:rsid w:val="001075E9"/>
    <w:rsid w:val="00133B50"/>
    <w:rsid w:val="0014152F"/>
    <w:rsid w:val="00166A51"/>
    <w:rsid w:val="00180183"/>
    <w:rsid w:val="0018024D"/>
    <w:rsid w:val="0018649F"/>
    <w:rsid w:val="00196389"/>
    <w:rsid w:val="001B3EF6"/>
    <w:rsid w:val="001C7A89"/>
    <w:rsid w:val="001D6433"/>
    <w:rsid w:val="001D78C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3FC7"/>
    <w:rsid w:val="00381C24"/>
    <w:rsid w:val="00387B5E"/>
    <w:rsid w:val="00387CD4"/>
    <w:rsid w:val="003958D0"/>
    <w:rsid w:val="003A0D43"/>
    <w:rsid w:val="003A48CE"/>
    <w:rsid w:val="003B00E5"/>
    <w:rsid w:val="004005BF"/>
    <w:rsid w:val="00405753"/>
    <w:rsid w:val="00407B78"/>
    <w:rsid w:val="0041723C"/>
    <w:rsid w:val="00424203"/>
    <w:rsid w:val="00434DDA"/>
    <w:rsid w:val="00437090"/>
    <w:rsid w:val="00452493"/>
    <w:rsid w:val="00453318"/>
    <w:rsid w:val="00454AF2"/>
    <w:rsid w:val="00454E07"/>
    <w:rsid w:val="00472C5C"/>
    <w:rsid w:val="004811A0"/>
    <w:rsid w:val="00484BD4"/>
    <w:rsid w:val="004B0D45"/>
    <w:rsid w:val="004D327A"/>
    <w:rsid w:val="004E05B7"/>
    <w:rsid w:val="0050108D"/>
    <w:rsid w:val="00513081"/>
    <w:rsid w:val="00515C5C"/>
    <w:rsid w:val="00517901"/>
    <w:rsid w:val="00526683"/>
    <w:rsid w:val="005639C1"/>
    <w:rsid w:val="005709E0"/>
    <w:rsid w:val="00572E19"/>
    <w:rsid w:val="00585D79"/>
    <w:rsid w:val="00593540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05C6"/>
    <w:rsid w:val="006D461A"/>
    <w:rsid w:val="006F35EE"/>
    <w:rsid w:val="007021FF"/>
    <w:rsid w:val="00712895"/>
    <w:rsid w:val="00712EF9"/>
    <w:rsid w:val="00734ACB"/>
    <w:rsid w:val="00740CF5"/>
    <w:rsid w:val="00757357"/>
    <w:rsid w:val="00792497"/>
    <w:rsid w:val="00795341"/>
    <w:rsid w:val="007B7799"/>
    <w:rsid w:val="007D6A86"/>
    <w:rsid w:val="00806737"/>
    <w:rsid w:val="00825F8D"/>
    <w:rsid w:val="008307BE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0549"/>
    <w:rsid w:val="009A24AC"/>
    <w:rsid w:val="009C6FE6"/>
    <w:rsid w:val="009D7E7D"/>
    <w:rsid w:val="00A14DA8"/>
    <w:rsid w:val="00A307CE"/>
    <w:rsid w:val="00A312BC"/>
    <w:rsid w:val="00A5481B"/>
    <w:rsid w:val="00A676B2"/>
    <w:rsid w:val="00A84021"/>
    <w:rsid w:val="00A84D35"/>
    <w:rsid w:val="00A86D57"/>
    <w:rsid w:val="00A917B3"/>
    <w:rsid w:val="00AB4B51"/>
    <w:rsid w:val="00B10CC7"/>
    <w:rsid w:val="00B24E86"/>
    <w:rsid w:val="00B36DF7"/>
    <w:rsid w:val="00B40868"/>
    <w:rsid w:val="00B539E7"/>
    <w:rsid w:val="00B62458"/>
    <w:rsid w:val="00B80F61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7BD6"/>
    <w:rsid w:val="00CB151C"/>
    <w:rsid w:val="00CE5A1A"/>
    <w:rsid w:val="00CF55F6"/>
    <w:rsid w:val="00D33D63"/>
    <w:rsid w:val="00D5253A"/>
    <w:rsid w:val="00D87690"/>
    <w:rsid w:val="00D90028"/>
    <w:rsid w:val="00D90138"/>
    <w:rsid w:val="00DD08F3"/>
    <w:rsid w:val="00DD78D1"/>
    <w:rsid w:val="00DE32CD"/>
    <w:rsid w:val="00DF5767"/>
    <w:rsid w:val="00DF71B9"/>
    <w:rsid w:val="00E12C5F"/>
    <w:rsid w:val="00E52E48"/>
    <w:rsid w:val="00E73F76"/>
    <w:rsid w:val="00EA2C9F"/>
    <w:rsid w:val="00EA420E"/>
    <w:rsid w:val="00ED0BDA"/>
    <w:rsid w:val="00EE142A"/>
    <w:rsid w:val="00EF1360"/>
    <w:rsid w:val="00EF3220"/>
    <w:rsid w:val="00F13EF7"/>
    <w:rsid w:val="00F2523A"/>
    <w:rsid w:val="00F43903"/>
    <w:rsid w:val="00F94155"/>
    <w:rsid w:val="00F9783F"/>
    <w:rsid w:val="00FB7CE1"/>
    <w:rsid w:val="00FC649E"/>
    <w:rsid w:val="00FD2EF7"/>
    <w:rsid w:val="00FD3CE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51F132B-B33A-49B4-9708-8C8B49D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6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B80F6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B80F61"/>
    <w:rPr>
      <w:b/>
      <w:sz w:val="28"/>
      <w:lang w:val="en-GB" w:eastAsia="en-US"/>
    </w:rPr>
  </w:style>
  <w:style w:type="paragraph" w:customStyle="1" w:styleId="HMG">
    <w:name w:val="_ H __M_G"/>
    <w:basedOn w:val="Normal"/>
    <w:next w:val="Normal"/>
    <w:rsid w:val="00B80F6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B80F6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semiHidden/>
    <w:rsid w:val="00B80F61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B80F61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80F6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B80F61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80F61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0F61"/>
    <w:rPr>
      <w:lang w:val="en-GB" w:eastAsia="en-US"/>
    </w:rPr>
  </w:style>
  <w:style w:type="paragraph" w:styleId="BlockText">
    <w:name w:val="Block Text"/>
    <w:basedOn w:val="Normal"/>
    <w:semiHidden/>
    <w:rsid w:val="00B80F61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B80F6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B80F61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B80F61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B80F6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Normal"/>
    <w:rsid w:val="00B80F61"/>
    <w:pPr>
      <w:numPr>
        <w:numId w:val="7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80F61"/>
    <w:rPr>
      <w:sz w:val="6"/>
    </w:rPr>
  </w:style>
  <w:style w:type="paragraph" w:styleId="CommentText">
    <w:name w:val="annotation text"/>
    <w:basedOn w:val="Normal"/>
    <w:link w:val="CommentTextChar"/>
    <w:semiHidden/>
    <w:rsid w:val="00B80F6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80F61"/>
    <w:rPr>
      <w:lang w:val="en-GB" w:eastAsia="en-US"/>
    </w:rPr>
  </w:style>
  <w:style w:type="character" w:styleId="LineNumber">
    <w:name w:val="line number"/>
    <w:basedOn w:val="DefaultParagraphFont"/>
    <w:semiHidden/>
    <w:rsid w:val="00B80F61"/>
    <w:rPr>
      <w:sz w:val="14"/>
    </w:rPr>
  </w:style>
  <w:style w:type="paragraph" w:customStyle="1" w:styleId="Bullet2G">
    <w:name w:val="_Bullet 2_G"/>
    <w:basedOn w:val="Normal"/>
    <w:rsid w:val="00B80F61"/>
    <w:pPr>
      <w:numPr>
        <w:numId w:val="8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B80F6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B80F6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B80F6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B80F6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NoList"/>
    <w:semiHidden/>
    <w:rsid w:val="00B80F61"/>
    <w:pPr>
      <w:numPr>
        <w:numId w:val="4"/>
      </w:numPr>
    </w:pPr>
  </w:style>
  <w:style w:type="numbering" w:styleId="1ai">
    <w:name w:val="Outline List 1"/>
    <w:basedOn w:val="NoList"/>
    <w:semiHidden/>
    <w:rsid w:val="00B80F61"/>
    <w:pPr>
      <w:numPr>
        <w:numId w:val="5"/>
      </w:numPr>
    </w:pPr>
  </w:style>
  <w:style w:type="numbering" w:styleId="ArticleSection">
    <w:name w:val="Outline List 3"/>
    <w:basedOn w:val="NoList"/>
    <w:semiHidden/>
    <w:rsid w:val="00B80F61"/>
    <w:pPr>
      <w:numPr>
        <w:numId w:val="6"/>
      </w:numPr>
    </w:pPr>
  </w:style>
  <w:style w:type="paragraph" w:styleId="BodyText2">
    <w:name w:val="Body Text 2"/>
    <w:basedOn w:val="Normal"/>
    <w:link w:val="BodyText2Char"/>
    <w:semiHidden/>
    <w:rsid w:val="00B80F61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80F61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B80F61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B80F61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80F6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80F61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B80F6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80F61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B80F61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80F61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B80F61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0F61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B80F61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B80F61"/>
    <w:rPr>
      <w:lang w:val="en-GB" w:eastAsia="en-US"/>
    </w:rPr>
  </w:style>
  <w:style w:type="paragraph" w:styleId="Date">
    <w:name w:val="Date"/>
    <w:basedOn w:val="Normal"/>
    <w:next w:val="Normal"/>
    <w:link w:val="DateChar"/>
    <w:rsid w:val="00B80F6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B80F61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B80F6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80F61"/>
    <w:rPr>
      <w:lang w:val="en-GB" w:eastAsia="en-US"/>
    </w:rPr>
  </w:style>
  <w:style w:type="character" w:styleId="Emphasis">
    <w:name w:val="Emphasis"/>
    <w:basedOn w:val="DefaultParagraphFont"/>
    <w:qFormat/>
    <w:rsid w:val="00B80F61"/>
    <w:rPr>
      <w:i/>
      <w:iCs/>
    </w:rPr>
  </w:style>
  <w:style w:type="paragraph" w:styleId="EnvelopeReturn">
    <w:name w:val="envelope return"/>
    <w:basedOn w:val="Normal"/>
    <w:semiHidden/>
    <w:rsid w:val="00B80F61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basedOn w:val="DefaultParagraphFont"/>
    <w:semiHidden/>
    <w:rsid w:val="00B80F61"/>
  </w:style>
  <w:style w:type="paragraph" w:styleId="HTMLAddress">
    <w:name w:val="HTML Address"/>
    <w:basedOn w:val="Normal"/>
    <w:link w:val="HTMLAddressChar"/>
    <w:semiHidden/>
    <w:rsid w:val="00B80F61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B80F61"/>
    <w:rPr>
      <w:i/>
      <w:iCs/>
      <w:lang w:val="en-GB" w:eastAsia="en-US"/>
    </w:rPr>
  </w:style>
  <w:style w:type="character" w:styleId="HTMLCite">
    <w:name w:val="HTML Cite"/>
    <w:basedOn w:val="DefaultParagraphFont"/>
    <w:semiHidden/>
    <w:rsid w:val="00B80F61"/>
    <w:rPr>
      <w:i/>
      <w:iCs/>
    </w:rPr>
  </w:style>
  <w:style w:type="character" w:styleId="HTMLCode">
    <w:name w:val="HTML Code"/>
    <w:basedOn w:val="DefaultParagraphFont"/>
    <w:semiHidden/>
    <w:rsid w:val="00B80F6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80F61"/>
    <w:rPr>
      <w:i/>
      <w:iCs/>
    </w:rPr>
  </w:style>
  <w:style w:type="character" w:styleId="HTMLKeyboard">
    <w:name w:val="HTML Keyboard"/>
    <w:basedOn w:val="DefaultParagraphFont"/>
    <w:semiHidden/>
    <w:rsid w:val="00B80F6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80F61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F61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semiHidden/>
    <w:rsid w:val="00B80F6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80F6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80F61"/>
    <w:rPr>
      <w:i/>
      <w:iCs/>
    </w:rPr>
  </w:style>
  <w:style w:type="paragraph" w:styleId="List">
    <w:name w:val="List"/>
    <w:basedOn w:val="Normal"/>
    <w:semiHidden/>
    <w:rsid w:val="00B80F61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2">
    <w:name w:val="List 2"/>
    <w:basedOn w:val="Normal"/>
    <w:semiHidden/>
    <w:rsid w:val="00B80F61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semiHidden/>
    <w:rsid w:val="00B80F61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B80F61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B80F61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semiHidden/>
    <w:rsid w:val="00B80F61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semiHidden/>
    <w:rsid w:val="00B80F61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semiHidden/>
    <w:rsid w:val="00B80F61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semiHidden/>
    <w:rsid w:val="00B80F61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semiHidden/>
    <w:rsid w:val="00B80F61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semiHidden/>
    <w:rsid w:val="00B80F61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semiHidden/>
    <w:rsid w:val="00B80F61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semiHidden/>
    <w:rsid w:val="00B80F61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semiHidden/>
    <w:rsid w:val="00B80F61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semiHidden/>
    <w:rsid w:val="00B80F61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B80F61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semiHidden/>
    <w:rsid w:val="00B80F61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semiHidden/>
    <w:rsid w:val="00B80F61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semiHidden/>
    <w:rsid w:val="00B80F61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semiHidden/>
    <w:rsid w:val="00B80F61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B80F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B80F6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B80F61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B80F61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B80F6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B80F61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80F61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B80F61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B80F61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B80F61"/>
    <w:rPr>
      <w:lang w:val="en-GB" w:eastAsia="en-US"/>
    </w:rPr>
  </w:style>
  <w:style w:type="character" w:styleId="Strong">
    <w:name w:val="Strong"/>
    <w:basedOn w:val="DefaultParagraphFont"/>
    <w:qFormat/>
    <w:rsid w:val="00B80F61"/>
    <w:rPr>
      <w:b/>
      <w:bCs/>
    </w:rPr>
  </w:style>
  <w:style w:type="paragraph" w:styleId="Subtitle">
    <w:name w:val="Subtitle"/>
    <w:basedOn w:val="Normal"/>
    <w:link w:val="SubtitleChar"/>
    <w:qFormat/>
    <w:rsid w:val="00B80F61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B80F61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80F61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80F61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80F61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80F61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80F61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80F61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80F61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80F61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80F61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B80F61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B80F61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customStyle="1" w:styleId="ParaNoG">
    <w:name w:val="_ParaNo._G"/>
    <w:basedOn w:val="SingleTxtG"/>
    <w:rsid w:val="00B80F61"/>
    <w:pPr>
      <w:numPr>
        <w:numId w:val="9"/>
      </w:numPr>
      <w:tabs>
        <w:tab w:val="clear" w:pos="1494"/>
      </w:tabs>
    </w:pPr>
  </w:style>
  <w:style w:type="numbering" w:customStyle="1" w:styleId="1111111">
    <w:name w:val="1 / 1.1 / 1.1.11"/>
    <w:basedOn w:val="NoList"/>
    <w:next w:val="111111"/>
    <w:semiHidden/>
    <w:rsid w:val="00B80F61"/>
  </w:style>
  <w:style w:type="numbering" w:customStyle="1" w:styleId="1ai1">
    <w:name w:val="1 / a / i1"/>
    <w:basedOn w:val="NoList"/>
    <w:next w:val="1ai"/>
    <w:semiHidden/>
    <w:rsid w:val="00B80F61"/>
  </w:style>
  <w:style w:type="numbering" w:customStyle="1" w:styleId="ArticleSection1">
    <w:name w:val="Article / Section1"/>
    <w:basedOn w:val="NoList"/>
    <w:next w:val="ArticleSection"/>
    <w:semiHidden/>
    <w:rsid w:val="00B80F61"/>
  </w:style>
  <w:style w:type="table" w:customStyle="1" w:styleId="TableGrid10">
    <w:name w:val="Table Grid1"/>
    <w:basedOn w:val="TableNormal"/>
    <w:next w:val="TableGrid"/>
    <w:semiHidden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">
    <w:name w:val="_ Single Txt_G Char"/>
    <w:link w:val="SingleTxtG"/>
    <w:qFormat/>
    <w:rsid w:val="00B80F61"/>
    <w:rPr>
      <w:lang w:val="en-GB" w:eastAsia="en-US"/>
    </w:rPr>
  </w:style>
  <w:style w:type="table" w:customStyle="1" w:styleId="TableGrid11">
    <w:name w:val="Table Grid11"/>
    <w:basedOn w:val="TableNormal"/>
    <w:next w:val="TableGrid"/>
    <w:rsid w:val="00B80F6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23GChar">
    <w:name w:val="_ H_2/3_G Char"/>
    <w:link w:val="H23G"/>
    <w:rsid w:val="00B80F61"/>
    <w:rPr>
      <w:b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B80F61"/>
    <w:pPr>
      <w:suppressAutoHyphens/>
      <w:spacing w:after="10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B80F61"/>
    <w:pPr>
      <w:suppressAutoHyphens/>
      <w:spacing w:after="100"/>
      <w:ind w:left="20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B80F61"/>
    <w:pPr>
      <w:suppressAutoHyphens/>
      <w:spacing w:after="100"/>
      <w:ind w:left="40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F6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F61"/>
    <w:rPr>
      <w:b/>
      <w:bCs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0F61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B80F61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B80F61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B80F61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B80F61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B80F61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B80F61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B80F61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character" w:styleId="BookTitle">
    <w:name w:val="Book Title"/>
    <w:basedOn w:val="DefaultParagraphFont"/>
    <w:uiPriority w:val="33"/>
    <w:rsid w:val="00B80F61"/>
    <w:rPr>
      <w:b/>
      <w:bCs/>
      <w:smallCaps/>
      <w:spacing w:val="5"/>
    </w:rPr>
  </w:style>
  <w:style w:type="paragraph" w:customStyle="1" w:styleId="ParaNo0">
    <w:name w:val="Para No"/>
    <w:basedOn w:val="Normal"/>
    <w:link w:val="ParaNoChar"/>
    <w:rsid w:val="00B80F61"/>
    <w:pPr>
      <w:numPr>
        <w:numId w:val="10"/>
      </w:numPr>
      <w:spacing w:after="240" w:line="240" w:lineRule="auto"/>
      <w:jc w:val="both"/>
    </w:pPr>
    <w:rPr>
      <w:rFonts w:eastAsia="SimSu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ParaNoChar">
    <w:name w:val="Para No Char"/>
    <w:link w:val="ParaNo0"/>
    <w:rsid w:val="00B80F61"/>
    <w:rPr>
      <w:rFonts w:eastAsia="SimSun"/>
      <w:sz w:val="24"/>
      <w:szCs w:val="24"/>
      <w:lang w:val="en-GB" w:eastAsia="en-US"/>
    </w:rPr>
  </w:style>
  <w:style w:type="paragraph" w:customStyle="1" w:styleId="Rom2">
    <w:name w:val="Rom2"/>
    <w:basedOn w:val="Normal"/>
    <w:rsid w:val="00B80F61"/>
    <w:pPr>
      <w:numPr>
        <w:numId w:val="11"/>
      </w:numPr>
      <w:spacing w:after="240" w:line="240" w:lineRule="auto"/>
    </w:pPr>
    <w:rPr>
      <w:rFonts w:eastAsia="SimSun" w:cs="Times New Roman"/>
      <w:spacing w:val="0"/>
      <w:w w:val="100"/>
      <w:kern w:val="0"/>
      <w:sz w:val="24"/>
      <w:szCs w:val="20"/>
      <w:lang w:val="en-GB" w:eastAsia="en-US"/>
    </w:rPr>
  </w:style>
  <w:style w:type="paragraph" w:customStyle="1" w:styleId="ParaNo">
    <w:name w:val="ParaNo."/>
    <w:basedOn w:val="Normal"/>
    <w:link w:val="ParaNoChar0"/>
    <w:rsid w:val="00B80F61"/>
    <w:pPr>
      <w:numPr>
        <w:numId w:val="12"/>
      </w:numPr>
      <w:tabs>
        <w:tab w:val="clear" w:pos="360"/>
        <w:tab w:val="left" w:pos="737"/>
      </w:tabs>
      <w:spacing w:after="240" w:line="240" w:lineRule="auto"/>
    </w:pPr>
    <w:rPr>
      <w:rFonts w:eastAsia="SimSun" w:cs="Times New Roman"/>
      <w:spacing w:val="0"/>
      <w:w w:val="100"/>
      <w:kern w:val="0"/>
      <w:sz w:val="24"/>
      <w:szCs w:val="20"/>
      <w:lang w:val="fr-CH" w:eastAsia="en-US"/>
    </w:rPr>
  </w:style>
  <w:style w:type="character" w:customStyle="1" w:styleId="ParaNoChar0">
    <w:name w:val="ParaNo. Char"/>
    <w:link w:val="ParaNo"/>
    <w:rsid w:val="00B80F61"/>
    <w:rPr>
      <w:rFonts w:eastAsia="SimSun"/>
      <w:sz w:val="24"/>
      <w:lang w:val="fr-CH" w:eastAsia="en-US"/>
    </w:rPr>
  </w:style>
  <w:style w:type="character" w:customStyle="1" w:styleId="apple-converted-space">
    <w:name w:val="apple-converted-space"/>
    <w:basedOn w:val="DefaultParagraphFont"/>
    <w:rsid w:val="00B80F61"/>
  </w:style>
  <w:style w:type="character" w:customStyle="1" w:styleId="Mathcad">
    <w:name w:val="Mathcad: обычный"/>
    <w:basedOn w:val="DefaultParagraphFont"/>
    <w:rsid w:val="00B80F61"/>
    <w:rPr>
      <w:sz w:val="20"/>
    </w:rPr>
  </w:style>
  <w:style w:type="paragraph" w:styleId="ListParagraph">
    <w:name w:val="List Paragraph"/>
    <w:basedOn w:val="Normal"/>
    <w:uiPriority w:val="34"/>
    <w:qFormat/>
    <w:rsid w:val="00B80F61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nece.org/index.php?id=45830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0B99gSeDXsPxIQkVZTWdaRThCbW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oter" Target="footer3.xml"/><Relationship Id="rId10" Type="http://schemas.openxmlformats.org/officeDocument/2006/relationships/hyperlink" Target="http://www.unece.org/trans/main/wp11/teststationsnew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de/agr/welcome.html" TargetMode="Externa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08A1-EEBB-44E5-B8D1-7848E458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11904</Words>
  <Characters>67855</Characters>
  <Application>Microsoft Office Word</Application>
  <DocSecurity>0</DocSecurity>
  <Lines>565</Lines>
  <Paragraphs>159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ECE/TRANS/WP.11/237</vt:lpstr>
      <vt:lpstr>ECE/TRANS/WP.11/237</vt:lpstr>
      <vt:lpstr>A/</vt:lpstr>
    </vt:vector>
  </TitlesOfParts>
  <Company>DCM</Company>
  <LinksUpToDate>false</LinksUpToDate>
  <CharactersWithSpaces>79600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ECE/TRANS/WP.11/237</dc:title>
  <dc:subject/>
  <dc:creator>Sharkina</dc:creator>
  <cp:keywords/>
  <cp:lastModifiedBy>Lucille Caillot</cp:lastModifiedBy>
  <cp:revision>2</cp:revision>
  <cp:lastPrinted>2018-01-15T14:53:00Z</cp:lastPrinted>
  <dcterms:created xsi:type="dcterms:W3CDTF">2018-01-22T12:43:00Z</dcterms:created>
  <dcterms:modified xsi:type="dcterms:W3CDTF">2018-01-22T12:43:00Z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