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F276B" w:rsidP="00BF276B">
            <w:pPr>
              <w:suppressAutoHyphens w:val="0"/>
              <w:spacing w:after="20"/>
              <w:jc w:val="right"/>
            </w:pPr>
            <w:r w:rsidRPr="00BF276B">
              <w:rPr>
                <w:sz w:val="40"/>
              </w:rPr>
              <w:t>ECE</w:t>
            </w:r>
            <w:r>
              <w:t>/TRANS/WP.11/2017/7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F276B" w:rsidP="00BF276B">
            <w:pPr>
              <w:suppressAutoHyphens w:val="0"/>
              <w:spacing w:before="240" w:line="240" w:lineRule="exact"/>
            </w:pPr>
            <w:r>
              <w:t>Distr.: General</w:t>
            </w:r>
          </w:p>
          <w:p w:rsidR="00BF276B" w:rsidRDefault="00BF276B" w:rsidP="00BF276B">
            <w:pPr>
              <w:suppressAutoHyphens w:val="0"/>
            </w:pPr>
            <w:r>
              <w:t>24 July 2017</w:t>
            </w:r>
          </w:p>
          <w:p w:rsidR="00BF276B" w:rsidRDefault="00BF276B" w:rsidP="00BF276B">
            <w:pPr>
              <w:suppressAutoHyphens w:val="0"/>
            </w:pPr>
            <w:r>
              <w:t>English</w:t>
            </w:r>
          </w:p>
          <w:p w:rsidR="00BF276B" w:rsidRDefault="00BF276B" w:rsidP="00BF276B">
            <w:pPr>
              <w:suppressAutoHyphens w:val="0"/>
            </w:pPr>
            <w:r>
              <w:t>Original: French</w:t>
            </w:r>
          </w:p>
        </w:tc>
      </w:tr>
    </w:tbl>
    <w:p w:rsidR="00F01E61" w:rsidRPr="00B93955" w:rsidRDefault="00F01E61" w:rsidP="00B93955">
      <w:pPr>
        <w:spacing w:before="120"/>
        <w:rPr>
          <w:b/>
          <w:sz w:val="28"/>
          <w:szCs w:val="28"/>
        </w:rPr>
      </w:pPr>
      <w:r w:rsidRPr="00B93955">
        <w:rPr>
          <w:b/>
          <w:sz w:val="28"/>
          <w:szCs w:val="28"/>
        </w:rPr>
        <w:t>Economic Commission for Europe</w:t>
      </w:r>
    </w:p>
    <w:p w:rsidR="00F01E61" w:rsidRPr="00B93955" w:rsidRDefault="00F01E61" w:rsidP="00B93955">
      <w:pPr>
        <w:spacing w:before="120"/>
        <w:rPr>
          <w:sz w:val="28"/>
          <w:szCs w:val="28"/>
        </w:rPr>
      </w:pPr>
      <w:r w:rsidRPr="00B93955">
        <w:rPr>
          <w:sz w:val="28"/>
          <w:szCs w:val="28"/>
        </w:rPr>
        <w:t>Inland Transport Committee</w:t>
      </w:r>
    </w:p>
    <w:p w:rsidR="00F01E61" w:rsidRPr="00B93955" w:rsidRDefault="00F01E61" w:rsidP="00B93955">
      <w:pPr>
        <w:spacing w:before="120"/>
        <w:rPr>
          <w:b/>
          <w:sz w:val="24"/>
          <w:szCs w:val="24"/>
        </w:rPr>
      </w:pPr>
      <w:r w:rsidRPr="00B93955">
        <w:rPr>
          <w:b/>
          <w:sz w:val="24"/>
          <w:szCs w:val="24"/>
        </w:rPr>
        <w:t>Working Party on the Transport of Perishable Foodstuffs</w:t>
      </w:r>
    </w:p>
    <w:p w:rsidR="00F01E61" w:rsidRPr="00B93955" w:rsidRDefault="00F01E61" w:rsidP="00B93955">
      <w:pPr>
        <w:spacing w:before="120"/>
        <w:rPr>
          <w:b/>
        </w:rPr>
      </w:pPr>
      <w:r w:rsidRPr="00B93955">
        <w:rPr>
          <w:b/>
        </w:rPr>
        <w:t>Seventy-third session</w:t>
      </w:r>
    </w:p>
    <w:p w:rsidR="00F01E61" w:rsidRPr="00ED1F95" w:rsidRDefault="00F01E61" w:rsidP="00F01E61">
      <w:r w:rsidRPr="00ED1F95">
        <w:t>Geneva, 10-13 October 2017</w:t>
      </w:r>
    </w:p>
    <w:p w:rsidR="00F01E61" w:rsidRPr="00ED1F95" w:rsidRDefault="00F01E61" w:rsidP="00F01E61">
      <w:r w:rsidRPr="00ED1F95">
        <w:t>Item 5</w:t>
      </w:r>
      <w:r w:rsidR="005C7544">
        <w:t xml:space="preserve"> </w:t>
      </w:r>
      <w:r w:rsidRPr="00ED1F95">
        <w:t>(b) of the agenda</w:t>
      </w:r>
    </w:p>
    <w:p w:rsidR="00F01E61" w:rsidRPr="00B93955" w:rsidRDefault="00F01E61" w:rsidP="00F01E61">
      <w:pPr>
        <w:rPr>
          <w:b/>
        </w:rPr>
      </w:pPr>
      <w:r w:rsidRPr="00B93955">
        <w:rPr>
          <w:b/>
        </w:rPr>
        <w:t>Proposals of amendments to ATP: New proposals</w:t>
      </w:r>
    </w:p>
    <w:p w:rsidR="00F01E61" w:rsidRPr="00ED1F95" w:rsidRDefault="00F01E61" w:rsidP="00B93955">
      <w:pPr>
        <w:pStyle w:val="HChG"/>
      </w:pPr>
      <w:r w:rsidRPr="00ED1F95">
        <w:tab/>
      </w:r>
      <w:r w:rsidR="00B93955">
        <w:tab/>
      </w:r>
      <w:r w:rsidRPr="00ED1F95">
        <w:t xml:space="preserve">Proposal to add requirements for the measurement of </w:t>
      </w:r>
      <w:r w:rsidR="00250C56">
        <w:br/>
      </w:r>
      <w:r w:rsidRPr="00ED1F95">
        <w:t>K values of fixed walls for multi-compartment equipment</w:t>
      </w:r>
    </w:p>
    <w:p w:rsidR="00F01E61" w:rsidRDefault="00F01E61" w:rsidP="00B93955">
      <w:pPr>
        <w:pStyle w:val="H1G"/>
      </w:pPr>
      <w:r w:rsidRPr="00ED1F95">
        <w:tab/>
      </w:r>
      <w:r w:rsidRPr="00ED1F95">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8E402B" w:rsidTr="008E402B">
        <w:trPr>
          <w:jc w:val="center"/>
        </w:trPr>
        <w:tc>
          <w:tcPr>
            <w:tcW w:w="9637" w:type="dxa"/>
            <w:tcBorders>
              <w:bottom w:val="nil"/>
            </w:tcBorders>
          </w:tcPr>
          <w:p w:rsidR="008E402B" w:rsidRPr="008E402B" w:rsidRDefault="008E402B" w:rsidP="008E402B">
            <w:pPr>
              <w:tabs>
                <w:tab w:val="left" w:pos="255"/>
              </w:tabs>
              <w:suppressAutoHyphens w:val="0"/>
              <w:spacing w:before="240" w:after="120"/>
              <w:rPr>
                <w:sz w:val="24"/>
              </w:rPr>
            </w:pPr>
            <w:r>
              <w:tab/>
            </w:r>
            <w:r>
              <w:rPr>
                <w:i/>
                <w:sz w:val="24"/>
              </w:rPr>
              <w:t>Summary</w:t>
            </w:r>
          </w:p>
        </w:tc>
      </w:tr>
      <w:tr w:rsidR="0014645B" w:rsidTr="008E402B">
        <w:trPr>
          <w:jc w:val="center"/>
        </w:trPr>
        <w:tc>
          <w:tcPr>
            <w:tcW w:w="9637" w:type="dxa"/>
            <w:tcBorders>
              <w:top w:val="nil"/>
              <w:bottom w:val="nil"/>
            </w:tcBorders>
            <w:shd w:val="clear" w:color="auto" w:fill="auto"/>
          </w:tcPr>
          <w:p w:rsidR="0014645B" w:rsidRPr="00ED1F95" w:rsidRDefault="0014645B" w:rsidP="0014645B">
            <w:pPr>
              <w:pStyle w:val="SingleTxtG"/>
              <w:spacing w:after="60"/>
              <w:ind w:left="2552" w:hanging="2268"/>
            </w:pPr>
            <w:r w:rsidRPr="0014645B">
              <w:rPr>
                <w:rFonts w:eastAsia="Times New Roman"/>
                <w:b/>
                <w:szCs w:val="22"/>
                <w:lang w:eastAsia="en-US"/>
              </w:rPr>
              <w:t>Executive summary</w:t>
            </w:r>
            <w:r w:rsidRPr="0014645B">
              <w:rPr>
                <w:rFonts w:eastAsia="Times New Roman"/>
                <w:szCs w:val="22"/>
                <w:lang w:eastAsia="en-US"/>
              </w:rPr>
              <w:t>:</w:t>
            </w:r>
            <w:r>
              <w:rPr>
                <w:rFonts w:eastAsia="Times New Roman"/>
                <w:szCs w:val="22"/>
                <w:lang w:eastAsia="en-US"/>
              </w:rPr>
              <w:tab/>
            </w:r>
            <w:r w:rsidRPr="0014645B">
              <w:rPr>
                <w:rFonts w:eastAsia="Times New Roman"/>
                <w:bCs/>
                <w:lang w:eastAsia="en-US"/>
              </w:rPr>
              <w:t>Annex 1, appendix 2, paragraph 7.3, of the ATP agreement sets out rules for the dimensioning of refrigerated multi-temperature equipment. To estimate the thermal losses between compartments, paragraph 7.3.7 sets thermal transfer coefficients (K coefficients) for internal dividing walls.</w:t>
            </w:r>
          </w:p>
        </w:tc>
      </w:tr>
      <w:tr w:rsidR="00D13C68" w:rsidTr="008E402B">
        <w:trPr>
          <w:jc w:val="center"/>
        </w:trPr>
        <w:tc>
          <w:tcPr>
            <w:tcW w:w="9637" w:type="dxa"/>
            <w:tcBorders>
              <w:top w:val="nil"/>
              <w:bottom w:val="nil"/>
            </w:tcBorders>
            <w:shd w:val="clear" w:color="auto" w:fill="auto"/>
          </w:tcPr>
          <w:p w:rsidR="00D13C68" w:rsidRPr="0014645B" w:rsidRDefault="00D13C68" w:rsidP="0014645B">
            <w:pPr>
              <w:pStyle w:val="SingleTxtG"/>
              <w:spacing w:after="60"/>
              <w:ind w:left="2552" w:hanging="2268"/>
              <w:rPr>
                <w:rFonts w:eastAsia="Times New Roman"/>
                <w:b/>
                <w:szCs w:val="22"/>
                <w:lang w:eastAsia="en-US"/>
              </w:rPr>
            </w:pPr>
            <w:r>
              <w:rPr>
                <w:rFonts w:eastAsia="Times New Roman"/>
                <w:bCs/>
                <w:lang w:eastAsia="en-US"/>
              </w:rPr>
              <w:tab/>
            </w:r>
            <w:r w:rsidRPr="0014645B">
              <w:rPr>
                <w:rFonts w:eastAsia="Times New Roman"/>
                <w:bCs/>
                <w:lang w:eastAsia="en-US"/>
              </w:rPr>
              <w:t>The aim of this proposal is to introduce the possibility of measuring the actual heat transfer coefficient of fixed internal dividing walls rather than using these set values. The proposal also sets out the test method to be used for such measurement.</w:t>
            </w:r>
          </w:p>
        </w:tc>
      </w:tr>
      <w:tr w:rsidR="00692001" w:rsidTr="008E402B">
        <w:trPr>
          <w:jc w:val="center"/>
        </w:trPr>
        <w:tc>
          <w:tcPr>
            <w:tcW w:w="9637" w:type="dxa"/>
            <w:tcBorders>
              <w:top w:val="nil"/>
              <w:bottom w:val="nil"/>
            </w:tcBorders>
            <w:shd w:val="clear" w:color="auto" w:fill="auto"/>
          </w:tcPr>
          <w:p w:rsidR="00692001" w:rsidRDefault="00692001" w:rsidP="0014645B">
            <w:pPr>
              <w:pStyle w:val="SingleTxtG"/>
              <w:spacing w:after="60"/>
              <w:ind w:left="2552" w:hanging="2268"/>
              <w:rPr>
                <w:rFonts w:eastAsia="Times New Roman"/>
                <w:bCs/>
                <w:lang w:eastAsia="en-US"/>
              </w:rPr>
            </w:pPr>
            <w:r w:rsidRPr="004F0D24">
              <w:rPr>
                <w:b/>
                <w:szCs w:val="22"/>
              </w:rPr>
              <w:t>Action to be taken</w:t>
            </w:r>
            <w:r>
              <w:rPr>
                <w:szCs w:val="22"/>
              </w:rPr>
              <w:t>:</w:t>
            </w:r>
            <w:r>
              <w:rPr>
                <w:szCs w:val="22"/>
              </w:rPr>
              <w:tab/>
            </w:r>
            <w:r w:rsidRPr="0014645B">
              <w:rPr>
                <w:rFonts w:eastAsia="Times New Roman"/>
                <w:bCs/>
                <w:lang w:eastAsia="en-US"/>
              </w:rPr>
              <w:t>Amend the wording of annex 1, appendix 2, paragraph 7.3.7, of ATP.</w:t>
            </w:r>
          </w:p>
        </w:tc>
      </w:tr>
      <w:tr w:rsidR="00146434" w:rsidTr="008E402B">
        <w:trPr>
          <w:jc w:val="center"/>
        </w:trPr>
        <w:tc>
          <w:tcPr>
            <w:tcW w:w="9637" w:type="dxa"/>
            <w:tcBorders>
              <w:top w:val="nil"/>
              <w:bottom w:val="nil"/>
            </w:tcBorders>
            <w:shd w:val="clear" w:color="auto" w:fill="auto"/>
          </w:tcPr>
          <w:p w:rsidR="00146434" w:rsidRPr="00146434" w:rsidRDefault="00146434" w:rsidP="0014645B">
            <w:pPr>
              <w:pStyle w:val="SingleTxtG"/>
              <w:spacing w:after="60"/>
              <w:ind w:left="2552" w:hanging="2268"/>
              <w:rPr>
                <w:b/>
                <w:szCs w:val="22"/>
              </w:rPr>
            </w:pPr>
            <w:r w:rsidRPr="00146434">
              <w:rPr>
                <w:b/>
              </w:rPr>
              <w:t>Related documents</w:t>
            </w:r>
            <w:r w:rsidRPr="00146434">
              <w:t>:</w:t>
            </w:r>
            <w:r>
              <w:tab/>
            </w:r>
            <w:r w:rsidRPr="0014645B">
              <w:rPr>
                <w:rFonts w:eastAsia="Times New Roman"/>
                <w:bCs/>
                <w:lang w:eastAsia="en-US"/>
              </w:rPr>
              <w:t>Other key documents are listed.</w:t>
            </w:r>
          </w:p>
        </w:tc>
      </w:tr>
      <w:tr w:rsidR="0014645B" w:rsidTr="008E402B">
        <w:trPr>
          <w:jc w:val="center"/>
        </w:trPr>
        <w:tc>
          <w:tcPr>
            <w:tcW w:w="9637" w:type="dxa"/>
            <w:tcBorders>
              <w:top w:val="nil"/>
            </w:tcBorders>
          </w:tcPr>
          <w:p w:rsidR="0014645B" w:rsidRDefault="0014645B" w:rsidP="0014645B">
            <w:pPr>
              <w:suppressAutoHyphens w:val="0"/>
            </w:pPr>
          </w:p>
        </w:tc>
      </w:tr>
    </w:tbl>
    <w:p w:rsidR="00F01E61" w:rsidRPr="00ED1F95" w:rsidRDefault="00F01E61" w:rsidP="00F72834">
      <w:pPr>
        <w:pStyle w:val="HChG"/>
      </w:pPr>
      <w:r w:rsidRPr="00ED1F95">
        <w:br w:type="page"/>
      </w:r>
      <w:r w:rsidRPr="00ED1F95">
        <w:lastRenderedPageBreak/>
        <w:tab/>
      </w:r>
      <w:r w:rsidRPr="00ED1F95">
        <w:tab/>
        <w:t>Introduction</w:t>
      </w:r>
    </w:p>
    <w:p w:rsidR="00F01E61" w:rsidRPr="00ED1F95" w:rsidRDefault="00F01E61" w:rsidP="00F72834">
      <w:pPr>
        <w:pStyle w:val="SingleTxtG"/>
      </w:pPr>
      <w:r w:rsidRPr="00ED1F95">
        <w:t>1.</w:t>
      </w:r>
      <w:r w:rsidRPr="00ED1F95">
        <w:tab/>
        <w:t>Annex 1, appendix 2, paragraph 7.3.7, of ATP establishes the values of the coefficient of heat transfer (K coefficient) of removable and fixed internal dividing walls. These coefficients take into account two types of factors:</w:t>
      </w:r>
    </w:p>
    <w:p w:rsidR="00F01E61" w:rsidRPr="00ED1F95" w:rsidRDefault="00F01E61" w:rsidP="00CC358C">
      <w:pPr>
        <w:pStyle w:val="Bullet1G"/>
      </w:pPr>
      <w:r w:rsidRPr="00ED1F95">
        <w:t xml:space="preserve">Positioning in the transport equipment; and </w:t>
      </w:r>
    </w:p>
    <w:p w:rsidR="00F01E61" w:rsidRPr="00ED1F95" w:rsidRDefault="00F01E61" w:rsidP="00CC358C">
      <w:pPr>
        <w:pStyle w:val="Bullet1G"/>
      </w:pPr>
      <w:r w:rsidRPr="00ED1F95">
        <w:t>Type of material covering the surface of the floor under the dividing walls.</w:t>
      </w:r>
    </w:p>
    <w:p w:rsidR="00F01E61" w:rsidRPr="00ED1F95" w:rsidRDefault="00F01E61" w:rsidP="00F72834">
      <w:pPr>
        <w:pStyle w:val="SingleTxtG"/>
      </w:pPr>
      <w:r w:rsidRPr="00ED1F95">
        <w:t>In order to verify the value of these coefficients, ATP requires minimum foam thicknesses for the dividing walls.</w:t>
      </w:r>
    </w:p>
    <w:p w:rsidR="00F01E61" w:rsidRPr="00ED1F95" w:rsidRDefault="00F01E61" w:rsidP="00F72834">
      <w:pPr>
        <w:pStyle w:val="SingleTxtG"/>
      </w:pPr>
      <w:r w:rsidRPr="00ED1F95">
        <w:t>2.</w:t>
      </w:r>
      <w:r w:rsidRPr="00ED1F95">
        <w:tab/>
        <w:t>The values of the coefficients given in ATP are pre-established and go well beyond actual needs. The requirements do not allow for differentiation between the quality of dividing walls</w:t>
      </w:r>
      <w:r w:rsidR="0000686D">
        <w:t>’</w:t>
      </w:r>
      <w:r w:rsidRPr="00ED1F95">
        <w:t xml:space="preserve"> thermal insulation for a given use; they provide no incentive to use dividing walls with improved thermal insulation and thus with higher K coefficients.</w:t>
      </w:r>
    </w:p>
    <w:p w:rsidR="00F01E61" w:rsidRPr="00ED1F95" w:rsidRDefault="00F01E61" w:rsidP="00F72834">
      <w:pPr>
        <w:pStyle w:val="SingleTxtG"/>
      </w:pPr>
      <w:r w:rsidRPr="00ED1F95">
        <w:t>3.</w:t>
      </w:r>
      <w:r w:rsidRPr="00ED1F95">
        <w:tab/>
        <w:t>It would be useful, in addition to the pre-established K coefficient values, to include a method for measuring the K coefficients of the dividing walls.</w:t>
      </w:r>
    </w:p>
    <w:p w:rsidR="00F01E61" w:rsidRPr="00ED1F95" w:rsidRDefault="00F01E61" w:rsidP="00F72834">
      <w:pPr>
        <w:pStyle w:val="SingleTxtG"/>
      </w:pPr>
      <w:r w:rsidRPr="00ED1F95">
        <w:t>4.</w:t>
      </w:r>
      <w:r w:rsidRPr="00ED1F95">
        <w:tab/>
        <w:t xml:space="preserve">This proposal deals only with fixed dividing walls. </w:t>
      </w:r>
    </w:p>
    <w:p w:rsidR="00F01E61" w:rsidRPr="00ED1F95" w:rsidRDefault="00F01E61" w:rsidP="00F22EFB">
      <w:pPr>
        <w:pStyle w:val="HChG"/>
      </w:pPr>
      <w:r w:rsidRPr="00ED1F95">
        <w:tab/>
        <w:t>I.</w:t>
      </w:r>
      <w:r w:rsidRPr="00ED1F95">
        <w:tab/>
        <w:t>Proposal</w:t>
      </w:r>
    </w:p>
    <w:p w:rsidR="00F01E61" w:rsidRPr="00ED1F95" w:rsidRDefault="00F01E61" w:rsidP="00F72834">
      <w:pPr>
        <w:pStyle w:val="SingleTxtG"/>
      </w:pPr>
      <w:r w:rsidRPr="00ED1F95">
        <w:t>5.</w:t>
      </w:r>
      <w:r w:rsidRPr="00ED1F95">
        <w:tab/>
        <w:t>This proposal introduces a test methodology to measure the dividing walls</w:t>
      </w:r>
      <w:r w:rsidR="0000686D">
        <w:t>’</w:t>
      </w:r>
      <w:r w:rsidRPr="00ED1F95">
        <w:t xml:space="preserve"> heat transfer coefficients. The methodology is to be included in paragraph 7.3.7 as a method producing results that can be used instead of the default K coefficient values set forth for fixed dividing walls. Removable dividing walls are excluded because of the mechanical wear to which they are subjected during use, which affects their thermal insulation capacity.</w:t>
      </w:r>
    </w:p>
    <w:p w:rsidR="00F01E61" w:rsidRPr="00ED1F95" w:rsidRDefault="00F01E61" w:rsidP="00F72834">
      <w:pPr>
        <w:pStyle w:val="SingleTxtG"/>
      </w:pPr>
      <w:r w:rsidRPr="00ED1F95">
        <w:t>6.</w:t>
      </w:r>
      <w:r w:rsidRPr="00ED1F95">
        <w:tab/>
        <w:t xml:space="preserve">The test methodology is based on the one described in annex 1, appendix 2, section 2, of ATP, entitled </w:t>
      </w:r>
      <w:r w:rsidR="0000686D">
        <w:t>“</w:t>
      </w:r>
      <w:r w:rsidRPr="00ED1F95">
        <w:t>Insulating capacity of equipment</w:t>
      </w:r>
      <w:r w:rsidR="0000686D">
        <w:t>”</w:t>
      </w:r>
      <w:r w:rsidRPr="00ED1F95">
        <w:t>, in the version validated on 30 September 2015.</w:t>
      </w:r>
    </w:p>
    <w:p w:rsidR="00F01E61" w:rsidRPr="00ED1F95" w:rsidRDefault="00F01E61" w:rsidP="00F72834">
      <w:pPr>
        <w:pStyle w:val="SingleTxtG"/>
      </w:pPr>
      <w:r w:rsidRPr="00ED1F95">
        <w:t>7.</w:t>
      </w:r>
      <w:r w:rsidRPr="00ED1F95">
        <w:tab/>
        <w:t>By adding an amendment to paragraph 7.3.7, it introduces adjustments required to meet the need to:</w:t>
      </w:r>
    </w:p>
    <w:p w:rsidR="00F01E61" w:rsidRPr="00ED1F95" w:rsidRDefault="00F01E61" w:rsidP="00A33445">
      <w:pPr>
        <w:pStyle w:val="Bullet1G"/>
      </w:pPr>
      <w:r w:rsidRPr="00ED1F95">
        <w:t>adapt the test method for multi-temperature mechanical refrigeration units in paragraph 7.2 so as to include the multiple evaporator refrigeration units thus included in ATP</w:t>
      </w:r>
      <w:r w:rsidR="00E37721">
        <w:t>;</w:t>
      </w:r>
      <w:r w:rsidRPr="00ED1F95">
        <w:t xml:space="preserve"> and</w:t>
      </w:r>
    </w:p>
    <w:p w:rsidR="00F01E61" w:rsidRPr="00ED1F95" w:rsidRDefault="00F01E61" w:rsidP="00A33445">
      <w:pPr>
        <w:pStyle w:val="Bullet1G"/>
      </w:pPr>
      <w:r w:rsidRPr="00ED1F95">
        <w:t>encourage manufacturers to propose better solutions for compartmentalized transport units meeting ATP requirements</w:t>
      </w:r>
      <w:r w:rsidR="00E37721">
        <w:t>.</w:t>
      </w:r>
    </w:p>
    <w:p w:rsidR="00F01E61" w:rsidRPr="00ED1F95" w:rsidRDefault="00F01E61" w:rsidP="00A33445">
      <w:pPr>
        <w:pStyle w:val="SingleTxtG"/>
      </w:pPr>
      <w:r w:rsidRPr="00ED1F95">
        <w:t>The methodology is based on:</w:t>
      </w:r>
    </w:p>
    <w:p w:rsidR="00F01E61" w:rsidRPr="00ED1F95" w:rsidRDefault="00F01E61" w:rsidP="00A33445">
      <w:pPr>
        <w:pStyle w:val="Bullet1G"/>
      </w:pPr>
      <w:r w:rsidRPr="00ED1F95">
        <w:t>establishment of a controlled heat flux through a removable or fixed internal dividing wall whose K coefficient is to be determined</w:t>
      </w:r>
      <w:r w:rsidR="00E37721">
        <w:t>;</w:t>
      </w:r>
    </w:p>
    <w:p w:rsidR="00F01E61" w:rsidRPr="00ED1F95" w:rsidRDefault="00F01E61" w:rsidP="00A33445">
      <w:pPr>
        <w:pStyle w:val="Bullet1G"/>
      </w:pPr>
      <w:r w:rsidRPr="00ED1F95">
        <w:t>cancellation of heat fluxes from all other sides, be they internal or external, if they are not part of the removable or fixed internal dividing wall whose value is being determined.</w:t>
      </w:r>
    </w:p>
    <w:p w:rsidR="00F01E61" w:rsidRPr="00ED1F95" w:rsidRDefault="00F01E61" w:rsidP="009714B1">
      <w:pPr>
        <w:pStyle w:val="SingleTxtG"/>
        <w:keepNext/>
        <w:keepLines/>
      </w:pPr>
      <w:r w:rsidRPr="00ED1F95">
        <w:lastRenderedPageBreak/>
        <w:t>The two examples below explain the method for different configurations:</w:t>
      </w:r>
    </w:p>
    <w:p w:rsidR="00F01E61" w:rsidRPr="00ED1F95" w:rsidRDefault="00F01E61" w:rsidP="00F72834">
      <w:pPr>
        <w:pStyle w:val="SingleTxtG"/>
      </w:pPr>
      <w:r w:rsidRPr="00ED1F95">
        <w:rPr>
          <w:noProof/>
          <w:lang w:eastAsia="en-GB"/>
        </w:rPr>
        <w:drawing>
          <wp:inline distT="0" distB="0" distL="0" distR="0" wp14:anchorId="30F13318" wp14:editId="3041E7F3">
            <wp:extent cx="4674235" cy="150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6447" t="26775" r="17296" b="48691"/>
                    <a:stretch>
                      <a:fillRect/>
                    </a:stretch>
                  </pic:blipFill>
                  <pic:spPr bwMode="auto">
                    <a:xfrm>
                      <a:off x="0" y="0"/>
                      <a:ext cx="4674235" cy="1508125"/>
                    </a:xfrm>
                    <a:prstGeom prst="rect">
                      <a:avLst/>
                    </a:prstGeom>
                    <a:solidFill>
                      <a:srgbClr val="FFFFFF"/>
                    </a:solidFill>
                    <a:ln>
                      <a:noFill/>
                    </a:ln>
                  </pic:spPr>
                </pic:pic>
              </a:graphicData>
            </a:graphic>
          </wp:inline>
        </w:drawing>
      </w:r>
    </w:p>
    <w:p w:rsidR="00F01E61" w:rsidRPr="00ED1F95" w:rsidRDefault="00F01E61" w:rsidP="00F72834">
      <w:pPr>
        <w:pStyle w:val="SingleTxtG"/>
      </w:pPr>
      <w:r w:rsidRPr="00ED1F95">
        <w:t xml:space="preserve">Where </w:t>
      </w:r>
      <w:r w:rsidR="0000686D">
        <w:t>“</w:t>
      </w:r>
      <w:r w:rsidRPr="00ED1F95">
        <w:t>Cp. No.X</w:t>
      </w:r>
      <w:r w:rsidR="0000686D">
        <w:t>”</w:t>
      </w:r>
      <w:r w:rsidRPr="00ED1F95">
        <w:t xml:space="preserve"> means compartment number X.</w:t>
      </w:r>
    </w:p>
    <w:p w:rsidR="00F01E61" w:rsidRPr="00ED1F95" w:rsidRDefault="00F01E61" w:rsidP="00924F27">
      <w:pPr>
        <w:pStyle w:val="H23G"/>
      </w:pPr>
      <w:r w:rsidRPr="00ED1F95">
        <w:tab/>
      </w:r>
      <w:r w:rsidRPr="00ED1F95">
        <w:tab/>
        <w:t>Proposed amendment to ATP</w:t>
      </w:r>
    </w:p>
    <w:p w:rsidR="00F01E61" w:rsidRPr="00ED1F95" w:rsidRDefault="00F01E61" w:rsidP="00F72834">
      <w:pPr>
        <w:pStyle w:val="SingleTxtG"/>
      </w:pPr>
      <w:r w:rsidRPr="00ED1F95">
        <w:t>8.</w:t>
      </w:r>
      <w:r w:rsidRPr="00ED1F95">
        <w:tab/>
        <w:t>It is proposed to amend annex 1, appendix 2, paragraph 7.3.7, of ATP with the following text:</w:t>
      </w:r>
    </w:p>
    <w:p w:rsidR="00F01E61" w:rsidRPr="00ED1F95" w:rsidRDefault="00F01E61" w:rsidP="007D23C9">
      <w:pPr>
        <w:pStyle w:val="H23G"/>
        <w:tabs>
          <w:tab w:val="left" w:pos="2268"/>
        </w:tabs>
      </w:pPr>
      <w:r w:rsidRPr="00ED1F95">
        <w:tab/>
      </w:r>
      <w:r w:rsidRPr="00ED1F95">
        <w:tab/>
      </w:r>
      <w:r w:rsidR="0000686D">
        <w:t>“</w:t>
      </w:r>
      <w:r w:rsidRPr="00ED1F95">
        <w:t>7.3.7</w:t>
      </w:r>
      <w:r w:rsidR="007D23C9">
        <w:tab/>
      </w:r>
      <w:r w:rsidRPr="00ED1F95">
        <w:tab/>
        <w:t>Internal dividing walls</w:t>
      </w:r>
    </w:p>
    <w:p w:rsidR="00F01E61" w:rsidRPr="00ED1F95" w:rsidRDefault="00F01E61" w:rsidP="007D23C9">
      <w:pPr>
        <w:pStyle w:val="H23G"/>
        <w:tabs>
          <w:tab w:val="left" w:pos="2268"/>
        </w:tabs>
      </w:pPr>
      <w:r w:rsidRPr="00ED1F95">
        <w:tab/>
      </w:r>
      <w:r w:rsidRPr="00ED1F95">
        <w:tab/>
        <w:t>7.3.7.1</w:t>
      </w:r>
      <w:r w:rsidRPr="00ED1F95">
        <w:tab/>
      </w:r>
      <w:r w:rsidR="007D23C9">
        <w:tab/>
      </w:r>
      <w:r w:rsidRPr="00ED1F95">
        <w:t>General requirements</w:t>
      </w:r>
    </w:p>
    <w:p w:rsidR="00F01E61" w:rsidRPr="00ED1F95" w:rsidRDefault="00F01E61" w:rsidP="00F72834">
      <w:pPr>
        <w:pStyle w:val="SingleTxtG"/>
      </w:pPr>
      <w:r w:rsidRPr="00ED1F95">
        <w:t>Thermal losses through internal dividing walls shall be calculated using the K coefficients in the following table. For fixed dividing walls, the pre-established values of the table may be replaced with K coefficients measured according to the test methodology under 7.3.7.3.</w:t>
      </w:r>
    </w:p>
    <w:p w:rsidR="00F01E61" w:rsidRPr="00ED1F95" w:rsidRDefault="00F01E61" w:rsidP="00351932">
      <w:pPr>
        <w:pStyle w:val="H23G"/>
        <w:tabs>
          <w:tab w:val="left" w:pos="2268"/>
        </w:tabs>
        <w:spacing w:after="240"/>
      </w:pPr>
      <w:r w:rsidRPr="00ED1F95">
        <w:tab/>
      </w:r>
      <w:r w:rsidRPr="00ED1F95">
        <w:tab/>
        <w:t>7.3.7.2</w:t>
      </w:r>
      <w:r w:rsidR="007D23C9">
        <w:tab/>
      </w:r>
      <w:r w:rsidRPr="00ED1F95">
        <w:tab/>
        <w:t xml:space="preserve">Pre-established K coefficient values of internal dividing walls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1134"/>
        <w:gridCol w:w="1134"/>
        <w:gridCol w:w="1417"/>
      </w:tblGrid>
      <w:tr w:rsidR="0036184A" w:rsidRPr="00AA0AC2" w:rsidTr="0036184A">
        <w:trPr>
          <w:tblHeader/>
        </w:trPr>
        <w:tc>
          <w:tcPr>
            <w:tcW w:w="3685" w:type="dxa"/>
            <w:tcBorders>
              <w:top w:val="single" w:sz="4" w:space="0" w:color="auto"/>
              <w:bottom w:val="nil"/>
            </w:tcBorders>
            <w:shd w:val="clear" w:color="auto" w:fill="auto"/>
            <w:tcMar>
              <w:top w:w="0" w:type="dxa"/>
              <w:left w:w="0" w:type="dxa"/>
              <w:bottom w:w="0" w:type="dxa"/>
              <w:right w:w="0" w:type="dxa"/>
            </w:tcMar>
            <w:vAlign w:val="bottom"/>
          </w:tcPr>
          <w:p w:rsidR="0036184A" w:rsidRPr="00AA0AC2" w:rsidRDefault="0036184A" w:rsidP="00AA0AC2">
            <w:pPr>
              <w:pStyle w:val="SingleTxtG"/>
              <w:suppressAutoHyphens w:val="0"/>
              <w:spacing w:before="80" w:after="80" w:line="200" w:lineRule="exact"/>
              <w:ind w:left="0" w:right="113"/>
              <w:jc w:val="left"/>
              <w:rPr>
                <w:i/>
                <w:sz w:val="16"/>
              </w:rPr>
            </w:pPr>
          </w:p>
        </w:tc>
        <w:tc>
          <w:tcPr>
            <w:tcW w:w="2268"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rsidR="0036184A" w:rsidRPr="00AA0AC2" w:rsidRDefault="0036184A" w:rsidP="001243D5">
            <w:pPr>
              <w:pStyle w:val="SingleTxtG"/>
              <w:suppressAutoHyphens w:val="0"/>
              <w:spacing w:before="80" w:after="80" w:line="200" w:lineRule="exact"/>
              <w:ind w:left="0" w:right="113"/>
              <w:jc w:val="center"/>
              <w:rPr>
                <w:i/>
                <w:sz w:val="16"/>
              </w:rPr>
            </w:pPr>
            <w:r w:rsidRPr="00AA0AC2">
              <w:rPr>
                <w:i/>
                <w:sz w:val="16"/>
              </w:rPr>
              <w:t xml:space="preserve">K coefficient </w:t>
            </w:r>
            <w:r>
              <w:rPr>
                <w:i/>
                <w:sz w:val="16"/>
              </w:rPr>
              <w:t>—</w:t>
            </w:r>
            <w:r w:rsidRPr="00AA0AC2">
              <w:rPr>
                <w:i/>
                <w:sz w:val="16"/>
              </w:rPr>
              <w:t xml:space="preserve"> [W/m²K]</w:t>
            </w:r>
          </w:p>
        </w:tc>
        <w:tc>
          <w:tcPr>
            <w:tcW w:w="1417" w:type="dxa"/>
            <w:vMerge w:val="restart"/>
            <w:tcBorders>
              <w:top w:val="single" w:sz="4" w:space="0" w:color="auto"/>
            </w:tcBorders>
            <w:shd w:val="clear" w:color="auto" w:fill="auto"/>
            <w:tcMar>
              <w:top w:w="0" w:type="dxa"/>
              <w:left w:w="0" w:type="dxa"/>
              <w:bottom w:w="0" w:type="dxa"/>
              <w:right w:w="0" w:type="dxa"/>
            </w:tcMar>
            <w:vAlign w:val="bottom"/>
          </w:tcPr>
          <w:p w:rsidR="0036184A" w:rsidRPr="00AA0AC2" w:rsidRDefault="0036184A" w:rsidP="00AA0AC2">
            <w:pPr>
              <w:pStyle w:val="SingleTxtG"/>
              <w:suppressAutoHyphens w:val="0"/>
              <w:spacing w:before="80" w:after="80" w:line="200" w:lineRule="exact"/>
              <w:ind w:left="0" w:right="113"/>
              <w:jc w:val="right"/>
              <w:rPr>
                <w:i/>
                <w:sz w:val="16"/>
              </w:rPr>
            </w:pPr>
            <w:r w:rsidRPr="00AA0AC2">
              <w:rPr>
                <w:i/>
                <w:sz w:val="16"/>
              </w:rPr>
              <w:t>Minimum foam thickness</w:t>
            </w:r>
            <w:r>
              <w:rPr>
                <w:i/>
                <w:sz w:val="16"/>
              </w:rPr>
              <w:br/>
            </w:r>
            <w:r w:rsidRPr="0036184A">
              <w:rPr>
                <w:i/>
                <w:sz w:val="16"/>
              </w:rPr>
              <w:t>[mm]</w:t>
            </w:r>
          </w:p>
        </w:tc>
      </w:tr>
      <w:tr w:rsidR="0036184A" w:rsidRPr="00AA0AC2" w:rsidTr="00307457">
        <w:tc>
          <w:tcPr>
            <w:tcW w:w="3685" w:type="dxa"/>
            <w:tcBorders>
              <w:top w:val="nil"/>
              <w:bottom w:val="single" w:sz="12" w:space="0" w:color="auto"/>
            </w:tcBorders>
            <w:shd w:val="clear" w:color="auto" w:fill="auto"/>
            <w:tcMar>
              <w:top w:w="0" w:type="dxa"/>
              <w:left w:w="0" w:type="dxa"/>
              <w:bottom w:w="0" w:type="dxa"/>
              <w:right w:w="0" w:type="dxa"/>
            </w:tcMar>
          </w:tcPr>
          <w:p w:rsidR="0036184A" w:rsidRPr="00AA0AC2" w:rsidRDefault="0036184A" w:rsidP="00AA0AC2">
            <w:pPr>
              <w:pStyle w:val="SingleTxtG"/>
              <w:suppressAutoHyphens w:val="0"/>
              <w:spacing w:before="40" w:after="40" w:line="220" w:lineRule="exact"/>
              <w:ind w:left="0" w:right="113"/>
              <w:jc w:val="left"/>
              <w:rPr>
                <w:sz w:val="18"/>
              </w:rPr>
            </w:pP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36184A" w:rsidRPr="0036184A" w:rsidRDefault="0036184A" w:rsidP="0036184A">
            <w:pPr>
              <w:pStyle w:val="SingleTxtG"/>
              <w:suppressAutoHyphens w:val="0"/>
              <w:spacing w:before="80" w:after="80" w:line="200" w:lineRule="exact"/>
              <w:ind w:left="0" w:right="113"/>
              <w:jc w:val="right"/>
              <w:rPr>
                <w:i/>
                <w:sz w:val="16"/>
              </w:rPr>
            </w:pPr>
            <w:r w:rsidRPr="0036184A">
              <w:rPr>
                <w:i/>
                <w:sz w:val="16"/>
              </w:rPr>
              <w:t>Fixed</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36184A" w:rsidRPr="0036184A" w:rsidRDefault="0036184A" w:rsidP="0036184A">
            <w:pPr>
              <w:pStyle w:val="SingleTxtG"/>
              <w:suppressAutoHyphens w:val="0"/>
              <w:spacing w:before="80" w:after="80" w:line="200" w:lineRule="exact"/>
              <w:ind w:left="0" w:right="113"/>
              <w:jc w:val="right"/>
              <w:rPr>
                <w:i/>
                <w:sz w:val="16"/>
              </w:rPr>
            </w:pPr>
            <w:r w:rsidRPr="0036184A">
              <w:rPr>
                <w:i/>
                <w:sz w:val="16"/>
              </w:rPr>
              <w:t>Removable</w:t>
            </w:r>
          </w:p>
        </w:tc>
        <w:tc>
          <w:tcPr>
            <w:tcW w:w="1417" w:type="dxa"/>
            <w:vMerge/>
            <w:tcBorders>
              <w:bottom w:val="single" w:sz="12" w:space="0" w:color="auto"/>
            </w:tcBorders>
            <w:shd w:val="clear" w:color="auto" w:fill="auto"/>
            <w:tcMar>
              <w:top w:w="0" w:type="dxa"/>
              <w:left w:w="0" w:type="dxa"/>
              <w:bottom w:w="0" w:type="dxa"/>
              <w:right w:w="0" w:type="dxa"/>
            </w:tcMar>
            <w:vAlign w:val="bottom"/>
          </w:tcPr>
          <w:p w:rsidR="0036184A" w:rsidRPr="0036184A" w:rsidRDefault="0036184A" w:rsidP="0036184A">
            <w:pPr>
              <w:pStyle w:val="SingleTxtG"/>
              <w:suppressAutoHyphens w:val="0"/>
              <w:spacing w:before="80" w:after="80" w:line="200" w:lineRule="exact"/>
              <w:ind w:left="0" w:right="113"/>
              <w:jc w:val="right"/>
              <w:rPr>
                <w:i/>
                <w:sz w:val="16"/>
              </w:rPr>
            </w:pPr>
          </w:p>
        </w:tc>
      </w:tr>
      <w:tr w:rsidR="00307457" w:rsidRPr="00AA0AC2" w:rsidTr="00307457">
        <w:tc>
          <w:tcPr>
            <w:tcW w:w="3685" w:type="dxa"/>
            <w:tcBorders>
              <w:top w:val="single" w:sz="12" w:space="0" w:color="auto"/>
            </w:tcBorders>
            <w:shd w:val="clear" w:color="auto" w:fill="auto"/>
            <w:tcMar>
              <w:top w:w="0" w:type="dxa"/>
              <w:left w:w="0" w:type="dxa"/>
              <w:bottom w:w="0" w:type="dxa"/>
              <w:right w:w="0" w:type="dxa"/>
            </w:tcMar>
          </w:tcPr>
          <w:p w:rsidR="00F01E61" w:rsidRPr="00AA0AC2" w:rsidRDefault="00F01E61" w:rsidP="00AA0AC2">
            <w:pPr>
              <w:pStyle w:val="SingleTxtG"/>
              <w:suppressAutoHyphens w:val="0"/>
              <w:spacing w:before="40" w:after="40" w:line="220" w:lineRule="exact"/>
              <w:ind w:left="0" w:right="113"/>
              <w:jc w:val="left"/>
              <w:rPr>
                <w:sz w:val="18"/>
              </w:rPr>
            </w:pPr>
            <w:r w:rsidRPr="00AA0AC2">
              <w:rPr>
                <w:sz w:val="18"/>
              </w:rPr>
              <w:t xml:space="preserve">Longitudinal </w:t>
            </w:r>
            <w:r w:rsidR="002A1A76">
              <w:rPr>
                <w:sz w:val="18"/>
              </w:rPr>
              <w:t>—</w:t>
            </w:r>
            <w:r w:rsidRPr="00AA0AC2">
              <w:rPr>
                <w:sz w:val="18"/>
              </w:rPr>
              <w:t xml:space="preserve"> alu floor</w:t>
            </w:r>
          </w:p>
          <w:p w:rsidR="00F01E61" w:rsidRPr="00AA0AC2" w:rsidRDefault="00F01E61" w:rsidP="002A1A76">
            <w:pPr>
              <w:pStyle w:val="SingleTxtG"/>
              <w:suppressAutoHyphens w:val="0"/>
              <w:spacing w:before="40" w:after="40" w:line="220" w:lineRule="exact"/>
              <w:ind w:left="0" w:right="113"/>
              <w:jc w:val="left"/>
              <w:rPr>
                <w:sz w:val="18"/>
              </w:rPr>
            </w:pPr>
            <w:r w:rsidRPr="00AA0AC2">
              <w:rPr>
                <w:sz w:val="18"/>
              </w:rPr>
              <w:t xml:space="preserve">Longitudinal </w:t>
            </w:r>
            <w:r w:rsidR="002A1A76">
              <w:rPr>
                <w:sz w:val="18"/>
              </w:rPr>
              <w:t>—</w:t>
            </w:r>
            <w:r w:rsidRPr="00AA0AC2">
              <w:rPr>
                <w:sz w:val="18"/>
              </w:rPr>
              <w:t xml:space="preserve"> GRP floor</w:t>
            </w:r>
          </w:p>
        </w:tc>
        <w:tc>
          <w:tcPr>
            <w:tcW w:w="1134" w:type="dxa"/>
            <w:tcBorders>
              <w:top w:val="single" w:sz="12" w:space="0" w:color="auto"/>
            </w:tcBorders>
            <w:shd w:val="clear" w:color="auto" w:fill="auto"/>
            <w:tcMar>
              <w:top w:w="0" w:type="dxa"/>
              <w:left w:w="0" w:type="dxa"/>
              <w:bottom w:w="0" w:type="dxa"/>
              <w:right w:w="0" w:type="dxa"/>
            </w:tcMar>
            <w:vAlign w:val="bottom"/>
          </w:tcPr>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2.0</w:t>
            </w:r>
          </w:p>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1.5</w:t>
            </w:r>
          </w:p>
        </w:tc>
        <w:tc>
          <w:tcPr>
            <w:tcW w:w="1134" w:type="dxa"/>
            <w:tcBorders>
              <w:top w:val="single" w:sz="12" w:space="0" w:color="auto"/>
            </w:tcBorders>
            <w:shd w:val="clear" w:color="auto" w:fill="auto"/>
            <w:tcMar>
              <w:top w:w="0" w:type="dxa"/>
              <w:left w:w="0" w:type="dxa"/>
              <w:bottom w:w="0" w:type="dxa"/>
              <w:right w:w="0" w:type="dxa"/>
            </w:tcMar>
            <w:vAlign w:val="bottom"/>
          </w:tcPr>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3.0</w:t>
            </w:r>
          </w:p>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2.0</w:t>
            </w:r>
          </w:p>
        </w:tc>
        <w:tc>
          <w:tcPr>
            <w:tcW w:w="1417" w:type="dxa"/>
            <w:tcBorders>
              <w:top w:val="single" w:sz="12" w:space="0" w:color="auto"/>
            </w:tcBorders>
            <w:shd w:val="clear" w:color="auto" w:fill="auto"/>
            <w:tcMar>
              <w:top w:w="0" w:type="dxa"/>
              <w:left w:w="0" w:type="dxa"/>
              <w:bottom w:w="0" w:type="dxa"/>
              <w:right w:w="0" w:type="dxa"/>
            </w:tcMar>
            <w:vAlign w:val="bottom"/>
          </w:tcPr>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25</w:t>
            </w:r>
          </w:p>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25</w:t>
            </w:r>
          </w:p>
        </w:tc>
      </w:tr>
      <w:tr w:rsidR="00307457" w:rsidRPr="00AA0AC2" w:rsidTr="00307457">
        <w:tc>
          <w:tcPr>
            <w:tcW w:w="3685" w:type="dxa"/>
            <w:shd w:val="clear" w:color="auto" w:fill="auto"/>
            <w:tcMar>
              <w:top w:w="0" w:type="dxa"/>
              <w:left w:w="0" w:type="dxa"/>
              <w:bottom w:w="0" w:type="dxa"/>
              <w:right w:w="0" w:type="dxa"/>
            </w:tcMar>
          </w:tcPr>
          <w:p w:rsidR="00F01E61" w:rsidRPr="00AA0AC2" w:rsidRDefault="00F01E61" w:rsidP="00AA0AC2">
            <w:pPr>
              <w:pStyle w:val="SingleTxtG"/>
              <w:suppressAutoHyphens w:val="0"/>
              <w:spacing w:before="40" w:after="40" w:line="220" w:lineRule="exact"/>
              <w:ind w:left="0" w:right="113"/>
              <w:jc w:val="left"/>
              <w:rPr>
                <w:sz w:val="18"/>
              </w:rPr>
            </w:pPr>
            <w:r w:rsidRPr="00AA0AC2">
              <w:rPr>
                <w:sz w:val="18"/>
              </w:rPr>
              <w:t xml:space="preserve">Longitudinal </w:t>
            </w:r>
            <w:r w:rsidR="002A1A76">
              <w:rPr>
                <w:sz w:val="18"/>
              </w:rPr>
              <w:t>—</w:t>
            </w:r>
            <w:r w:rsidRPr="00AA0AC2">
              <w:rPr>
                <w:sz w:val="18"/>
              </w:rPr>
              <w:t xml:space="preserve"> alu floor</w:t>
            </w:r>
          </w:p>
          <w:p w:rsidR="00F01E61" w:rsidRPr="00AA0AC2" w:rsidRDefault="00F01E61" w:rsidP="002A1A76">
            <w:pPr>
              <w:pStyle w:val="SingleTxtG"/>
              <w:suppressAutoHyphens w:val="0"/>
              <w:spacing w:before="40" w:after="40" w:line="220" w:lineRule="exact"/>
              <w:ind w:left="0" w:right="113"/>
              <w:jc w:val="left"/>
              <w:rPr>
                <w:sz w:val="18"/>
              </w:rPr>
            </w:pPr>
            <w:r w:rsidRPr="00AA0AC2">
              <w:rPr>
                <w:sz w:val="18"/>
              </w:rPr>
              <w:t xml:space="preserve">Longitudinal </w:t>
            </w:r>
            <w:r w:rsidR="002A1A76">
              <w:rPr>
                <w:sz w:val="18"/>
              </w:rPr>
              <w:t>—</w:t>
            </w:r>
            <w:r w:rsidRPr="00AA0AC2">
              <w:rPr>
                <w:sz w:val="18"/>
              </w:rPr>
              <w:t xml:space="preserve"> GRP floor</w:t>
            </w:r>
          </w:p>
        </w:tc>
        <w:tc>
          <w:tcPr>
            <w:tcW w:w="1134" w:type="dxa"/>
            <w:shd w:val="clear" w:color="auto" w:fill="auto"/>
            <w:tcMar>
              <w:top w:w="0" w:type="dxa"/>
              <w:left w:w="0" w:type="dxa"/>
              <w:bottom w:w="0" w:type="dxa"/>
              <w:right w:w="0" w:type="dxa"/>
            </w:tcMar>
            <w:vAlign w:val="bottom"/>
          </w:tcPr>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2.0</w:t>
            </w:r>
          </w:p>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1.5</w:t>
            </w:r>
          </w:p>
        </w:tc>
        <w:tc>
          <w:tcPr>
            <w:tcW w:w="1134" w:type="dxa"/>
            <w:shd w:val="clear" w:color="auto" w:fill="auto"/>
            <w:tcMar>
              <w:top w:w="0" w:type="dxa"/>
              <w:left w:w="0" w:type="dxa"/>
              <w:bottom w:w="0" w:type="dxa"/>
              <w:right w:w="0" w:type="dxa"/>
            </w:tcMar>
            <w:vAlign w:val="bottom"/>
          </w:tcPr>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3.2</w:t>
            </w:r>
          </w:p>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2.6</w:t>
            </w:r>
          </w:p>
        </w:tc>
        <w:tc>
          <w:tcPr>
            <w:tcW w:w="1417" w:type="dxa"/>
            <w:shd w:val="clear" w:color="auto" w:fill="auto"/>
            <w:tcMar>
              <w:top w:w="0" w:type="dxa"/>
              <w:left w:w="0" w:type="dxa"/>
              <w:bottom w:w="0" w:type="dxa"/>
              <w:right w:w="0" w:type="dxa"/>
            </w:tcMar>
            <w:vAlign w:val="bottom"/>
          </w:tcPr>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40</w:t>
            </w:r>
          </w:p>
          <w:p w:rsidR="00F01E61" w:rsidRPr="00AA0AC2" w:rsidRDefault="00F01E61" w:rsidP="00AA0AC2">
            <w:pPr>
              <w:pStyle w:val="SingleTxtG"/>
              <w:suppressAutoHyphens w:val="0"/>
              <w:spacing w:before="40" w:after="40" w:line="220" w:lineRule="exact"/>
              <w:ind w:left="0" w:right="113"/>
              <w:jc w:val="right"/>
              <w:rPr>
                <w:sz w:val="18"/>
              </w:rPr>
            </w:pPr>
            <w:r w:rsidRPr="00AA0AC2">
              <w:rPr>
                <w:sz w:val="18"/>
              </w:rPr>
              <w:t>40</w:t>
            </w:r>
          </w:p>
        </w:tc>
      </w:tr>
    </w:tbl>
    <w:p w:rsidR="00F01E61" w:rsidRPr="00ED1F95" w:rsidRDefault="00F01E61" w:rsidP="00B32A75">
      <w:pPr>
        <w:pStyle w:val="SingleTxtG"/>
        <w:spacing w:before="240"/>
      </w:pPr>
      <w:r w:rsidRPr="00ED1F95">
        <w:t xml:space="preserve">K coefficients of movable dividing walls include a safety margin for specific ageing and unavoidable thermal leakages. </w:t>
      </w:r>
    </w:p>
    <w:p w:rsidR="00F01E61" w:rsidRPr="00ED1F95" w:rsidRDefault="00F01E61" w:rsidP="00F72834">
      <w:pPr>
        <w:pStyle w:val="SingleTxtG"/>
      </w:pPr>
      <w:r w:rsidRPr="00ED1F95">
        <w:t>For specific designs with additional heat transfer caused by additional thermal bridges compared to a standard design, the partition K coefficient shall be increased.</w:t>
      </w:r>
    </w:p>
    <w:p w:rsidR="00F01E61" w:rsidRPr="00ED1F95" w:rsidRDefault="00B32A75" w:rsidP="00B32A75">
      <w:pPr>
        <w:pStyle w:val="H23G"/>
        <w:tabs>
          <w:tab w:val="left" w:pos="2268"/>
        </w:tabs>
      </w:pPr>
      <w:r>
        <w:tab/>
      </w:r>
      <w:r>
        <w:tab/>
      </w:r>
      <w:r w:rsidR="00F01E61" w:rsidRPr="00ED1F95">
        <w:t>7.3.7.3</w:t>
      </w:r>
      <w:r w:rsidR="00F01E61" w:rsidRPr="00ED1F95">
        <w:tab/>
      </w:r>
      <w:r w:rsidR="00F01E61" w:rsidRPr="00ED1F95">
        <w:tab/>
        <w:t>Measurements of the K coefficient of fixed internal dividing walls</w:t>
      </w:r>
    </w:p>
    <w:p w:rsidR="00F01E61" w:rsidRPr="00ED1F95" w:rsidRDefault="00F01E61" w:rsidP="00F72834">
      <w:pPr>
        <w:pStyle w:val="SingleTxtG"/>
      </w:pPr>
      <w:r w:rsidRPr="00ED1F95">
        <w:t>The K coefficient shall be measured in continuous operation either by the internal cooling method or by the internal heating method. In either case, the empty body shall be placed in an insulated chamber.</w:t>
      </w:r>
    </w:p>
    <w:p w:rsidR="00F01E61" w:rsidRPr="00ED1F95" w:rsidRDefault="00F01E61" w:rsidP="00F72834">
      <w:pPr>
        <w:pStyle w:val="SingleTxtG"/>
      </w:pPr>
      <w:r w:rsidRPr="00ED1F95">
        <w:t>The configuration of the equipment and internal temperatures in each compartment shall be selected in such a way that they allow only a single heat flux through the fixed internal dividing wall.</w:t>
      </w:r>
    </w:p>
    <w:p w:rsidR="00F01E61" w:rsidRPr="00ED1F95" w:rsidRDefault="00F01E61" w:rsidP="00F72834">
      <w:pPr>
        <w:pStyle w:val="SingleTxtG"/>
      </w:pPr>
      <w:r w:rsidRPr="00ED1F95">
        <w:t>In the case of:</w:t>
      </w:r>
    </w:p>
    <w:p w:rsidR="00F01E61" w:rsidRPr="00ED1F95" w:rsidRDefault="00F01E61" w:rsidP="00CA10D8">
      <w:pPr>
        <w:pStyle w:val="Bullet1G"/>
      </w:pPr>
      <w:r w:rsidRPr="00ED1F95">
        <w:t>Cooled compartments, one or more heat exchangers shall be placed inside the body;</w:t>
      </w:r>
    </w:p>
    <w:p w:rsidR="00F01E61" w:rsidRPr="00ED1F95" w:rsidRDefault="00F01E61" w:rsidP="00CA10D8">
      <w:pPr>
        <w:pStyle w:val="Bullet1G"/>
      </w:pPr>
      <w:r w:rsidRPr="00ED1F95">
        <w:t>Heated compartments, electrical heating appliances (resistors, etc.) shall be positioned in it, all in accordance with paragraphs 2.1.2 and 2.1.3 of this appendix, where the empty volume and the internal surfaces of the body respectively correspond with the empty volume and the internal surfaces of each of the compartments under consideration.</w:t>
      </w:r>
    </w:p>
    <w:p w:rsidR="00F01E61" w:rsidRPr="00ED1F95" w:rsidRDefault="00F01E61" w:rsidP="00F72834">
      <w:pPr>
        <w:pStyle w:val="SingleTxtG"/>
      </w:pPr>
      <w:r w:rsidRPr="00ED1F95">
        <w:lastRenderedPageBreak/>
        <w:t>The mean temperature of the insulated chamber shall throughout the test be kept uniform and constant in compliance with paragraph 1.7 of this appendix, at a level such that the temperature difference between the inside of the body and the insulated chamber is:</w:t>
      </w:r>
    </w:p>
    <w:p w:rsidR="00F01E61" w:rsidRPr="00ED1F95" w:rsidRDefault="00F01E61" w:rsidP="00E44AD0">
      <w:pPr>
        <w:pStyle w:val="Bullet1G"/>
      </w:pPr>
      <w:r w:rsidRPr="00ED1F95">
        <w:t xml:space="preserve">25 °C ± 1 K, the average temperature of the walls of the body for the compartment under consideration being maintained at + 20 °C ± </w:t>
      </w:r>
      <w:r w:rsidR="003C0A7B">
        <w:t>0.25 K, for compartments at 7.5 </w:t>
      </w:r>
      <w:r w:rsidRPr="00ED1F95">
        <w:t>°C; or</w:t>
      </w:r>
    </w:p>
    <w:p w:rsidR="00F01E61" w:rsidRPr="00ED1F95" w:rsidRDefault="00F01E61" w:rsidP="00E44AD0">
      <w:pPr>
        <w:pStyle w:val="Bullet1G"/>
      </w:pPr>
      <w:r w:rsidRPr="00ED1F95">
        <w:t>25 °C ± 1 K, the average temperature of the walls of the body for the compartment under consideration being maintained at + 32.5 °C ± 0.25 K, for compartments at 32.5 °C.</w:t>
      </w:r>
    </w:p>
    <w:p w:rsidR="00F01E61" w:rsidRPr="00ED1F95" w:rsidRDefault="00F01E61" w:rsidP="00F72834">
      <w:pPr>
        <w:pStyle w:val="SingleTxtG"/>
      </w:pPr>
      <w:r w:rsidRPr="00ED1F95">
        <w:t>The entire test shall be in conformity with paragraphs 2.1.5, 2.1.6, 2.1.7 and 2.1.8 of this appendix.</w:t>
      </w:r>
    </w:p>
    <w:p w:rsidR="00F01E61" w:rsidRPr="00ED1F95" w:rsidRDefault="00F01E61" w:rsidP="00F72834">
      <w:pPr>
        <w:pStyle w:val="SingleTxtG"/>
      </w:pPr>
      <w:r w:rsidRPr="00ED1F95">
        <w:t>The K coefficient of the fixed internal dividing wall shall be determined as follows:</w:t>
      </w:r>
    </w:p>
    <w:p w:rsidR="00F01E61" w:rsidRPr="00ED1F95" w:rsidRDefault="00F01E61" w:rsidP="00383B6F">
      <w:pPr>
        <w:pStyle w:val="SingleTxtG"/>
        <w:jc w:val="center"/>
      </w:pPr>
      <w:r>
        <w:rPr>
          <w:noProof/>
          <w:lang w:eastAsia="en-GB"/>
        </w:rPr>
        <w:drawing>
          <wp:inline distT="0" distB="0" distL="0" distR="0">
            <wp:extent cx="721360" cy="3556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360" cy="355600"/>
                    </a:xfrm>
                    <a:prstGeom prst="rect">
                      <a:avLst/>
                    </a:prstGeom>
                    <a:solidFill>
                      <a:srgbClr val="FFFFFF"/>
                    </a:solidFill>
                    <a:ln>
                      <a:noFill/>
                    </a:ln>
                  </pic:spPr>
                </pic:pic>
              </a:graphicData>
            </a:graphic>
          </wp:inline>
        </w:drawing>
      </w:r>
    </w:p>
    <w:p w:rsidR="00F01E61" w:rsidRPr="00ED1F95" w:rsidRDefault="00F01E61" w:rsidP="00F72834">
      <w:pPr>
        <w:pStyle w:val="SingleTxtG"/>
      </w:pPr>
      <w:r w:rsidRPr="00ED1F95">
        <w:t>where W is either the heating power or the cooling capacity, as the case may be, required to maintain a constant absolute temperature difference ΔT between the mean inside temperature Ti of the compartments closed by the removable or fixed internal dividing wall, when the mean outside temperature Te is constant for the ex</w:t>
      </w:r>
      <w:r w:rsidR="005C6D10">
        <w:t>change surface of dividing wall </w:t>
      </w:r>
      <w:r w:rsidRPr="00ED1F95">
        <w:t>S.</w:t>
      </w:r>
    </w:p>
    <w:p w:rsidR="00F01E61" w:rsidRPr="00ED1F95" w:rsidRDefault="00F01E61" w:rsidP="00F72834">
      <w:pPr>
        <w:pStyle w:val="SingleTxtG"/>
      </w:pPr>
      <w:r w:rsidRPr="00ED1F95">
        <w:t xml:space="preserve">The test reports shall mention the type of material covering the surface of the floor supporting the dividing wall. </w:t>
      </w:r>
    </w:p>
    <w:p w:rsidR="00F01E61" w:rsidRPr="00ED1F95" w:rsidRDefault="00F01E61" w:rsidP="00F72834">
      <w:pPr>
        <w:pStyle w:val="SingleTxtG"/>
      </w:pPr>
      <w:r w:rsidRPr="00ED1F95">
        <w:t>The uncertainty of the value of the K coefficient shall comply with the limits under paragraph 2.3.2 of this appendix.</w:t>
      </w:r>
      <w:r w:rsidR="0000686D">
        <w:t>”</w:t>
      </w:r>
    </w:p>
    <w:p w:rsidR="00F01E61" w:rsidRPr="00ED1F95" w:rsidRDefault="00F01E61" w:rsidP="00383B6F">
      <w:pPr>
        <w:pStyle w:val="HChG"/>
      </w:pPr>
      <w:r w:rsidRPr="00ED1F95">
        <w:tab/>
        <w:t>II.</w:t>
      </w:r>
      <w:r w:rsidRPr="00ED1F95">
        <w:tab/>
        <w:t>Justification</w:t>
      </w:r>
    </w:p>
    <w:tbl>
      <w:tblPr>
        <w:tblW w:w="7370" w:type="dxa"/>
        <w:tblInd w:w="1134" w:type="dxa"/>
        <w:tblLayout w:type="fixed"/>
        <w:tblCellMar>
          <w:left w:w="0" w:type="dxa"/>
          <w:right w:w="0" w:type="dxa"/>
        </w:tblCellMar>
        <w:tblLook w:val="0000" w:firstRow="0" w:lastRow="0" w:firstColumn="0" w:lastColumn="0" w:noHBand="0" w:noVBand="0"/>
      </w:tblPr>
      <w:tblGrid>
        <w:gridCol w:w="1530"/>
        <w:gridCol w:w="5840"/>
      </w:tblGrid>
      <w:tr w:rsidR="005C28E3" w:rsidRPr="005C28E3" w:rsidTr="00B522EB">
        <w:trPr>
          <w:tblHeader/>
        </w:trPr>
        <w:tc>
          <w:tcPr>
            <w:tcW w:w="1530" w:type="dxa"/>
            <w:shd w:val="clear" w:color="auto" w:fill="auto"/>
          </w:tcPr>
          <w:p w:rsidR="00F01E61" w:rsidRPr="005C28E3" w:rsidRDefault="00F01E61" w:rsidP="0021762F">
            <w:pPr>
              <w:suppressAutoHyphens w:val="0"/>
              <w:spacing w:before="40" w:after="120" w:line="240" w:lineRule="auto"/>
              <w:ind w:right="113"/>
            </w:pPr>
            <w:r w:rsidRPr="005C28E3">
              <w:t>Cost</w:t>
            </w:r>
          </w:p>
        </w:tc>
        <w:tc>
          <w:tcPr>
            <w:tcW w:w="5840" w:type="dxa"/>
            <w:shd w:val="clear" w:color="auto" w:fill="auto"/>
          </w:tcPr>
          <w:p w:rsidR="00F01E61" w:rsidRPr="005C28E3" w:rsidRDefault="00F01E61" w:rsidP="00BD4892">
            <w:pPr>
              <w:suppressAutoHyphens w:val="0"/>
              <w:spacing w:before="40" w:after="120" w:line="240" w:lineRule="auto"/>
              <w:ind w:right="113"/>
            </w:pPr>
            <w:r w:rsidRPr="005C28E3">
              <w:t>The proposal merely presents a new possibility; it thus does not involve any direct costs.</w:t>
            </w:r>
          </w:p>
          <w:p w:rsidR="00F01E61" w:rsidRPr="005C28E3" w:rsidRDefault="00F01E61" w:rsidP="00E630E3">
            <w:pPr>
              <w:suppressAutoHyphens w:val="0"/>
              <w:spacing w:before="40" w:after="120" w:line="240" w:lineRule="auto"/>
              <w:ind w:right="113"/>
            </w:pPr>
            <w:r w:rsidRPr="005C28E3">
              <w:t>For equipment manufacturers who use this method, the proposed test will come with costs that can be recuperated by improving the dimensioning of the fixed internal dividing walls.</w:t>
            </w:r>
          </w:p>
        </w:tc>
      </w:tr>
      <w:tr w:rsidR="005C28E3" w:rsidRPr="005C28E3" w:rsidTr="00B522EB">
        <w:tc>
          <w:tcPr>
            <w:tcW w:w="1530" w:type="dxa"/>
            <w:shd w:val="clear" w:color="auto" w:fill="auto"/>
          </w:tcPr>
          <w:p w:rsidR="00F01E61" w:rsidRPr="005C28E3" w:rsidRDefault="00F01E61" w:rsidP="0021762F">
            <w:pPr>
              <w:suppressAutoHyphens w:val="0"/>
              <w:spacing w:before="40" w:after="120" w:line="240" w:lineRule="auto"/>
              <w:ind w:right="113"/>
            </w:pPr>
            <w:r w:rsidRPr="005C28E3">
              <w:t>Feasibility</w:t>
            </w:r>
          </w:p>
        </w:tc>
        <w:tc>
          <w:tcPr>
            <w:tcW w:w="5840" w:type="dxa"/>
            <w:shd w:val="clear" w:color="auto" w:fill="auto"/>
          </w:tcPr>
          <w:p w:rsidR="00F01E61" w:rsidRPr="005C28E3" w:rsidRDefault="00F01E61" w:rsidP="0021762F">
            <w:pPr>
              <w:suppressAutoHyphens w:val="0"/>
              <w:spacing w:before="40" w:after="120" w:line="240" w:lineRule="auto"/>
              <w:ind w:right="113"/>
            </w:pPr>
            <w:r w:rsidRPr="005C28E3">
              <w:t>The proposal to use this method is an adaptation of a method already described in the agreement. Its feasibility apparently poses no problem.</w:t>
            </w:r>
          </w:p>
        </w:tc>
      </w:tr>
      <w:tr w:rsidR="00F01E61" w:rsidRPr="005C28E3" w:rsidTr="00B522EB">
        <w:tc>
          <w:tcPr>
            <w:tcW w:w="1530" w:type="dxa"/>
            <w:shd w:val="clear" w:color="auto" w:fill="auto"/>
          </w:tcPr>
          <w:p w:rsidR="00F01E61" w:rsidRPr="005C28E3" w:rsidRDefault="00F01E61" w:rsidP="0021762F">
            <w:pPr>
              <w:suppressAutoHyphens w:val="0"/>
              <w:spacing w:before="40" w:after="120" w:line="240" w:lineRule="auto"/>
              <w:ind w:right="113"/>
            </w:pPr>
            <w:r w:rsidRPr="005C28E3">
              <w:t>Environmental impact</w:t>
            </w:r>
          </w:p>
        </w:tc>
        <w:tc>
          <w:tcPr>
            <w:tcW w:w="5840" w:type="dxa"/>
            <w:shd w:val="clear" w:color="auto" w:fill="auto"/>
          </w:tcPr>
          <w:p w:rsidR="00F01E61" w:rsidRPr="005C28E3" w:rsidRDefault="00F01E61" w:rsidP="0021762F">
            <w:pPr>
              <w:suppressAutoHyphens w:val="0"/>
              <w:spacing w:before="40" w:after="120" w:line="240" w:lineRule="auto"/>
              <w:ind w:right="113"/>
            </w:pPr>
            <w:r w:rsidRPr="005C28E3">
              <w:t>This proposal is aimed at providing more precise dimensioning of fixed internal dividing walls, thus resulting in possible savings in insulation.</w:t>
            </w:r>
          </w:p>
        </w:tc>
      </w:tr>
      <w:tr w:rsidR="00F01E61" w:rsidRPr="005C28E3" w:rsidTr="00B522EB">
        <w:tc>
          <w:tcPr>
            <w:tcW w:w="1530" w:type="dxa"/>
            <w:shd w:val="clear" w:color="auto" w:fill="auto"/>
          </w:tcPr>
          <w:p w:rsidR="00F01E61" w:rsidRPr="005C28E3" w:rsidRDefault="00F01E61" w:rsidP="0021762F">
            <w:pPr>
              <w:suppressAutoHyphens w:val="0"/>
              <w:spacing w:before="40" w:after="120" w:line="240" w:lineRule="auto"/>
              <w:ind w:right="113"/>
            </w:pPr>
            <w:r w:rsidRPr="005C28E3">
              <w:t>Enforceability</w:t>
            </w:r>
          </w:p>
        </w:tc>
        <w:tc>
          <w:tcPr>
            <w:tcW w:w="5840" w:type="dxa"/>
            <w:shd w:val="clear" w:color="auto" w:fill="auto"/>
          </w:tcPr>
          <w:p w:rsidR="00F01E61" w:rsidRPr="005C28E3" w:rsidRDefault="00F01E61" w:rsidP="0021762F">
            <w:pPr>
              <w:suppressAutoHyphens w:val="0"/>
              <w:spacing w:before="40" w:after="120" w:line="240" w:lineRule="auto"/>
              <w:ind w:right="113"/>
            </w:pPr>
            <w:r w:rsidRPr="005C28E3">
              <w:t xml:space="preserve">This new possibility will only be optional. </w:t>
            </w:r>
          </w:p>
        </w:tc>
      </w:tr>
    </w:tbl>
    <w:p w:rsidR="00507FC2" w:rsidRPr="00106A43" w:rsidRDefault="00507FC2">
      <w:pPr>
        <w:spacing w:before="240"/>
        <w:jc w:val="center"/>
        <w:rPr>
          <w:u w:val="single"/>
        </w:rPr>
      </w:pPr>
      <w:r>
        <w:rPr>
          <w:u w:val="single"/>
        </w:rPr>
        <w:tab/>
      </w:r>
      <w:r>
        <w:rPr>
          <w:u w:val="single"/>
        </w:rPr>
        <w:tab/>
      </w:r>
      <w:r>
        <w:rPr>
          <w:u w:val="single"/>
        </w:rPr>
        <w:tab/>
      </w:r>
    </w:p>
    <w:sectPr w:rsidR="00507FC2" w:rsidRPr="00106A43" w:rsidSect="00BF276B">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73" w:rsidRPr="00FB1744" w:rsidRDefault="00432073" w:rsidP="00FB1744">
      <w:pPr>
        <w:pStyle w:val="Footer"/>
      </w:pPr>
    </w:p>
  </w:endnote>
  <w:endnote w:type="continuationSeparator" w:id="0">
    <w:p w:rsidR="00432073" w:rsidRPr="00FB1744" w:rsidRDefault="0043207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6B" w:rsidRPr="00BF276B" w:rsidRDefault="00BF276B" w:rsidP="00BF276B">
    <w:pPr>
      <w:pStyle w:val="Footer"/>
      <w:tabs>
        <w:tab w:val="right" w:pos="9598"/>
      </w:tabs>
    </w:pPr>
    <w:r w:rsidRPr="00BF276B">
      <w:rPr>
        <w:b/>
        <w:sz w:val="18"/>
      </w:rPr>
      <w:fldChar w:fldCharType="begin"/>
    </w:r>
    <w:r w:rsidRPr="00BF276B">
      <w:rPr>
        <w:b/>
        <w:sz w:val="18"/>
      </w:rPr>
      <w:instrText xml:space="preserve"> PAGE  \* MERGEFORMAT </w:instrText>
    </w:r>
    <w:r w:rsidRPr="00BF276B">
      <w:rPr>
        <w:b/>
        <w:sz w:val="18"/>
      </w:rPr>
      <w:fldChar w:fldCharType="separate"/>
    </w:r>
    <w:r w:rsidR="00824961">
      <w:rPr>
        <w:b/>
        <w:noProof/>
        <w:sz w:val="18"/>
      </w:rPr>
      <w:t>2</w:t>
    </w:r>
    <w:r w:rsidRPr="00BF276B">
      <w:rPr>
        <w:b/>
        <w:sz w:val="18"/>
      </w:rPr>
      <w:fldChar w:fldCharType="end"/>
    </w:r>
    <w:r>
      <w:rPr>
        <w:sz w:val="18"/>
      </w:rPr>
      <w:tab/>
    </w:r>
    <w:r>
      <w:t>GE.17-12483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6B" w:rsidRPr="00BF276B" w:rsidRDefault="00BF276B" w:rsidP="00BF276B">
    <w:pPr>
      <w:pStyle w:val="Footer"/>
      <w:tabs>
        <w:tab w:val="right" w:pos="9598"/>
      </w:tabs>
      <w:rPr>
        <w:b/>
        <w:sz w:val="18"/>
      </w:rPr>
    </w:pPr>
    <w:r>
      <w:t>GE.17-12483</w:t>
    </w:r>
    <w:r>
      <w:tab/>
    </w:r>
    <w:r w:rsidRPr="00BF276B">
      <w:rPr>
        <w:b/>
        <w:sz w:val="18"/>
      </w:rPr>
      <w:fldChar w:fldCharType="begin"/>
    </w:r>
    <w:r w:rsidRPr="00BF276B">
      <w:rPr>
        <w:b/>
        <w:sz w:val="18"/>
      </w:rPr>
      <w:instrText xml:space="preserve"> PAGE  \* MERGEFORMAT </w:instrText>
    </w:r>
    <w:r w:rsidRPr="00BF276B">
      <w:rPr>
        <w:b/>
        <w:sz w:val="18"/>
      </w:rPr>
      <w:fldChar w:fldCharType="separate"/>
    </w:r>
    <w:r w:rsidR="00824961">
      <w:rPr>
        <w:b/>
        <w:noProof/>
        <w:sz w:val="18"/>
      </w:rPr>
      <w:t>3</w:t>
    </w:r>
    <w:r w:rsidRPr="00BF2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76B" w:rsidRDefault="00BF276B" w:rsidP="00BF276B">
    <w:r>
      <w:t>GE.17-12483  (E)</w:t>
    </w:r>
    <w:r w:rsidR="003D5D58">
      <w:t xml:space="preserve">    070817    100817</w:t>
    </w:r>
  </w:p>
  <w:p w:rsidR="00BF276B" w:rsidRPr="00BF276B" w:rsidRDefault="00BF276B" w:rsidP="00BF276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1/2017/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7/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73" w:rsidRPr="00FB1744" w:rsidRDefault="00432073" w:rsidP="00FB1744">
      <w:pPr>
        <w:tabs>
          <w:tab w:val="right" w:pos="2155"/>
        </w:tabs>
        <w:spacing w:after="80" w:line="240" w:lineRule="auto"/>
        <w:ind w:left="680"/>
      </w:pPr>
      <w:r>
        <w:rPr>
          <w:u w:val="single"/>
        </w:rPr>
        <w:tab/>
      </w:r>
    </w:p>
  </w:footnote>
  <w:footnote w:type="continuationSeparator" w:id="0">
    <w:p w:rsidR="00432073" w:rsidRPr="00FB1744" w:rsidRDefault="00432073"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6B" w:rsidRPr="00BF276B" w:rsidRDefault="00BF276B" w:rsidP="00BF276B">
    <w:pPr>
      <w:pStyle w:val="Header"/>
    </w:pPr>
    <w:r w:rsidRPr="00BF276B">
      <w:t>ECE/TRANS/WP.11/2017/7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6B" w:rsidRPr="00BF276B" w:rsidRDefault="00BF276B" w:rsidP="00BF276B">
    <w:pPr>
      <w:pStyle w:val="Header"/>
      <w:jc w:val="right"/>
    </w:pPr>
    <w:r w:rsidRPr="00BF276B">
      <w:t>ECE/TRANS/WP.11/2017/7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73"/>
    <w:rsid w:val="0000686D"/>
    <w:rsid w:val="00046E92"/>
    <w:rsid w:val="000D1B89"/>
    <w:rsid w:val="00100F33"/>
    <w:rsid w:val="001170DC"/>
    <w:rsid w:val="001243D5"/>
    <w:rsid w:val="00146434"/>
    <w:rsid w:val="0014645B"/>
    <w:rsid w:val="0021762F"/>
    <w:rsid w:val="00247E2C"/>
    <w:rsid w:val="00250C56"/>
    <w:rsid w:val="00293387"/>
    <w:rsid w:val="002A1A76"/>
    <w:rsid w:val="002D6C53"/>
    <w:rsid w:val="002F5595"/>
    <w:rsid w:val="00307457"/>
    <w:rsid w:val="00332304"/>
    <w:rsid w:val="00334F6A"/>
    <w:rsid w:val="00342AC8"/>
    <w:rsid w:val="00347A0B"/>
    <w:rsid w:val="00351932"/>
    <w:rsid w:val="0036184A"/>
    <w:rsid w:val="00364C7A"/>
    <w:rsid w:val="00383B6F"/>
    <w:rsid w:val="003B4550"/>
    <w:rsid w:val="003C0A7B"/>
    <w:rsid w:val="003D5D58"/>
    <w:rsid w:val="00421D38"/>
    <w:rsid w:val="00432073"/>
    <w:rsid w:val="00461253"/>
    <w:rsid w:val="005042C2"/>
    <w:rsid w:val="00507FC2"/>
    <w:rsid w:val="0056599A"/>
    <w:rsid w:val="00587690"/>
    <w:rsid w:val="005C28E3"/>
    <w:rsid w:val="005C6D10"/>
    <w:rsid w:val="005C7544"/>
    <w:rsid w:val="00671529"/>
    <w:rsid w:val="00692001"/>
    <w:rsid w:val="00717266"/>
    <w:rsid w:val="007268F9"/>
    <w:rsid w:val="00774289"/>
    <w:rsid w:val="007C52B0"/>
    <w:rsid w:val="007D23C9"/>
    <w:rsid w:val="007F3B8E"/>
    <w:rsid w:val="00824961"/>
    <w:rsid w:val="008E402B"/>
    <w:rsid w:val="00924F27"/>
    <w:rsid w:val="009411B4"/>
    <w:rsid w:val="00960CDB"/>
    <w:rsid w:val="009714B1"/>
    <w:rsid w:val="00996CF2"/>
    <w:rsid w:val="009D0139"/>
    <w:rsid w:val="009F5CDC"/>
    <w:rsid w:val="00A33445"/>
    <w:rsid w:val="00A775CF"/>
    <w:rsid w:val="00AA0AC2"/>
    <w:rsid w:val="00AB3C7E"/>
    <w:rsid w:val="00AD13B2"/>
    <w:rsid w:val="00B06045"/>
    <w:rsid w:val="00B32A75"/>
    <w:rsid w:val="00B522EB"/>
    <w:rsid w:val="00B93955"/>
    <w:rsid w:val="00BD21A9"/>
    <w:rsid w:val="00BD4892"/>
    <w:rsid w:val="00BF276B"/>
    <w:rsid w:val="00C35A27"/>
    <w:rsid w:val="00C51F4F"/>
    <w:rsid w:val="00CA10D8"/>
    <w:rsid w:val="00CC358C"/>
    <w:rsid w:val="00D13C68"/>
    <w:rsid w:val="00D23768"/>
    <w:rsid w:val="00DD356A"/>
    <w:rsid w:val="00E02C2B"/>
    <w:rsid w:val="00E37721"/>
    <w:rsid w:val="00E44AD0"/>
    <w:rsid w:val="00E630E3"/>
    <w:rsid w:val="00ED6C48"/>
    <w:rsid w:val="00EF0E77"/>
    <w:rsid w:val="00F01E61"/>
    <w:rsid w:val="00F22EFB"/>
    <w:rsid w:val="00F65F5D"/>
    <w:rsid w:val="00F72834"/>
    <w:rsid w:val="00F86A3A"/>
    <w:rsid w:val="00F946E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CF843C-2E2C-4AA8-9D26-70F1104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D031-26AE-4230-A4A9-68B0DDDF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1712483</vt:lpstr>
    </vt:vector>
  </TitlesOfParts>
  <Company>DCM</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1712483</dc:title>
  <dc:subject>ECE/TRANS/WP.11/2017/7</dc:subject>
  <dc:creator>Maria Rosario GATMAYTAN</dc:creator>
  <cp:keywords/>
  <dc:description/>
  <cp:lastModifiedBy>Marie-Claude Collet</cp:lastModifiedBy>
  <cp:revision>2</cp:revision>
  <cp:lastPrinted>2017-08-10T08:54:00Z</cp:lastPrinted>
  <dcterms:created xsi:type="dcterms:W3CDTF">2017-08-21T10:01:00Z</dcterms:created>
  <dcterms:modified xsi:type="dcterms:W3CDTF">2017-08-21T10:01:00Z</dcterms:modified>
</cp:coreProperties>
</file>