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41DD365" w14:textId="77777777" w:rsidTr="009E6CB7">
        <w:trPr>
          <w:cantSplit/>
          <w:trHeight w:hRule="exact" w:val="851"/>
        </w:trPr>
        <w:tc>
          <w:tcPr>
            <w:tcW w:w="1276" w:type="dxa"/>
            <w:tcBorders>
              <w:bottom w:val="single" w:sz="4" w:space="0" w:color="auto"/>
            </w:tcBorders>
            <w:vAlign w:val="bottom"/>
          </w:tcPr>
          <w:p w14:paraId="7727FB44" w14:textId="0D01300C" w:rsidR="009E6CB7" w:rsidRPr="00B0001E" w:rsidRDefault="00B0001E" w:rsidP="009E6CB7">
            <w:pPr>
              <w:spacing w:after="80"/>
            </w:pPr>
            <w:r>
              <w:t xml:space="preserve"> </w:t>
            </w:r>
          </w:p>
        </w:tc>
        <w:tc>
          <w:tcPr>
            <w:tcW w:w="2268" w:type="dxa"/>
            <w:tcBorders>
              <w:bottom w:val="single" w:sz="4" w:space="0" w:color="auto"/>
            </w:tcBorders>
            <w:vAlign w:val="bottom"/>
          </w:tcPr>
          <w:p w14:paraId="53DF53EB"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9A32DB9" w14:textId="62ECE899" w:rsidR="009E6CB7" w:rsidRPr="00D47EEA" w:rsidRDefault="00190E8E" w:rsidP="004B3BBD">
            <w:pPr>
              <w:jc w:val="right"/>
            </w:pPr>
            <w:r w:rsidRPr="00190E8E">
              <w:rPr>
                <w:sz w:val="40"/>
              </w:rPr>
              <w:t>ECE</w:t>
            </w:r>
            <w:r>
              <w:t>/TRANS</w:t>
            </w:r>
            <w:r w:rsidR="00A23417">
              <w:t>/SC.3/</w:t>
            </w:r>
            <w:r w:rsidR="007A4237">
              <w:t>WP.3/</w:t>
            </w:r>
            <w:r w:rsidR="00A23417">
              <w:t>201</w:t>
            </w:r>
            <w:r w:rsidR="007A4237">
              <w:t>7</w:t>
            </w:r>
            <w:r w:rsidR="00A23417">
              <w:t>/</w:t>
            </w:r>
            <w:r w:rsidR="007A4237">
              <w:t>1</w:t>
            </w:r>
            <w:r w:rsidR="004B3BBD">
              <w:t>5</w:t>
            </w:r>
          </w:p>
        </w:tc>
      </w:tr>
      <w:tr w:rsidR="009E6CB7" w14:paraId="03A3D679" w14:textId="77777777" w:rsidTr="009E6CB7">
        <w:trPr>
          <w:cantSplit/>
          <w:trHeight w:hRule="exact" w:val="2835"/>
        </w:trPr>
        <w:tc>
          <w:tcPr>
            <w:tcW w:w="1276" w:type="dxa"/>
            <w:tcBorders>
              <w:top w:val="single" w:sz="4" w:space="0" w:color="auto"/>
              <w:bottom w:val="single" w:sz="12" w:space="0" w:color="auto"/>
            </w:tcBorders>
          </w:tcPr>
          <w:p w14:paraId="4743A494" w14:textId="77777777" w:rsidR="009E6CB7" w:rsidRDefault="00BC7F91" w:rsidP="009E6CB7">
            <w:pPr>
              <w:spacing w:before="120"/>
            </w:pPr>
            <w:r>
              <w:rPr>
                <w:noProof/>
                <w:lang w:eastAsia="en-GB"/>
              </w:rPr>
              <w:drawing>
                <wp:inline distT="0" distB="0" distL="0" distR="0" wp14:anchorId="37F06570" wp14:editId="1C7047F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0DA845"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FD251F" w14:textId="77777777" w:rsidR="009E6CB7" w:rsidRDefault="00190E8E" w:rsidP="00190E8E">
            <w:pPr>
              <w:spacing w:before="240" w:line="240" w:lineRule="exact"/>
            </w:pPr>
            <w:r>
              <w:t>Distr.: General</w:t>
            </w:r>
          </w:p>
          <w:p w14:paraId="5075E6ED" w14:textId="75A2F9CA" w:rsidR="004B2944" w:rsidRDefault="005C2811" w:rsidP="00190E8E">
            <w:pPr>
              <w:spacing w:line="240" w:lineRule="exact"/>
            </w:pPr>
            <w:r>
              <w:t>4</w:t>
            </w:r>
            <w:r w:rsidR="00317662">
              <w:t xml:space="preserve"> </w:t>
            </w:r>
            <w:r w:rsidR="007A4237">
              <w:t>April</w:t>
            </w:r>
            <w:r w:rsidR="00190E8E">
              <w:t xml:space="preserve"> 201</w:t>
            </w:r>
            <w:r w:rsidR="007A4237">
              <w:t>7</w:t>
            </w:r>
          </w:p>
          <w:p w14:paraId="50484DF9" w14:textId="77777777" w:rsidR="0030391F" w:rsidRDefault="0030391F" w:rsidP="00190E8E">
            <w:pPr>
              <w:spacing w:line="240" w:lineRule="exact"/>
            </w:pPr>
          </w:p>
          <w:p w14:paraId="271FA258" w14:textId="45DD28E0" w:rsidR="00190E8E" w:rsidRDefault="000D7309" w:rsidP="00B416CE">
            <w:pPr>
              <w:spacing w:line="240" w:lineRule="exact"/>
            </w:pPr>
            <w:r>
              <w:t xml:space="preserve">Original: </w:t>
            </w:r>
            <w:r w:rsidR="00B416CE">
              <w:t>English</w:t>
            </w:r>
          </w:p>
        </w:tc>
      </w:tr>
    </w:tbl>
    <w:p w14:paraId="0DE76C88" w14:textId="77777777" w:rsidR="007A4237" w:rsidRPr="00711E7C" w:rsidRDefault="007A4237" w:rsidP="007A4237">
      <w:pPr>
        <w:spacing w:before="120"/>
        <w:rPr>
          <w:b/>
          <w:sz w:val="28"/>
          <w:szCs w:val="28"/>
          <w:lang w:val="en-US"/>
        </w:rPr>
      </w:pPr>
      <w:r w:rsidRPr="00711E7C">
        <w:rPr>
          <w:b/>
          <w:sz w:val="28"/>
          <w:szCs w:val="28"/>
          <w:lang w:val="en-US"/>
        </w:rPr>
        <w:t>Economic Commission for Europe</w:t>
      </w:r>
    </w:p>
    <w:p w14:paraId="023B6797" w14:textId="77777777" w:rsidR="007A4237" w:rsidRPr="00711E7C" w:rsidRDefault="007A4237" w:rsidP="007A4237">
      <w:pPr>
        <w:spacing w:before="120"/>
        <w:rPr>
          <w:sz w:val="28"/>
          <w:szCs w:val="28"/>
          <w:lang w:val="en-US"/>
        </w:rPr>
      </w:pPr>
      <w:r w:rsidRPr="00711E7C">
        <w:rPr>
          <w:sz w:val="28"/>
          <w:szCs w:val="28"/>
          <w:lang w:val="en-US"/>
        </w:rPr>
        <w:t>Inland Transport Committee</w:t>
      </w:r>
    </w:p>
    <w:p w14:paraId="3C01B897" w14:textId="77777777" w:rsidR="007A4237" w:rsidRPr="00711E7C" w:rsidRDefault="007A4237" w:rsidP="007A4237">
      <w:pPr>
        <w:spacing w:before="120"/>
        <w:rPr>
          <w:b/>
          <w:sz w:val="24"/>
          <w:szCs w:val="24"/>
          <w:lang w:val="en-US"/>
        </w:rPr>
      </w:pPr>
      <w:r w:rsidRPr="00711E7C">
        <w:rPr>
          <w:b/>
          <w:sz w:val="24"/>
          <w:szCs w:val="24"/>
          <w:lang w:val="en-US"/>
        </w:rPr>
        <w:t>Working Party on Inland Water Transport</w:t>
      </w:r>
    </w:p>
    <w:p w14:paraId="29133D32" w14:textId="77777777" w:rsidR="007A4237" w:rsidRPr="00711E7C" w:rsidRDefault="007A4237" w:rsidP="007A4237">
      <w:pPr>
        <w:spacing w:before="120"/>
        <w:rPr>
          <w:b/>
          <w:lang w:val="en-US"/>
        </w:rPr>
      </w:pPr>
      <w:r w:rsidRPr="00711E7C">
        <w:rPr>
          <w:b/>
          <w:lang w:val="en-US"/>
        </w:rPr>
        <w:t xml:space="preserve">Working Party on the Standardization of Technical </w:t>
      </w:r>
      <w:r w:rsidRPr="00711E7C">
        <w:rPr>
          <w:b/>
          <w:lang w:val="en-US"/>
        </w:rPr>
        <w:br/>
        <w:t>and Safety Requirements in Inland Navigation</w:t>
      </w:r>
    </w:p>
    <w:p w14:paraId="621F6474" w14:textId="77777777" w:rsidR="007A4237" w:rsidRPr="00711E7C" w:rsidRDefault="007A4237" w:rsidP="007A4237">
      <w:pPr>
        <w:spacing w:before="120"/>
        <w:rPr>
          <w:b/>
          <w:lang w:val="en-US"/>
        </w:rPr>
      </w:pPr>
      <w:r w:rsidRPr="00711E7C">
        <w:rPr>
          <w:b/>
          <w:lang w:val="en-US"/>
        </w:rPr>
        <w:t>F</w:t>
      </w:r>
      <w:r>
        <w:rPr>
          <w:b/>
          <w:lang w:val="en-US"/>
        </w:rPr>
        <w:t>if</w:t>
      </w:r>
      <w:r w:rsidRPr="00711E7C">
        <w:rPr>
          <w:b/>
          <w:lang w:val="en-US"/>
        </w:rPr>
        <w:t>t</w:t>
      </w:r>
      <w:r>
        <w:rPr>
          <w:b/>
          <w:lang w:val="en-US"/>
        </w:rPr>
        <w:t>y-first</w:t>
      </w:r>
      <w:r w:rsidRPr="00711E7C">
        <w:rPr>
          <w:b/>
          <w:lang w:val="en-US"/>
        </w:rPr>
        <w:t xml:space="preserve"> </w:t>
      </w:r>
      <w:proofErr w:type="gramStart"/>
      <w:r w:rsidRPr="00711E7C">
        <w:rPr>
          <w:b/>
          <w:lang w:val="en-US"/>
        </w:rPr>
        <w:t>session</w:t>
      </w:r>
      <w:proofErr w:type="gramEnd"/>
    </w:p>
    <w:p w14:paraId="695DA64E" w14:textId="77777777" w:rsidR="007A4237" w:rsidRPr="00711E7C" w:rsidRDefault="007A4237" w:rsidP="007A4237">
      <w:pPr>
        <w:rPr>
          <w:lang w:val="en-US"/>
        </w:rPr>
      </w:pPr>
      <w:r w:rsidRPr="00711E7C">
        <w:rPr>
          <w:lang w:val="en-US"/>
        </w:rPr>
        <w:t xml:space="preserve">Geneva, </w:t>
      </w:r>
      <w:r>
        <w:rPr>
          <w:lang w:val="en-US"/>
        </w:rPr>
        <w:t>14-16</w:t>
      </w:r>
      <w:r w:rsidRPr="00711E7C">
        <w:rPr>
          <w:lang w:val="en-US"/>
        </w:rPr>
        <w:t xml:space="preserve"> </w:t>
      </w:r>
      <w:r>
        <w:rPr>
          <w:lang w:val="en-US"/>
        </w:rPr>
        <w:t>June</w:t>
      </w:r>
      <w:r w:rsidRPr="00711E7C">
        <w:rPr>
          <w:lang w:val="en-US"/>
        </w:rPr>
        <w:t xml:space="preserve"> 201</w:t>
      </w:r>
      <w:r>
        <w:rPr>
          <w:lang w:val="en-US"/>
        </w:rPr>
        <w:t>7</w:t>
      </w:r>
    </w:p>
    <w:p w14:paraId="6B1BBED0" w14:textId="2D38FD9C" w:rsidR="007B190C" w:rsidRDefault="007B190C" w:rsidP="007B190C">
      <w:pPr>
        <w:rPr>
          <w:lang w:val="en-US"/>
        </w:rPr>
      </w:pPr>
      <w:r w:rsidRPr="00711E7C">
        <w:rPr>
          <w:lang w:val="en-US"/>
        </w:rPr>
        <w:t xml:space="preserve">Item </w:t>
      </w:r>
      <w:r>
        <w:rPr>
          <w:lang w:val="en-US"/>
        </w:rPr>
        <w:t>3</w:t>
      </w:r>
      <w:r w:rsidR="00574628">
        <w:rPr>
          <w:lang w:val="en-US"/>
        </w:rPr>
        <w:t xml:space="preserve"> </w:t>
      </w:r>
      <w:r>
        <w:rPr>
          <w:lang w:val="en-US"/>
        </w:rPr>
        <w:t>(c)</w:t>
      </w:r>
      <w:r w:rsidRPr="00711E7C">
        <w:rPr>
          <w:lang w:val="en-US"/>
        </w:rPr>
        <w:t xml:space="preserve"> of the provisional agenda</w:t>
      </w:r>
    </w:p>
    <w:p w14:paraId="17488214" w14:textId="227413B9" w:rsidR="00EA5582" w:rsidRPr="007A4237" w:rsidRDefault="007B190C" w:rsidP="007B190C">
      <w:pPr>
        <w:pStyle w:val="SingleTxtG"/>
        <w:ind w:left="0"/>
        <w:jc w:val="left"/>
        <w:rPr>
          <w:b/>
        </w:rPr>
      </w:pPr>
      <w:r w:rsidRPr="00EA5582">
        <w:rPr>
          <w:b/>
        </w:rPr>
        <w:t>Standardization of technical and safety requirements in inland navigation</w:t>
      </w:r>
      <w:proofErr w:type="gramStart"/>
      <w:r w:rsidRPr="00EA5582">
        <w:rPr>
          <w:b/>
        </w:rPr>
        <w:t>:</w:t>
      </w:r>
      <w:proofErr w:type="gramEnd"/>
      <w:r w:rsidRPr="00EA5582">
        <w:rPr>
          <w:b/>
        </w:rPr>
        <w:br/>
      </w:r>
      <w:r w:rsidRPr="00B90FBF">
        <w:rPr>
          <w:b/>
        </w:rPr>
        <w:t>Recommendations on Harmonized Eur</w:t>
      </w:r>
      <w:r>
        <w:rPr>
          <w:b/>
        </w:rPr>
        <w:t>ope-Wide Technical Requirements</w:t>
      </w:r>
      <w:r>
        <w:rPr>
          <w:b/>
        </w:rPr>
        <w:br/>
      </w:r>
      <w:r w:rsidRPr="00B90FBF">
        <w:rPr>
          <w:b/>
        </w:rPr>
        <w:t>for Inland Navigation Vessels (Resolution No. 61, revised)</w:t>
      </w:r>
    </w:p>
    <w:p w14:paraId="53B2E998" w14:textId="2BC35908" w:rsidR="00EA5582" w:rsidRPr="00EA5582" w:rsidRDefault="00A40D43" w:rsidP="00D2387A">
      <w:pPr>
        <w:pStyle w:val="HChG"/>
      </w:pPr>
      <w:r>
        <w:tab/>
      </w:r>
      <w:r w:rsidR="0092682A">
        <w:tab/>
      </w:r>
      <w:bookmarkStart w:id="0" w:name="OLE_LINK8"/>
      <w:bookmarkStart w:id="1" w:name="OLE_LINK9"/>
      <w:r w:rsidR="007B190C">
        <w:t>Aligning of provisions for the n</w:t>
      </w:r>
      <w:r w:rsidR="007B190C" w:rsidRPr="00C903F8">
        <w:t>avigation and information equipment</w:t>
      </w:r>
      <w:r w:rsidR="007B190C">
        <w:rPr>
          <w:szCs w:val="22"/>
        </w:rPr>
        <w:t xml:space="preserve"> in the Annex </w:t>
      </w:r>
      <w:r w:rsidR="007B190C">
        <w:t xml:space="preserve">to Resolution No. 61, revised, with </w:t>
      </w:r>
      <w:r w:rsidR="007B190C" w:rsidRPr="00421BE1">
        <w:t>the European Standard laying down Technical Requirements for Inland Navigation vessels</w:t>
      </w:r>
      <w:r w:rsidR="007B190C">
        <w:t xml:space="preserve"> (ES-TRIN)</w:t>
      </w:r>
    </w:p>
    <w:bookmarkEnd w:id="0"/>
    <w:bookmarkEnd w:id="1"/>
    <w:p w14:paraId="11B84C21" w14:textId="51532E4A" w:rsidR="00A40D43" w:rsidRPr="00D2387A" w:rsidRDefault="00A40D43" w:rsidP="00D2387A">
      <w:pPr>
        <w:pStyle w:val="H1G"/>
      </w:pPr>
      <w:r w:rsidRPr="00C278DD">
        <w:rPr>
          <w:lang w:val="en-US"/>
        </w:rPr>
        <w:tab/>
      </w:r>
      <w:r w:rsidRPr="00C278DD">
        <w:rPr>
          <w:lang w:val="en-US"/>
        </w:rPr>
        <w:tab/>
      </w:r>
      <w:r w:rsidR="00EA5582">
        <w:rPr>
          <w:lang w:val="en-US"/>
        </w:rPr>
        <w:t xml:space="preserve">Note </w:t>
      </w:r>
      <w:r w:rsidR="00A10ABC">
        <w:rPr>
          <w:lang w:val="en-US"/>
        </w:rPr>
        <w:t>by</w:t>
      </w:r>
      <w:r w:rsidR="00EA5582">
        <w:rPr>
          <w:lang w:val="en-US"/>
        </w:rPr>
        <w:t xml:space="preserve"> the secretariat</w:t>
      </w:r>
    </w:p>
    <w:p w14:paraId="664D54A5" w14:textId="77777777" w:rsidR="00825D0F" w:rsidRPr="00D2387A" w:rsidRDefault="00A40D43" w:rsidP="00D2387A">
      <w:pPr>
        <w:pStyle w:val="HChG"/>
      </w:pPr>
      <w:r w:rsidRPr="00C278DD">
        <w:rPr>
          <w:lang w:val="en-US"/>
        </w:rPr>
        <w:tab/>
        <w:t>I.</w:t>
      </w:r>
      <w:r w:rsidRPr="00C278DD">
        <w:rPr>
          <w:lang w:val="en-US"/>
        </w:rPr>
        <w:tab/>
      </w:r>
      <w:r>
        <w:rPr>
          <w:lang w:val="en-US"/>
        </w:rPr>
        <w:t>Mandate</w:t>
      </w:r>
    </w:p>
    <w:p w14:paraId="3FB522CC" w14:textId="6D4D920F" w:rsidR="00A23417" w:rsidRDefault="00A40D43" w:rsidP="000D7309">
      <w:pPr>
        <w:pStyle w:val="SingleTxtG"/>
      </w:pPr>
      <w:r>
        <w:t>1.</w:t>
      </w:r>
      <w:r>
        <w:tab/>
      </w:r>
      <w:r w:rsidR="00A10ABC" w:rsidRPr="00021800">
        <w:t xml:space="preserve">This document is submitted in line with </w:t>
      </w:r>
      <w:r w:rsidR="00D208F5">
        <w:t>c</w:t>
      </w:r>
      <w:r w:rsidR="00A10ABC" w:rsidRPr="00021800">
        <w:t>luster 5: Inland Waterway Transport, para</w:t>
      </w:r>
      <w:r w:rsidR="00A10ABC">
        <w:t>. </w:t>
      </w:r>
      <w:proofErr w:type="gramStart"/>
      <w:r w:rsidR="00A10ABC" w:rsidRPr="00021800">
        <w:t>5.1</w:t>
      </w:r>
      <w:proofErr w:type="gramEnd"/>
      <w:r w:rsidR="00A10ABC" w:rsidRPr="00021800">
        <w:t xml:space="preserve"> of the programme of work 2016</w:t>
      </w:r>
      <w:r w:rsidR="00A10ABC">
        <w:t>-</w:t>
      </w:r>
      <w:r w:rsidR="00A10ABC" w:rsidRPr="00021800">
        <w:t xml:space="preserve">2017 (ECE/TRANS/2016/28/Add.1) adopted by the Inland Transport Committee at its </w:t>
      </w:r>
      <w:r w:rsidR="00A10ABC" w:rsidRPr="00021800">
        <w:rPr>
          <w:bCs/>
        </w:rPr>
        <w:t>seventy-eighth session</w:t>
      </w:r>
      <w:r w:rsidR="00A10ABC">
        <w:rPr>
          <w:bCs/>
        </w:rPr>
        <w:t xml:space="preserve"> on </w:t>
      </w:r>
      <w:r w:rsidR="00A10ABC">
        <w:t>26 February 2016.</w:t>
      </w:r>
    </w:p>
    <w:p w14:paraId="31940CB4" w14:textId="0162876C" w:rsidR="007B190C" w:rsidRDefault="007B190C" w:rsidP="007B190C">
      <w:pPr>
        <w:pStyle w:val="SingleTxtG"/>
      </w:pPr>
      <w:proofErr w:type="gramStart"/>
      <w:r w:rsidRPr="00421BE1">
        <w:t>2.</w:t>
      </w:r>
      <w:r w:rsidRPr="00421BE1">
        <w:tab/>
      </w:r>
      <w:r>
        <w:t xml:space="preserve">It is recalled that, following the decision of </w:t>
      </w:r>
      <w:r w:rsidRPr="00421BE1">
        <w:t xml:space="preserve">the Working Party on Inland Water Transport (SC.3) </w:t>
      </w:r>
      <w:r>
        <w:t>a</w:t>
      </w:r>
      <w:r w:rsidRPr="00421BE1">
        <w:t xml:space="preserve">t its sixtieth session to align </w:t>
      </w:r>
      <w:r w:rsidR="00A10ABC">
        <w:t>the Annex</w:t>
      </w:r>
      <w:r w:rsidR="00AA3BD1">
        <w:t xml:space="preserve"> </w:t>
      </w:r>
      <w:r w:rsidRPr="00421BE1">
        <w:t>with the European Standard laying down Technical Requirements for Inland Navigation vessels (ES-TRIN)</w:t>
      </w:r>
      <w:r w:rsidRPr="00421BE1">
        <w:rPr>
          <w:vertAlign w:val="superscript"/>
        </w:rPr>
        <w:footnoteReference w:id="2"/>
      </w:r>
      <w:r w:rsidRPr="00421BE1">
        <w:t xml:space="preserve"> (ECE/TRANS/SC.3/203, para. 67) adopted by the European committee for drawing up common standards in the field of inland navigation (CESNI).</w:t>
      </w:r>
      <w:proofErr w:type="gramEnd"/>
      <w:r w:rsidRPr="00421BE1">
        <w:t xml:space="preserve"> </w:t>
      </w:r>
      <w:r>
        <w:t xml:space="preserve">SC3/WP3 asked the secretariat to </w:t>
      </w:r>
      <w:r w:rsidRPr="00421BE1">
        <w:t>continue revisi</w:t>
      </w:r>
      <w:r w:rsidR="00A10ABC">
        <w:t>ng</w:t>
      </w:r>
      <w:r w:rsidRPr="00421BE1">
        <w:t xml:space="preserve"> the Annex to Resolution No. 61 </w:t>
      </w:r>
      <w:proofErr w:type="gramStart"/>
      <w:r>
        <w:t>on the basis of</w:t>
      </w:r>
      <w:proofErr w:type="gramEnd"/>
      <w:r>
        <w:t xml:space="preserve"> the analysis set out in ECE/TRANS/SC.3/WP.3/2017/7 </w:t>
      </w:r>
      <w:r w:rsidR="006E192A">
        <w:t>(ECE/TRANS/SC.3/WP</w:t>
      </w:r>
      <w:r w:rsidR="00A10ABC">
        <w:t>.</w:t>
      </w:r>
      <w:r w:rsidR="006E192A">
        <w:t>3/100, para. 42</w:t>
      </w:r>
      <w:r>
        <w:t>).</w:t>
      </w:r>
    </w:p>
    <w:p w14:paraId="17B82EEF" w14:textId="6778E6FF" w:rsidR="008D0E7C" w:rsidRDefault="007B190C" w:rsidP="007B190C">
      <w:pPr>
        <w:pStyle w:val="SingleTxtG"/>
        <w:rPr>
          <w:szCs w:val="24"/>
        </w:rPr>
      </w:pPr>
      <w:r>
        <w:rPr>
          <w:szCs w:val="24"/>
        </w:rPr>
        <w:lastRenderedPageBreak/>
        <w:t>3.</w:t>
      </w:r>
      <w:r>
        <w:rPr>
          <w:szCs w:val="24"/>
        </w:rPr>
        <w:tab/>
        <w:t xml:space="preserve">SC.3/WP.3 may wish to use the text of </w:t>
      </w:r>
      <w:r w:rsidR="00A10ABC">
        <w:rPr>
          <w:szCs w:val="24"/>
        </w:rPr>
        <w:t xml:space="preserve">the ES-TRIN </w:t>
      </w:r>
      <w:r>
        <w:rPr>
          <w:szCs w:val="24"/>
        </w:rPr>
        <w:t xml:space="preserve">provisions reproduced </w:t>
      </w:r>
      <w:proofErr w:type="gramStart"/>
      <w:r>
        <w:rPr>
          <w:szCs w:val="24"/>
        </w:rPr>
        <w:t>in the Annex to this document as the basis for updating Chapter 7</w:t>
      </w:r>
      <w:r w:rsidR="00A10ABC">
        <w:rPr>
          <w:szCs w:val="24"/>
        </w:rPr>
        <w:t xml:space="preserve"> </w:t>
      </w:r>
      <w:r>
        <w:rPr>
          <w:szCs w:val="24"/>
        </w:rPr>
        <w:t xml:space="preserve">of the </w:t>
      </w:r>
      <w:r w:rsidR="00A10ABC">
        <w:rPr>
          <w:szCs w:val="24"/>
        </w:rPr>
        <w:t>Annex to Resolution No. 61 and develop</w:t>
      </w:r>
      <w:r w:rsidR="00D208F5">
        <w:rPr>
          <w:szCs w:val="24"/>
        </w:rPr>
        <w:t>ing</w:t>
      </w:r>
      <w:r w:rsidR="00A10ABC">
        <w:rPr>
          <w:szCs w:val="24"/>
        </w:rPr>
        <w:t xml:space="preserve"> </w:t>
      </w:r>
      <w:r>
        <w:rPr>
          <w:szCs w:val="24"/>
        </w:rPr>
        <w:t>a new Appendix</w:t>
      </w:r>
      <w:r w:rsidR="00A10ABC">
        <w:rPr>
          <w:szCs w:val="24"/>
        </w:rPr>
        <w:t xml:space="preserve"> to</w:t>
      </w:r>
      <w:r>
        <w:rPr>
          <w:szCs w:val="24"/>
        </w:rPr>
        <w:t xml:space="preserve"> introduc</w:t>
      </w:r>
      <w:r w:rsidR="00A10ABC">
        <w:rPr>
          <w:szCs w:val="24"/>
        </w:rPr>
        <w:t>e</w:t>
      </w:r>
      <w:r>
        <w:rPr>
          <w:szCs w:val="24"/>
        </w:rPr>
        <w:t xml:space="preserve"> provisions for navigation and information equipment</w:t>
      </w:r>
      <w:proofErr w:type="gramEnd"/>
      <w:r>
        <w:rPr>
          <w:szCs w:val="24"/>
        </w:rPr>
        <w:t>.</w:t>
      </w:r>
    </w:p>
    <w:p w14:paraId="3E703818" w14:textId="77777777" w:rsidR="008D0E7C" w:rsidRDefault="008D0E7C">
      <w:pPr>
        <w:suppressAutoHyphens w:val="0"/>
        <w:spacing w:line="240" w:lineRule="auto"/>
        <w:rPr>
          <w:szCs w:val="24"/>
        </w:rPr>
      </w:pPr>
      <w:r>
        <w:rPr>
          <w:szCs w:val="24"/>
        </w:rPr>
        <w:br w:type="page"/>
      </w:r>
    </w:p>
    <w:p w14:paraId="76F780CC" w14:textId="4F12D248" w:rsidR="007B190C" w:rsidRDefault="007B190C" w:rsidP="007B190C">
      <w:pPr>
        <w:pStyle w:val="HChG"/>
      </w:pPr>
      <w:r>
        <w:lastRenderedPageBreak/>
        <w:t>Annex</w:t>
      </w:r>
    </w:p>
    <w:p w14:paraId="101511A4" w14:textId="2CADEBD9" w:rsidR="007B190C" w:rsidRPr="001B363D" w:rsidRDefault="003B675D" w:rsidP="007B190C">
      <w:pPr>
        <w:pStyle w:val="HChG"/>
      </w:pPr>
      <w:r>
        <w:tab/>
      </w:r>
      <w:r>
        <w:tab/>
        <w:t>Proposal for updating Chapter</w:t>
      </w:r>
      <w:r w:rsidR="007B190C">
        <w:t xml:space="preserve"> 7</w:t>
      </w:r>
      <w:r w:rsidRPr="003B675D">
        <w:t xml:space="preserve"> </w:t>
      </w:r>
      <w:r>
        <w:t>of the Annex to Resolution No. 61, revised</w:t>
      </w:r>
      <w:r w:rsidR="007B190C">
        <w:t xml:space="preserve">, and a new </w:t>
      </w:r>
      <w:r>
        <w:t xml:space="preserve">Appendix, </w:t>
      </w:r>
      <w:r w:rsidRPr="00C903F8">
        <w:t>Navigation and information equipment</w:t>
      </w:r>
    </w:p>
    <w:p w14:paraId="13527A0D" w14:textId="77777777" w:rsidR="007B190C" w:rsidRPr="002D5395" w:rsidRDefault="007B190C" w:rsidP="007B190C">
      <w:pPr>
        <w:pStyle w:val="HChG"/>
        <w:rPr>
          <w:bCs/>
          <w:lang w:val="en-US"/>
        </w:rPr>
      </w:pPr>
      <w:r>
        <w:rPr>
          <w:lang w:val="en-US"/>
        </w:rPr>
        <w:tab/>
        <w:t>I</w:t>
      </w:r>
      <w:r w:rsidRPr="00C278DD">
        <w:rPr>
          <w:lang w:val="en-US"/>
        </w:rPr>
        <w:t>.</w:t>
      </w:r>
      <w:r w:rsidRPr="00C278DD">
        <w:rPr>
          <w:lang w:val="en-US"/>
        </w:rPr>
        <w:tab/>
      </w:r>
      <w:r>
        <w:rPr>
          <w:lang w:val="en-US"/>
        </w:rPr>
        <w:t xml:space="preserve">Proposal for updating Chapter 7, </w:t>
      </w:r>
      <w:r w:rsidRPr="002D5395">
        <w:rPr>
          <w:lang w:val="en-US"/>
        </w:rPr>
        <w:t>Wheelhouse</w:t>
      </w:r>
    </w:p>
    <w:p w14:paraId="7E59FDA5" w14:textId="5306B3DF" w:rsidR="007B190C" w:rsidRDefault="007B190C" w:rsidP="007B190C">
      <w:pPr>
        <w:pStyle w:val="SingleTxtG"/>
      </w:pPr>
      <w:r>
        <w:t>The present Section reproduces the text of Article 7.06.3 of ES-TRIN.</w:t>
      </w:r>
    </w:p>
    <w:p w14:paraId="7DAB96C6" w14:textId="4E062570" w:rsidR="007B190C" w:rsidRPr="00F33D75" w:rsidRDefault="007B190C" w:rsidP="00F33D75">
      <w:pPr>
        <w:pStyle w:val="SingleTxtG"/>
        <w:jc w:val="center"/>
        <w:rPr>
          <w:b/>
        </w:rPr>
      </w:pPr>
      <w:r>
        <w:t>“</w:t>
      </w:r>
      <w:bookmarkStart w:id="2" w:name="_Toc436115010"/>
      <w:r w:rsidRPr="00F33D75">
        <w:rPr>
          <w:b/>
        </w:rPr>
        <w:t>Article 7.06</w:t>
      </w:r>
      <w:r w:rsidR="00F33D75">
        <w:rPr>
          <w:b/>
        </w:rPr>
        <w:br/>
      </w:r>
      <w:r w:rsidRPr="00F33D75">
        <w:rPr>
          <w:b/>
        </w:rPr>
        <w:t>Navigation and information equipment</w:t>
      </w:r>
      <w:bookmarkEnd w:id="2"/>
    </w:p>
    <w:p w14:paraId="3AC418AD" w14:textId="77777777" w:rsidR="007B190C" w:rsidRDefault="007B190C" w:rsidP="007B190C">
      <w:pPr>
        <w:pStyle w:val="SingleTxtG"/>
        <w:ind w:left="567"/>
        <w:jc w:val="center"/>
        <w:rPr>
          <w:lang w:val="en-US"/>
        </w:rPr>
      </w:pPr>
      <w:r>
        <w:rPr>
          <w:lang w:val="en-US"/>
        </w:rPr>
        <w:t>…</w:t>
      </w:r>
    </w:p>
    <w:p w14:paraId="0FF36A4F" w14:textId="77777777" w:rsidR="007B190C" w:rsidRPr="00A37CC3" w:rsidRDefault="007B190C" w:rsidP="00A37CC3">
      <w:pPr>
        <w:pStyle w:val="SingleTxtG"/>
      </w:pPr>
      <w:bookmarkStart w:id="3" w:name="_GoBack"/>
      <w:r w:rsidRPr="00A37CC3">
        <w:t>3.</w:t>
      </w:r>
      <w:r w:rsidRPr="00A37CC3">
        <w:tab/>
        <w:t>Inland AIS equipment shall meet the requirements of the current “Vessel Tracking and Tracing Standard for Inland Navigation”.</w:t>
      </w:r>
    </w:p>
    <w:p w14:paraId="08421ACA" w14:textId="369384D3" w:rsidR="007B190C" w:rsidRPr="00A37CC3" w:rsidRDefault="007B190C" w:rsidP="00A37CC3">
      <w:pPr>
        <w:pStyle w:val="SingleTxtG"/>
      </w:pPr>
      <w:r w:rsidRPr="00A37CC3">
        <w:tab/>
        <w:t>The requirements of Annex 5 must be complied with.”</w:t>
      </w:r>
    </w:p>
    <w:bookmarkEnd w:id="3"/>
    <w:p w14:paraId="085B64CC" w14:textId="50052A79" w:rsidR="00F67365" w:rsidRDefault="007B190C" w:rsidP="009F2135">
      <w:pPr>
        <w:pStyle w:val="HChG"/>
      </w:pPr>
      <w:r>
        <w:tab/>
      </w:r>
      <w:r w:rsidR="009F2135">
        <w:t>I</w:t>
      </w:r>
      <w:r w:rsidR="00391E57" w:rsidRPr="00391E57">
        <w:t>I.</w:t>
      </w:r>
      <w:r w:rsidR="00391E57" w:rsidRPr="00391E57">
        <w:tab/>
      </w:r>
      <w:bookmarkStart w:id="4" w:name="_Toc436115259"/>
      <w:r w:rsidR="009F2135">
        <w:t xml:space="preserve">Proposal for a new Appendix, </w:t>
      </w:r>
      <w:r w:rsidR="009F2135" w:rsidRPr="00C903F8">
        <w:t>Navigation and information equipment</w:t>
      </w:r>
      <w:bookmarkEnd w:id="4"/>
    </w:p>
    <w:p w14:paraId="7D0EBF84" w14:textId="0FC93A85" w:rsidR="007B190C" w:rsidRDefault="007B190C" w:rsidP="007B190C">
      <w:pPr>
        <w:pStyle w:val="SingleTxtG"/>
      </w:pPr>
      <w:r>
        <w:t>The present Section reproduces the text of Annex 5 to ES-TRIN.</w:t>
      </w:r>
      <w:r w:rsidR="00E0630F">
        <w:rPr>
          <w:rStyle w:val="FootnoteReference"/>
        </w:rPr>
        <w:footnoteReference w:id="3"/>
      </w:r>
      <w:r w:rsidR="00D403A3" w:rsidRPr="009D3F56">
        <w:rPr>
          <w:vertAlign w:val="superscript"/>
        </w:rPr>
        <w:t>,</w:t>
      </w:r>
      <w:r w:rsidR="00D403A3">
        <w:t xml:space="preserve"> </w:t>
      </w:r>
      <w:r w:rsidR="00D403A3">
        <w:rPr>
          <w:rStyle w:val="FootnoteReference"/>
        </w:rPr>
        <w:footnoteReference w:id="4"/>
      </w:r>
    </w:p>
    <w:p w14:paraId="15CB1A5A" w14:textId="62122D5A" w:rsidR="003B675D" w:rsidRPr="004C5264" w:rsidRDefault="007B190C" w:rsidP="004C5264">
      <w:pPr>
        <w:pStyle w:val="SingleTxtG"/>
        <w:jc w:val="center"/>
        <w:rPr>
          <w:b/>
          <w:i/>
        </w:rPr>
      </w:pPr>
      <w:r>
        <w:t>“</w:t>
      </w:r>
      <w:r w:rsidR="003B675D" w:rsidRPr="004C5264">
        <w:rPr>
          <w:b/>
          <w:i/>
        </w:rPr>
        <w:t xml:space="preserve">ANNEX </w:t>
      </w:r>
      <w:proofErr w:type="gramStart"/>
      <w:r w:rsidR="003B675D" w:rsidRPr="004C5264">
        <w:rPr>
          <w:b/>
          <w:i/>
        </w:rPr>
        <w:t>5</w:t>
      </w:r>
      <w:r w:rsidR="004C5264">
        <w:rPr>
          <w:b/>
          <w:i/>
        </w:rPr>
        <w:br/>
      </w:r>
      <w:r w:rsidR="003B675D" w:rsidRPr="004C5264">
        <w:rPr>
          <w:b/>
          <w:i/>
        </w:rPr>
        <w:t>NAVIGATION</w:t>
      </w:r>
      <w:proofErr w:type="gramEnd"/>
      <w:r w:rsidR="003B675D" w:rsidRPr="004C5264">
        <w:rPr>
          <w:b/>
          <w:i/>
        </w:rPr>
        <w:t xml:space="preserve"> AND INFORMATION EQUIPMENT</w:t>
      </w:r>
    </w:p>
    <w:p w14:paraId="6B66DA0F" w14:textId="5B66BF64" w:rsidR="00A903A5" w:rsidRDefault="00A903A5" w:rsidP="00E85FD0">
      <w:pPr>
        <w:pStyle w:val="SingleTxtG"/>
        <w:jc w:val="center"/>
        <w:rPr>
          <w:lang w:val="en-US"/>
        </w:rPr>
      </w:pPr>
      <w:r w:rsidRPr="007E449B">
        <w:rPr>
          <w:b/>
        </w:rPr>
        <w:t>Contents</w:t>
      </w:r>
    </w:p>
    <w:p w14:paraId="0D13259F" w14:textId="77777777" w:rsidR="00F67365" w:rsidRDefault="009F2135" w:rsidP="00E85FD0">
      <w:pPr>
        <w:pStyle w:val="SingleTxtG"/>
        <w:jc w:val="center"/>
        <w:rPr>
          <w:rFonts w:eastAsia="Calibri"/>
          <w:noProof/>
          <w:lang w:val="en-US"/>
        </w:rPr>
      </w:pPr>
      <w:r w:rsidRPr="00C903F8">
        <w:rPr>
          <w:rFonts w:eastAsia="Calibri"/>
          <w:noProof/>
          <w:lang w:val="en-US"/>
        </w:rPr>
        <w:t>Definitions</w:t>
      </w:r>
    </w:p>
    <w:p w14:paraId="655C26B8" w14:textId="77777777" w:rsidR="00F67365" w:rsidRDefault="009F2135" w:rsidP="009B6656">
      <w:pPr>
        <w:pStyle w:val="SingleTxtG"/>
        <w:rPr>
          <w:lang w:val="en-US"/>
        </w:rPr>
      </w:pPr>
      <w:r w:rsidRPr="00C903F8">
        <w:rPr>
          <w:lang w:val="en-US"/>
        </w:rPr>
        <w:t>1.</w:t>
      </w:r>
      <w:r w:rsidRPr="00C903F8">
        <w:rPr>
          <w:lang w:val="en-US"/>
        </w:rPr>
        <w:tab/>
        <w:t xml:space="preserve">'Type test' means the test procedure as referred to in Section I Article 4 or Section II Article </w:t>
      </w:r>
      <w:proofErr w:type="gramStart"/>
      <w:r w:rsidRPr="00C903F8">
        <w:rPr>
          <w:lang w:val="en-US"/>
        </w:rPr>
        <w:t>1.03 which</w:t>
      </w:r>
      <w:proofErr w:type="gramEnd"/>
      <w:r w:rsidRPr="00C903F8">
        <w:rPr>
          <w:lang w:val="en-US"/>
        </w:rPr>
        <w:t xml:space="preserve"> the technical service uses to test for compliance with the requirements according to this Annex. The type test forms an integral part of the type approval.</w:t>
      </w:r>
    </w:p>
    <w:p w14:paraId="70BBF7F1" w14:textId="77777777" w:rsidR="00F67365" w:rsidRDefault="009F2135" w:rsidP="009B6656">
      <w:pPr>
        <w:pStyle w:val="SingleTxtG"/>
        <w:rPr>
          <w:lang w:val="en-US"/>
        </w:rPr>
      </w:pPr>
      <w:r w:rsidRPr="00C903F8">
        <w:rPr>
          <w:lang w:val="en-US"/>
        </w:rPr>
        <w:t>2.</w:t>
      </w:r>
      <w:r w:rsidRPr="00C903F8">
        <w:rPr>
          <w:lang w:val="en-US"/>
        </w:rPr>
        <w:tab/>
        <w:t>'Type approval' means the administrative procedure according, by which a Member State confirms that equipment complies with the requirements of this Annex.</w:t>
      </w:r>
    </w:p>
    <w:p w14:paraId="55DAF17B" w14:textId="77777777" w:rsidR="00F67365" w:rsidRDefault="009F2135" w:rsidP="009B6656">
      <w:pPr>
        <w:pStyle w:val="SingleTxtG"/>
        <w:rPr>
          <w:noProof/>
          <w:lang w:val="en-US"/>
        </w:rPr>
      </w:pPr>
      <w:r w:rsidRPr="00C903F8">
        <w:rPr>
          <w:noProof/>
          <w:lang w:val="en-US"/>
        </w:rPr>
        <w:t>3.</w:t>
      </w:r>
      <w:r w:rsidRPr="00C903F8">
        <w:rPr>
          <w:noProof/>
          <w:lang w:val="en-US"/>
        </w:rPr>
        <w:tab/>
        <w:t>'Test certificate' means the document in which the type testing results are laid down.</w:t>
      </w:r>
    </w:p>
    <w:p w14:paraId="775B37D4" w14:textId="77777777" w:rsidR="00F67365" w:rsidRDefault="009F2135" w:rsidP="009B6656">
      <w:pPr>
        <w:pStyle w:val="SingleTxtG"/>
        <w:rPr>
          <w:noProof/>
          <w:lang w:val="en-US"/>
        </w:rPr>
      </w:pPr>
      <w:r w:rsidRPr="00C903F8">
        <w:rPr>
          <w:noProof/>
          <w:lang w:val="en-US"/>
        </w:rPr>
        <w:t>4.</w:t>
      </w:r>
      <w:r w:rsidRPr="00C903F8">
        <w:rPr>
          <w:noProof/>
          <w:lang w:val="en-US"/>
        </w:rPr>
        <w:tab/>
        <w:t>'Applicant' or 'manufacturer' means any legal or natural person under whose name, trademark or any other form of identification the equipment submitted for testing is manufactured or marketed and who is responsible for all matters as regards the type testing and type approval procedure in respect of the technical service and the approval authority.</w:t>
      </w:r>
    </w:p>
    <w:p w14:paraId="375FAFA0" w14:textId="77777777" w:rsidR="00F67365" w:rsidRDefault="009F2135" w:rsidP="009B6656">
      <w:pPr>
        <w:pStyle w:val="SingleTxtG"/>
        <w:rPr>
          <w:noProof/>
          <w:lang w:val="en-US"/>
        </w:rPr>
      </w:pPr>
      <w:r w:rsidRPr="00C903F8">
        <w:rPr>
          <w:noProof/>
          <w:lang w:val="en-US"/>
        </w:rPr>
        <w:t>5.</w:t>
      </w:r>
      <w:r w:rsidRPr="00C903F8">
        <w:rPr>
          <w:noProof/>
          <w:lang w:val="en-US"/>
        </w:rPr>
        <w:tab/>
        <w:t>'Technical service' means the institution, authority or organisation that does the type testing.</w:t>
      </w:r>
    </w:p>
    <w:p w14:paraId="1D0FDC30" w14:textId="77777777" w:rsidR="00F67365" w:rsidRDefault="009F2135" w:rsidP="009B6656">
      <w:pPr>
        <w:pStyle w:val="SingleTxtG"/>
        <w:rPr>
          <w:noProof/>
          <w:lang w:val="en-US"/>
        </w:rPr>
      </w:pPr>
      <w:r w:rsidRPr="00C903F8">
        <w:rPr>
          <w:noProof/>
          <w:lang w:val="en-US"/>
        </w:rPr>
        <w:lastRenderedPageBreak/>
        <w:t>6.</w:t>
      </w:r>
      <w:r w:rsidRPr="00C903F8">
        <w:rPr>
          <w:noProof/>
          <w:lang w:val="en-US"/>
        </w:rPr>
        <w:tab/>
        <w:t>'Manufacturer's declaration' means the declaration by which a manufacturer gives the assurance that the equipment meets the prevailing minimum requirements and that is identical in every respect to the type submitted for testing.</w:t>
      </w:r>
    </w:p>
    <w:p w14:paraId="20A7F9A3" w14:textId="6B217639" w:rsidR="00F67365" w:rsidRDefault="009F2135" w:rsidP="009B6656">
      <w:pPr>
        <w:pStyle w:val="SingleTxtG"/>
        <w:rPr>
          <w:noProof/>
          <w:lang w:val="en-US"/>
        </w:rPr>
      </w:pPr>
      <w:r w:rsidRPr="00C903F8">
        <w:rPr>
          <w:noProof/>
          <w:lang w:val="en-US"/>
        </w:rPr>
        <w:t>7.</w:t>
      </w:r>
      <w:r w:rsidRPr="00C903F8">
        <w:rPr>
          <w:noProof/>
          <w:lang w:val="en-US"/>
        </w:rPr>
        <w:tab/>
        <w:t>'Declaration of conformity according to Directive 1999/5/EC</w:t>
      </w:r>
      <w:r w:rsidRPr="00C903F8">
        <w:rPr>
          <w:rStyle w:val="FootnoteReference"/>
          <w:rFonts w:cs="Arial"/>
          <w:noProof/>
          <w:color w:val="000000"/>
          <w:lang w:val="en-US"/>
        </w:rPr>
        <w:footnoteReference w:id="5"/>
      </w:r>
      <w:r w:rsidR="00FF4E94" w:rsidRPr="00C903F8">
        <w:rPr>
          <w:noProof/>
          <w:lang w:val="en-US"/>
        </w:rPr>
        <w:t>'</w:t>
      </w:r>
      <w:r w:rsidRPr="00C903F8">
        <w:rPr>
          <w:noProof/>
          <w:lang w:val="en-US"/>
        </w:rPr>
        <w:t xml:space="preserve"> means the declaration according to Directive 1999/5/EC Annex II(1), by which the manufacturer confirms that the products in question meet the applicable requirements of the Directive.</w:t>
      </w:r>
    </w:p>
    <w:p w14:paraId="57C8CAD8" w14:textId="383D3F08" w:rsidR="009F2135" w:rsidRPr="00E85FD0" w:rsidRDefault="009F2135" w:rsidP="00E85FD0">
      <w:pPr>
        <w:pStyle w:val="SingleTxtG"/>
        <w:jc w:val="center"/>
        <w:rPr>
          <w:b/>
          <w:noProof/>
          <w:lang w:val="en-US"/>
        </w:rPr>
      </w:pPr>
      <w:bookmarkStart w:id="5" w:name="_Toc436115260"/>
      <w:r w:rsidRPr="00E85FD0">
        <w:rPr>
          <w:b/>
          <w:noProof/>
          <w:lang w:val="en-US"/>
        </w:rPr>
        <w:t>Section I</w:t>
      </w:r>
      <w:bookmarkEnd w:id="5"/>
    </w:p>
    <w:p w14:paraId="398377C4" w14:textId="6DF1B044" w:rsidR="00F67365" w:rsidRPr="00E85FD0" w:rsidRDefault="009F2135" w:rsidP="00E85FD0">
      <w:pPr>
        <w:pStyle w:val="SingleTxtG"/>
        <w:jc w:val="center"/>
        <w:rPr>
          <w:b/>
          <w:bCs/>
          <w:lang w:val="en-US"/>
        </w:rPr>
      </w:pPr>
      <w:bookmarkStart w:id="6" w:name="_Toc436115261"/>
      <w:r w:rsidRPr="00E85FD0">
        <w:rPr>
          <w:b/>
          <w:noProof/>
          <w:lang w:val="en-US"/>
        </w:rPr>
        <w:t>Minimum requirements and test conditions for navigational radar installat</w:t>
      </w:r>
      <w:r w:rsidR="009B6656" w:rsidRPr="00E85FD0">
        <w:rPr>
          <w:b/>
          <w:noProof/>
          <w:lang w:val="en-US"/>
        </w:rPr>
        <w:t>ions</w:t>
      </w:r>
      <w:r w:rsidR="009B6656" w:rsidRPr="00E85FD0">
        <w:rPr>
          <w:b/>
          <w:noProof/>
          <w:lang w:val="en-US"/>
        </w:rPr>
        <w:br/>
      </w:r>
      <w:r w:rsidRPr="00E85FD0">
        <w:rPr>
          <w:b/>
          <w:noProof/>
          <w:lang w:val="en-US"/>
        </w:rPr>
        <w:t>in inland navigation</w:t>
      </w:r>
      <w:bookmarkEnd w:id="6"/>
    </w:p>
    <w:p w14:paraId="3DCC1D38" w14:textId="08346A8D" w:rsidR="00F67365" w:rsidRPr="00186E85" w:rsidRDefault="009F2135" w:rsidP="00186E85">
      <w:pPr>
        <w:pStyle w:val="SingleTxtG"/>
        <w:jc w:val="center"/>
        <w:rPr>
          <w:b/>
        </w:rPr>
      </w:pPr>
      <w:r w:rsidRPr="00186E85">
        <w:rPr>
          <w:b/>
        </w:rPr>
        <w:t>Article 1</w:t>
      </w:r>
      <w:r w:rsidR="00186E85">
        <w:rPr>
          <w:b/>
        </w:rPr>
        <w:br/>
      </w:r>
      <w:r w:rsidRPr="00186E85">
        <w:rPr>
          <w:b/>
        </w:rPr>
        <w:t>Scope</w:t>
      </w:r>
    </w:p>
    <w:p w14:paraId="6C7F6667" w14:textId="6C040F4B" w:rsidR="00F67365" w:rsidRDefault="009B6656" w:rsidP="009F2135">
      <w:pPr>
        <w:pStyle w:val="SingleTxtG"/>
        <w:rPr>
          <w:noProof/>
          <w:lang w:val="en-US"/>
        </w:rPr>
      </w:pPr>
      <w:r>
        <w:rPr>
          <w:noProof/>
          <w:lang w:val="en-US"/>
        </w:rPr>
        <w:tab/>
      </w:r>
      <w:r w:rsidR="009F2135" w:rsidRPr="00C903F8">
        <w:rPr>
          <w:noProof/>
          <w:lang w:val="en-US"/>
        </w:rPr>
        <w:t xml:space="preserve">These provisions set out the minimum requirements for navigational radar installations used in inland navigation as well as the conditions for testing conformity with these minimum requirements. </w:t>
      </w:r>
    </w:p>
    <w:p w14:paraId="728C5462" w14:textId="024A6168" w:rsidR="00F67365" w:rsidRPr="00525B9A" w:rsidRDefault="009F2135" w:rsidP="00525B9A">
      <w:pPr>
        <w:pStyle w:val="SingleTxtG"/>
        <w:jc w:val="center"/>
        <w:rPr>
          <w:b/>
          <w:noProof/>
          <w:lang w:val="en-US"/>
        </w:rPr>
      </w:pPr>
      <w:r w:rsidRPr="00525B9A">
        <w:rPr>
          <w:b/>
          <w:noProof/>
          <w:lang w:val="en-US"/>
        </w:rPr>
        <w:t>Article 2</w:t>
      </w:r>
      <w:r w:rsidR="00525B9A" w:rsidRPr="00525B9A">
        <w:rPr>
          <w:b/>
          <w:noProof/>
          <w:lang w:val="en-US"/>
        </w:rPr>
        <w:br/>
      </w:r>
      <w:r w:rsidRPr="00525B9A">
        <w:rPr>
          <w:b/>
          <w:noProof/>
          <w:lang w:val="en-US"/>
        </w:rPr>
        <w:t>Purpose of the navigational radar installation</w:t>
      </w:r>
    </w:p>
    <w:p w14:paraId="0533EF58" w14:textId="72CBB458" w:rsidR="00F67365" w:rsidRDefault="009B6656" w:rsidP="009F2135">
      <w:pPr>
        <w:pStyle w:val="SingleTxtG"/>
        <w:rPr>
          <w:noProof/>
          <w:lang w:val="en-US"/>
        </w:rPr>
      </w:pPr>
      <w:r>
        <w:rPr>
          <w:noProof/>
          <w:lang w:val="en-US"/>
        </w:rPr>
        <w:tab/>
      </w:r>
      <w:r w:rsidR="009F2135" w:rsidRPr="00C903F8">
        <w:rPr>
          <w:noProof/>
          <w:lang w:val="en-US"/>
        </w:rPr>
        <w:t>The navigational radar installations shall facilitate the navigation of the vessel by providing an intelligible radar picture of its position in relation to buoys shorelines and navigational structures, as well as permitting the reliable and timely recognition of other vessels and obstructions protruding above the surface of the waterway.</w:t>
      </w:r>
    </w:p>
    <w:p w14:paraId="70149B7D" w14:textId="7014ECC2" w:rsidR="00F67365" w:rsidRPr="00D736BD" w:rsidRDefault="009F2135" w:rsidP="00D736BD">
      <w:pPr>
        <w:pStyle w:val="SingleTxtG"/>
        <w:jc w:val="center"/>
        <w:rPr>
          <w:b/>
        </w:rPr>
      </w:pPr>
      <w:r w:rsidRPr="00D736BD">
        <w:rPr>
          <w:b/>
        </w:rPr>
        <w:t>Article 3</w:t>
      </w:r>
      <w:r w:rsidR="00D736BD">
        <w:rPr>
          <w:b/>
        </w:rPr>
        <w:br/>
      </w:r>
      <w:r w:rsidRPr="00D736BD">
        <w:rPr>
          <w:b/>
        </w:rPr>
        <w:t>Minimum requirements</w:t>
      </w:r>
    </w:p>
    <w:p w14:paraId="072F5908" w14:textId="77777777" w:rsidR="00F67365" w:rsidRDefault="009F2135" w:rsidP="009F2135">
      <w:pPr>
        <w:pStyle w:val="SingleTxtG"/>
        <w:rPr>
          <w:noProof/>
          <w:lang w:val="en-US"/>
        </w:rPr>
      </w:pPr>
      <w:r w:rsidRPr="00C903F8">
        <w:rPr>
          <w:lang w:val="en-US"/>
        </w:rPr>
        <w:t>1.</w:t>
      </w:r>
      <w:r w:rsidRPr="00C903F8">
        <w:rPr>
          <w:lang w:val="en-US"/>
        </w:rPr>
        <w:tab/>
        <w:t>Navigational r</w:t>
      </w:r>
      <w:r w:rsidRPr="00C903F8">
        <w:rPr>
          <w:noProof/>
          <w:lang w:val="en-US"/>
        </w:rPr>
        <w:t>adar installations shall meet the requirements of Directive 1999/5/EC.</w:t>
      </w:r>
    </w:p>
    <w:p w14:paraId="07F59629" w14:textId="77777777" w:rsidR="00F67365" w:rsidRDefault="009F2135" w:rsidP="009F2135">
      <w:pPr>
        <w:pStyle w:val="SingleTxtG"/>
        <w:rPr>
          <w:noProof/>
          <w:lang w:val="en-US"/>
        </w:rPr>
      </w:pPr>
      <w:r w:rsidRPr="00C903F8">
        <w:rPr>
          <w:lang w:val="en-US"/>
        </w:rPr>
        <w:t>2.</w:t>
      </w:r>
      <w:r w:rsidRPr="00C903F8">
        <w:rPr>
          <w:lang w:val="en-US"/>
        </w:rPr>
        <w:tab/>
        <w:t>Navigational r</w:t>
      </w:r>
      <w:r w:rsidRPr="00C903F8">
        <w:rPr>
          <w:noProof/>
          <w:lang w:val="en-US"/>
        </w:rPr>
        <w:t xml:space="preserve">adar installations </w:t>
      </w:r>
      <w:r w:rsidRPr="00C903F8">
        <w:rPr>
          <w:lang w:val="en-US"/>
        </w:rPr>
        <w:t xml:space="preserve">shall also meet the requirements of the European Standard </w:t>
      </w:r>
      <w:r w:rsidRPr="00C903F8">
        <w:rPr>
          <w:noProof/>
          <w:lang w:val="en-US"/>
        </w:rPr>
        <w:t>EN 302 194-1 : 2006 Electromagnetic compatibility and Radio spectrum Matters (ERM); Navigational radar used on inland waterways:</w:t>
      </w:r>
      <w:r w:rsidRPr="00C903F8">
        <w:rPr>
          <w:lang w:val="en-US"/>
        </w:rPr>
        <w:t xml:space="preserve"> </w:t>
      </w:r>
      <w:r w:rsidRPr="00C903F8">
        <w:rPr>
          <w:noProof/>
          <w:lang w:val="en-US"/>
        </w:rPr>
        <w:t>Part 1:</w:t>
      </w:r>
      <w:r w:rsidRPr="00C903F8">
        <w:rPr>
          <w:lang w:val="en-US"/>
        </w:rPr>
        <w:t xml:space="preserve"> </w:t>
      </w:r>
      <w:r w:rsidRPr="00C903F8">
        <w:rPr>
          <w:noProof/>
          <w:lang w:val="en-US"/>
        </w:rPr>
        <w:t>Technical characteristics and methods of measurement.</w:t>
      </w:r>
    </w:p>
    <w:p w14:paraId="0D5E7A24" w14:textId="20312A1C" w:rsidR="00F67365" w:rsidRPr="00B721A7" w:rsidRDefault="009F2135" w:rsidP="00B721A7">
      <w:pPr>
        <w:pStyle w:val="SingleTxtG"/>
        <w:jc w:val="center"/>
        <w:rPr>
          <w:b/>
        </w:rPr>
      </w:pPr>
      <w:r w:rsidRPr="00B721A7">
        <w:rPr>
          <w:b/>
        </w:rPr>
        <w:t>Article 4</w:t>
      </w:r>
      <w:r w:rsidR="00B721A7">
        <w:rPr>
          <w:b/>
        </w:rPr>
        <w:br/>
      </w:r>
      <w:r w:rsidRPr="00B721A7">
        <w:rPr>
          <w:b/>
        </w:rPr>
        <w:t>Type tests</w:t>
      </w:r>
    </w:p>
    <w:p w14:paraId="64794748" w14:textId="2424606E" w:rsidR="00F67365" w:rsidRDefault="009B6656" w:rsidP="009F2135">
      <w:pPr>
        <w:pStyle w:val="SingleTxtG"/>
        <w:rPr>
          <w:noProof/>
          <w:lang w:val="en-US"/>
        </w:rPr>
      </w:pPr>
      <w:r>
        <w:rPr>
          <w:noProof/>
          <w:lang w:val="en-US"/>
        </w:rPr>
        <w:tab/>
      </w:r>
      <w:r w:rsidR="009F2135" w:rsidRPr="00C903F8">
        <w:rPr>
          <w:noProof/>
          <w:lang w:val="en-US"/>
        </w:rPr>
        <w:t>Compliance with the minimum requirements as specified in Article 3(1) and (2) shall be established by means of a type test</w:t>
      </w:r>
      <w:r>
        <w:rPr>
          <w:noProof/>
          <w:lang w:val="en-US"/>
        </w:rPr>
        <w:t>.</w:t>
      </w:r>
    </w:p>
    <w:p w14:paraId="378B8110" w14:textId="22941A27" w:rsidR="00F67365" w:rsidRDefault="009B6656" w:rsidP="009F2135">
      <w:pPr>
        <w:pStyle w:val="SingleTxtG"/>
        <w:rPr>
          <w:noProof/>
          <w:lang w:val="en-US"/>
        </w:rPr>
      </w:pPr>
      <w:r>
        <w:rPr>
          <w:noProof/>
          <w:lang w:val="en-US"/>
        </w:rPr>
        <w:tab/>
      </w:r>
      <w:r w:rsidR="009F2135" w:rsidRPr="00C903F8">
        <w:rPr>
          <w:noProof/>
          <w:lang w:val="en-US"/>
        </w:rPr>
        <w:t>If the equipment passes the type test the technical service shall issue a test certificate. If the equipment fails to meet the minimum requirements, the applicant shall be notified in writing of the reasons for its rejection.</w:t>
      </w:r>
    </w:p>
    <w:p w14:paraId="1F28E45F" w14:textId="5E4A7409" w:rsidR="00F67365" w:rsidRPr="00062560" w:rsidRDefault="009F2135" w:rsidP="00062560">
      <w:pPr>
        <w:pStyle w:val="SingleTxtG"/>
        <w:jc w:val="center"/>
        <w:rPr>
          <w:b/>
        </w:rPr>
      </w:pPr>
      <w:r w:rsidRPr="00062560">
        <w:rPr>
          <w:b/>
        </w:rPr>
        <w:t>Article 5</w:t>
      </w:r>
      <w:r w:rsidR="00062560">
        <w:rPr>
          <w:b/>
        </w:rPr>
        <w:br/>
      </w:r>
      <w:r w:rsidRPr="00062560">
        <w:rPr>
          <w:b/>
        </w:rPr>
        <w:t>Application for a type test</w:t>
      </w:r>
    </w:p>
    <w:p w14:paraId="3A0F2E1D" w14:textId="77777777" w:rsidR="00F67365" w:rsidRDefault="009F2135" w:rsidP="009F2135">
      <w:pPr>
        <w:pStyle w:val="SingleTxtG"/>
        <w:rPr>
          <w:noProof/>
          <w:lang w:val="en-US"/>
        </w:rPr>
      </w:pPr>
      <w:r w:rsidRPr="00C903F8">
        <w:rPr>
          <w:noProof/>
          <w:lang w:val="en-US"/>
        </w:rPr>
        <w:t>1.</w:t>
      </w:r>
      <w:r w:rsidRPr="00C903F8">
        <w:rPr>
          <w:noProof/>
          <w:lang w:val="en-US"/>
        </w:rPr>
        <w:tab/>
        <w:t>Applications for a type test of the navigational radar installation shall be submitted to a competent technical service.</w:t>
      </w:r>
    </w:p>
    <w:p w14:paraId="1E974853" w14:textId="7ECDD91D" w:rsidR="009F2135" w:rsidRPr="00C903F8" w:rsidRDefault="009F2135" w:rsidP="009B6656">
      <w:pPr>
        <w:pStyle w:val="SingleTxtG"/>
        <w:rPr>
          <w:noProof/>
          <w:lang w:val="en-US"/>
        </w:rPr>
      </w:pPr>
      <w:r w:rsidRPr="00C903F8">
        <w:rPr>
          <w:noProof/>
          <w:lang w:val="en-US"/>
        </w:rPr>
        <w:t>2.</w:t>
      </w:r>
      <w:r w:rsidRPr="00C903F8">
        <w:rPr>
          <w:noProof/>
          <w:lang w:val="en-US"/>
        </w:rPr>
        <w:tab/>
        <w:t>Each application shall be accompanied by the following documents</w:t>
      </w:r>
    </w:p>
    <w:p w14:paraId="2CBE5406" w14:textId="47004119" w:rsidR="009F2135" w:rsidRPr="00C903F8" w:rsidRDefault="009B6656" w:rsidP="009B6656">
      <w:pPr>
        <w:pStyle w:val="SingleTxtG"/>
        <w:rPr>
          <w:noProof/>
          <w:szCs w:val="22"/>
          <w:lang w:val="en-US" w:eastAsia="zh-CN"/>
        </w:rPr>
      </w:pPr>
      <w:r>
        <w:rPr>
          <w:noProof/>
          <w:szCs w:val="22"/>
          <w:lang w:val="en-US" w:eastAsia="zh-CN"/>
        </w:rPr>
        <w:tab/>
      </w:r>
      <w:r w:rsidR="00CF06FE">
        <w:rPr>
          <w:noProof/>
          <w:szCs w:val="22"/>
          <w:lang w:val="en-US" w:eastAsia="zh-CN"/>
        </w:rPr>
        <w:t>(</w:t>
      </w:r>
      <w:r w:rsidR="009F2135" w:rsidRPr="00C903F8">
        <w:rPr>
          <w:noProof/>
          <w:szCs w:val="22"/>
          <w:lang w:val="en-US" w:eastAsia="zh-CN"/>
        </w:rPr>
        <w:t>a)</w:t>
      </w:r>
      <w:r w:rsidR="009F2135" w:rsidRPr="00C903F8">
        <w:rPr>
          <w:noProof/>
          <w:szCs w:val="22"/>
          <w:lang w:val="en-US" w:eastAsia="zh-CN"/>
        </w:rPr>
        <w:tab/>
        <w:t>Two detailed technical descriptions;</w:t>
      </w:r>
    </w:p>
    <w:p w14:paraId="1CAA22AE" w14:textId="6FCE29DB" w:rsidR="009F2135" w:rsidRPr="00C903F8" w:rsidRDefault="009B6656" w:rsidP="009B6656">
      <w:pPr>
        <w:pStyle w:val="SingleTxtG"/>
        <w:rPr>
          <w:noProof/>
          <w:szCs w:val="22"/>
          <w:lang w:val="en-US" w:eastAsia="zh-CN"/>
        </w:rPr>
      </w:pPr>
      <w:r>
        <w:rPr>
          <w:noProof/>
          <w:szCs w:val="22"/>
          <w:lang w:val="en-US" w:eastAsia="zh-CN"/>
        </w:rPr>
        <w:lastRenderedPageBreak/>
        <w:tab/>
      </w:r>
      <w:r w:rsidR="00CF06FE">
        <w:rPr>
          <w:noProof/>
          <w:szCs w:val="22"/>
          <w:lang w:val="en-US" w:eastAsia="zh-CN"/>
        </w:rPr>
        <w:t>(</w:t>
      </w:r>
      <w:r w:rsidR="009F2135" w:rsidRPr="00C903F8">
        <w:rPr>
          <w:noProof/>
          <w:szCs w:val="22"/>
          <w:lang w:val="en-US" w:eastAsia="zh-CN"/>
        </w:rPr>
        <w:t>b)</w:t>
      </w:r>
      <w:r w:rsidR="009F2135" w:rsidRPr="00C903F8">
        <w:rPr>
          <w:noProof/>
          <w:szCs w:val="22"/>
          <w:lang w:val="en-US" w:eastAsia="zh-CN"/>
        </w:rPr>
        <w:tab/>
        <w:t>two complete sets of installation and service documents;</w:t>
      </w:r>
    </w:p>
    <w:p w14:paraId="46011F0A" w14:textId="5328A53A" w:rsidR="009F2135" w:rsidRPr="00C903F8" w:rsidRDefault="009B6656" w:rsidP="009B6656">
      <w:pPr>
        <w:pStyle w:val="SingleTxtG"/>
        <w:rPr>
          <w:noProof/>
          <w:szCs w:val="22"/>
          <w:lang w:val="en-US" w:eastAsia="zh-CN"/>
        </w:rPr>
      </w:pPr>
      <w:r>
        <w:rPr>
          <w:noProof/>
          <w:szCs w:val="22"/>
          <w:lang w:val="en-US" w:eastAsia="zh-CN"/>
        </w:rPr>
        <w:tab/>
      </w:r>
      <w:r w:rsidR="00CF06FE">
        <w:rPr>
          <w:noProof/>
          <w:szCs w:val="22"/>
          <w:lang w:val="en-US" w:eastAsia="zh-CN"/>
        </w:rPr>
        <w:t>(</w:t>
      </w:r>
      <w:r w:rsidR="009F2135" w:rsidRPr="00C903F8">
        <w:rPr>
          <w:noProof/>
          <w:szCs w:val="22"/>
          <w:lang w:val="en-US" w:eastAsia="zh-CN"/>
        </w:rPr>
        <w:t>c)</w:t>
      </w:r>
      <w:r w:rsidR="009F2135" w:rsidRPr="00C903F8">
        <w:rPr>
          <w:noProof/>
          <w:szCs w:val="22"/>
          <w:lang w:val="en-US" w:eastAsia="zh-CN"/>
        </w:rPr>
        <w:tab/>
        <w:t xml:space="preserve">two detailed operator’s manuals; </w:t>
      </w:r>
    </w:p>
    <w:p w14:paraId="34109475" w14:textId="434EA586" w:rsidR="009F2135" w:rsidRPr="00C903F8" w:rsidRDefault="009B6656" w:rsidP="009B6656">
      <w:pPr>
        <w:pStyle w:val="SingleTxtG"/>
        <w:rPr>
          <w:noProof/>
          <w:szCs w:val="22"/>
          <w:lang w:val="en-US" w:eastAsia="zh-CN"/>
        </w:rPr>
      </w:pPr>
      <w:r>
        <w:rPr>
          <w:noProof/>
          <w:szCs w:val="22"/>
          <w:lang w:val="en-US" w:eastAsia="zh-CN"/>
        </w:rPr>
        <w:tab/>
      </w:r>
      <w:r w:rsidR="00CF06FE">
        <w:rPr>
          <w:noProof/>
          <w:szCs w:val="22"/>
          <w:lang w:val="en-US" w:eastAsia="zh-CN"/>
        </w:rPr>
        <w:t>(</w:t>
      </w:r>
      <w:r w:rsidR="000D36BB">
        <w:rPr>
          <w:noProof/>
          <w:szCs w:val="22"/>
          <w:lang w:val="en-US" w:eastAsia="zh-CN"/>
        </w:rPr>
        <w:t>d)</w:t>
      </w:r>
      <w:r w:rsidR="000D36BB">
        <w:rPr>
          <w:noProof/>
          <w:szCs w:val="22"/>
          <w:lang w:val="en-US" w:eastAsia="zh-CN"/>
        </w:rPr>
        <w:tab/>
        <w:t>two short operator’s manual;</w:t>
      </w:r>
    </w:p>
    <w:p w14:paraId="18E710B9" w14:textId="0DDD1870" w:rsidR="00F67365" w:rsidRDefault="009B6656" w:rsidP="009B6656">
      <w:pPr>
        <w:pStyle w:val="SingleTxtG"/>
        <w:rPr>
          <w:noProof/>
          <w:szCs w:val="22"/>
          <w:lang w:val="en-US" w:eastAsia="zh-CN"/>
        </w:rPr>
      </w:pPr>
      <w:r>
        <w:rPr>
          <w:noProof/>
          <w:szCs w:val="22"/>
          <w:lang w:val="en-US" w:eastAsia="zh-CN"/>
        </w:rPr>
        <w:tab/>
      </w:r>
      <w:r w:rsidR="00CF06FE">
        <w:rPr>
          <w:noProof/>
          <w:szCs w:val="22"/>
          <w:lang w:val="en-US" w:eastAsia="zh-CN"/>
        </w:rPr>
        <w:t>(</w:t>
      </w:r>
      <w:r w:rsidR="009F2135" w:rsidRPr="00C903F8">
        <w:rPr>
          <w:noProof/>
          <w:szCs w:val="22"/>
          <w:lang w:val="en-US" w:eastAsia="zh-CN"/>
        </w:rPr>
        <w:t>e)</w:t>
      </w:r>
      <w:r w:rsidR="009F2135" w:rsidRPr="00C903F8">
        <w:rPr>
          <w:noProof/>
          <w:szCs w:val="22"/>
          <w:lang w:val="en-US" w:eastAsia="zh-CN"/>
        </w:rPr>
        <w:tab/>
        <w:t>where applicable, evidence of previously completed tests.</w:t>
      </w:r>
    </w:p>
    <w:p w14:paraId="0B5F14E6" w14:textId="77777777" w:rsidR="00F67365" w:rsidRDefault="009F2135" w:rsidP="009B6656">
      <w:pPr>
        <w:pStyle w:val="SingleTxtG"/>
        <w:rPr>
          <w:noProof/>
          <w:lang w:val="en-US"/>
        </w:rPr>
      </w:pPr>
      <w:r w:rsidRPr="00C903F8">
        <w:rPr>
          <w:noProof/>
          <w:lang w:val="en-US"/>
        </w:rPr>
        <w:t>3.</w:t>
      </w:r>
      <w:r w:rsidRPr="00C903F8">
        <w:rPr>
          <w:noProof/>
          <w:lang w:val="en-US"/>
        </w:rPr>
        <w:tab/>
        <w:t>In case it is not intended by the applicant to have the Declaration of Conformity pursuant to Directive 1999/5/EC established concurrently with the type-approval, a Declaration of Conformity shall be submitted together with the application for a type test.</w:t>
      </w:r>
    </w:p>
    <w:p w14:paraId="79AF309E" w14:textId="77326C6C" w:rsidR="00F67365" w:rsidRPr="00021FC6" w:rsidRDefault="009F2135" w:rsidP="00021FC6">
      <w:pPr>
        <w:pStyle w:val="SingleTxtG"/>
        <w:jc w:val="center"/>
        <w:rPr>
          <w:b/>
        </w:rPr>
      </w:pPr>
      <w:r w:rsidRPr="00021FC6">
        <w:rPr>
          <w:b/>
        </w:rPr>
        <w:t>Article 6</w:t>
      </w:r>
      <w:r w:rsidR="00021FC6">
        <w:rPr>
          <w:b/>
        </w:rPr>
        <w:br/>
      </w:r>
      <w:r w:rsidRPr="00021FC6">
        <w:rPr>
          <w:b/>
        </w:rPr>
        <w:t>Type-approval</w:t>
      </w:r>
    </w:p>
    <w:p w14:paraId="1B18A393" w14:textId="77777777" w:rsidR="00F67365" w:rsidRDefault="009F2135" w:rsidP="009F2135">
      <w:pPr>
        <w:pStyle w:val="SingleTxtG"/>
        <w:rPr>
          <w:noProof/>
        </w:rPr>
      </w:pPr>
      <w:r w:rsidRPr="00C903F8">
        <w:rPr>
          <w:noProof/>
        </w:rPr>
        <w:t>1.</w:t>
      </w:r>
      <w:r w:rsidRPr="00C903F8">
        <w:rPr>
          <w:noProof/>
        </w:rPr>
        <w:tab/>
        <w:t xml:space="preserve">Type-approval shall be granted by the competent authority pursuant to the test certificate. </w:t>
      </w:r>
    </w:p>
    <w:p w14:paraId="31B27AF0" w14:textId="77777777" w:rsidR="00F67365" w:rsidRDefault="009F2135" w:rsidP="009F2135">
      <w:pPr>
        <w:pStyle w:val="SingleTxtG"/>
        <w:rPr>
          <w:noProof/>
          <w:lang w:val="en-US"/>
        </w:rPr>
      </w:pPr>
      <w:r w:rsidRPr="00C903F8">
        <w:rPr>
          <w:noProof/>
          <w:lang w:val="en-US"/>
        </w:rPr>
        <w:t>2.</w:t>
      </w:r>
      <w:r w:rsidRPr="00C903F8">
        <w:rPr>
          <w:noProof/>
          <w:lang w:val="en-US"/>
        </w:rPr>
        <w:tab/>
        <w:t>Each competent authority or the technical service designated by the competent authority shall be entitled to select equipment from the production series at any time for inspection</w:t>
      </w:r>
    </w:p>
    <w:p w14:paraId="0581E8A7" w14:textId="37D320D6" w:rsidR="00F67365" w:rsidRDefault="009B6656" w:rsidP="00C06BD7">
      <w:pPr>
        <w:pStyle w:val="SingleTxtG"/>
        <w:rPr>
          <w:noProof/>
          <w:lang w:val="en-US" w:eastAsia="nl-NL"/>
        </w:rPr>
      </w:pPr>
      <w:r>
        <w:rPr>
          <w:noProof/>
          <w:lang w:val="en-US" w:eastAsia="nl-NL"/>
        </w:rPr>
        <w:tab/>
      </w:r>
      <w:r w:rsidR="009F2135" w:rsidRPr="00C903F8">
        <w:rPr>
          <w:noProof/>
          <w:lang w:val="en-US" w:eastAsia="nl-NL"/>
        </w:rPr>
        <w:t>If this inspection reveals defects in the equipment, type-approval may be withdrawn.</w:t>
      </w:r>
      <w:r w:rsidR="00C06BD7">
        <w:rPr>
          <w:noProof/>
          <w:lang w:val="en-US" w:eastAsia="nl-NL"/>
        </w:rPr>
        <w:t xml:space="preserve"> </w:t>
      </w:r>
      <w:r w:rsidR="009F2135" w:rsidRPr="00C903F8">
        <w:rPr>
          <w:noProof/>
          <w:lang w:val="en-US" w:eastAsia="nl-NL"/>
        </w:rPr>
        <w:t>The type-approval shall be withdrawn by the authority that issued it.</w:t>
      </w:r>
    </w:p>
    <w:p w14:paraId="00D6CF8F" w14:textId="25B2A604" w:rsidR="00F67365" w:rsidRPr="00BB1AA4" w:rsidRDefault="009F2135" w:rsidP="00BB1AA4">
      <w:pPr>
        <w:pStyle w:val="SingleTxtG"/>
        <w:jc w:val="center"/>
        <w:rPr>
          <w:b/>
        </w:rPr>
      </w:pPr>
      <w:r w:rsidRPr="00BB1AA4">
        <w:rPr>
          <w:b/>
        </w:rPr>
        <w:t>Article 7</w:t>
      </w:r>
      <w:r w:rsidR="00BB1AA4">
        <w:rPr>
          <w:b/>
        </w:rPr>
        <w:br/>
      </w:r>
      <w:r w:rsidRPr="00BB1AA4">
        <w:rPr>
          <w:b/>
        </w:rPr>
        <w:t>Marking of the equipment and type approval number</w:t>
      </w:r>
    </w:p>
    <w:p w14:paraId="373DF2C6" w14:textId="77777777" w:rsidR="00F67365" w:rsidRPr="009B6656" w:rsidRDefault="009F2135" w:rsidP="009B6656">
      <w:pPr>
        <w:pStyle w:val="SingleTxtG"/>
      </w:pPr>
      <w:r w:rsidRPr="00C903F8">
        <w:rPr>
          <w:noProof/>
          <w:lang w:val="en-US"/>
        </w:rPr>
        <w:t>1.</w:t>
      </w:r>
      <w:r w:rsidRPr="00C903F8">
        <w:rPr>
          <w:noProof/>
          <w:lang w:val="en-US"/>
        </w:rPr>
        <w:tab/>
        <w:t>Each</w:t>
      </w:r>
      <w:r w:rsidRPr="009B6656">
        <w:t xml:space="preserve"> component of the equipment shall be marked indelibly with the name of the manufacturer, the trade designation of the equipment, the type of equipment and the serial number.</w:t>
      </w:r>
    </w:p>
    <w:p w14:paraId="6CA1F72D" w14:textId="7C6165AD" w:rsidR="009B6656" w:rsidRPr="00C903F8" w:rsidRDefault="009F2135" w:rsidP="00C06BD7">
      <w:pPr>
        <w:pStyle w:val="SingleTxtG"/>
        <w:spacing w:before="120"/>
        <w:rPr>
          <w:noProof/>
          <w:lang w:val="en-US"/>
        </w:rPr>
      </w:pPr>
      <w:r w:rsidRPr="009B6656">
        <w:t>2.</w:t>
      </w:r>
      <w:r w:rsidRPr="009B6656">
        <w:tab/>
        <w:t>The ty</w:t>
      </w:r>
      <w:r w:rsidRPr="00C903F8">
        <w:rPr>
          <w:noProof/>
          <w:lang w:val="en-US"/>
        </w:rPr>
        <w:t>pe-approval number assigned by the competent authority shall be affixed indelibly to the display unit in such a way that it remains clearly visible after the equipment has been installed.</w:t>
      </w:r>
      <w:r w:rsidR="000D36BB">
        <w:rPr>
          <w:noProof/>
          <w:lang w:val="en-US"/>
        </w:rPr>
        <w:t xml:space="preserve"> </w:t>
      </w:r>
      <w:r w:rsidR="009B6656" w:rsidRPr="00C903F8">
        <w:rPr>
          <w:noProof/>
          <w:lang w:val="en-US" w:eastAsia="nl-NL"/>
        </w:rPr>
        <w:t>Composition of a type-approval number: R-NN-NNN or e-NN-NNN</w:t>
      </w:r>
    </w:p>
    <w:p w14:paraId="1C946F23" w14:textId="76B4F5A7" w:rsidR="009B6656" w:rsidRPr="00C903F8" w:rsidRDefault="009B6656" w:rsidP="000D36BB">
      <w:pPr>
        <w:pStyle w:val="SingleTxtG"/>
        <w:rPr>
          <w:rFonts w:cs="Arial"/>
          <w:noProof/>
          <w:lang w:val="en-US" w:eastAsia="nl-NL"/>
        </w:rPr>
      </w:pPr>
      <w:r>
        <w:rPr>
          <w:rFonts w:cs="Arial"/>
          <w:noProof/>
          <w:lang w:val="en-US" w:eastAsia="nl-NL"/>
        </w:rPr>
        <w:tab/>
      </w:r>
      <w:r w:rsidR="00E849EB">
        <w:rPr>
          <w:rFonts w:cs="Arial"/>
          <w:noProof/>
          <w:lang w:val="en-US" w:eastAsia="nl-NL"/>
        </w:rPr>
        <w:tab/>
      </w:r>
      <w:r w:rsidRPr="00C903F8">
        <w:rPr>
          <w:rFonts w:cs="Arial"/>
          <w:noProof/>
          <w:lang w:val="en-US" w:eastAsia="nl-NL"/>
        </w:rPr>
        <w:t>R</w:t>
      </w:r>
      <w:r w:rsidRPr="00C903F8">
        <w:rPr>
          <w:rFonts w:cs="Arial"/>
          <w:lang w:val="en-US" w:eastAsia="nl-NL"/>
        </w:rPr>
        <w:tab/>
        <w:t>=</w:t>
      </w:r>
      <w:r w:rsidRPr="00C903F8">
        <w:rPr>
          <w:rFonts w:cs="Arial"/>
          <w:lang w:val="en-US" w:eastAsia="nl-NL"/>
        </w:rPr>
        <w:tab/>
      </w:r>
      <w:r w:rsidRPr="00C903F8">
        <w:rPr>
          <w:rFonts w:cs="Arial"/>
          <w:noProof/>
          <w:lang w:val="en-US" w:eastAsia="nl-NL"/>
        </w:rPr>
        <w:t>Rhine</w:t>
      </w:r>
    </w:p>
    <w:p w14:paraId="057859E0" w14:textId="1740ECF9" w:rsidR="009B6656" w:rsidRPr="00C903F8" w:rsidRDefault="009B6656" w:rsidP="000D36BB">
      <w:pPr>
        <w:pStyle w:val="SingleTxtG"/>
        <w:rPr>
          <w:noProof/>
          <w:lang w:val="en-US" w:eastAsia="nl-NL"/>
        </w:rPr>
      </w:pPr>
      <w:r>
        <w:rPr>
          <w:noProof/>
          <w:lang w:val="en-US" w:eastAsia="nl-NL"/>
        </w:rPr>
        <w:tab/>
      </w:r>
      <w:r w:rsidR="00E849EB">
        <w:rPr>
          <w:noProof/>
          <w:lang w:val="en-US" w:eastAsia="nl-NL"/>
        </w:rPr>
        <w:tab/>
      </w:r>
      <w:r w:rsidRPr="00C903F8">
        <w:rPr>
          <w:noProof/>
          <w:lang w:val="en-US" w:eastAsia="nl-NL"/>
        </w:rPr>
        <w:t>e</w:t>
      </w:r>
      <w:r w:rsidRPr="00C903F8">
        <w:rPr>
          <w:noProof/>
          <w:lang w:val="en-US" w:eastAsia="nl-NL"/>
        </w:rPr>
        <w:tab/>
        <w:t>=</w:t>
      </w:r>
      <w:r w:rsidRPr="00C903F8">
        <w:rPr>
          <w:noProof/>
          <w:lang w:val="en-US" w:eastAsia="nl-NL"/>
        </w:rPr>
        <w:tab/>
        <w:t>European Union</w:t>
      </w:r>
    </w:p>
    <w:p w14:paraId="751C96C7" w14:textId="30CFD61D" w:rsidR="009B6656" w:rsidRPr="00C903F8" w:rsidRDefault="009B6656" w:rsidP="009B6656">
      <w:pPr>
        <w:pStyle w:val="SingleTxtG"/>
        <w:rPr>
          <w:noProof/>
          <w:lang w:val="en-US" w:eastAsia="nl-NL"/>
        </w:rPr>
      </w:pPr>
      <w:r>
        <w:rPr>
          <w:noProof/>
          <w:lang w:val="en-US" w:eastAsia="nl-NL"/>
        </w:rPr>
        <w:tab/>
      </w:r>
      <w:r w:rsidR="00E849EB">
        <w:rPr>
          <w:noProof/>
          <w:lang w:val="en-US" w:eastAsia="nl-NL"/>
        </w:rPr>
        <w:tab/>
      </w:r>
      <w:r w:rsidRPr="00C903F8">
        <w:rPr>
          <w:noProof/>
          <w:lang w:val="en-US" w:eastAsia="nl-NL"/>
        </w:rPr>
        <w:t>NN</w:t>
      </w:r>
      <w:r w:rsidRPr="00C903F8">
        <w:rPr>
          <w:noProof/>
          <w:lang w:val="en-US" w:eastAsia="nl-NL"/>
        </w:rPr>
        <w:tab/>
        <w:t>=</w:t>
      </w:r>
      <w:r w:rsidRPr="00C903F8">
        <w:rPr>
          <w:noProof/>
          <w:lang w:val="en-US" w:eastAsia="nl-NL"/>
        </w:rPr>
        <w:tab/>
        <w:t>number for the country of type-approval, where</w:t>
      </w:r>
    </w:p>
    <w:tbl>
      <w:tblPr>
        <w:tblW w:w="7370" w:type="dxa"/>
        <w:tblInd w:w="1134" w:type="dxa"/>
        <w:tblLayout w:type="fixed"/>
        <w:tblCellMar>
          <w:left w:w="0" w:type="dxa"/>
          <w:right w:w="0" w:type="dxa"/>
        </w:tblCellMar>
        <w:tblLook w:val="0000" w:firstRow="0" w:lastRow="0" w:firstColumn="0" w:lastColumn="0" w:noHBand="0" w:noVBand="0"/>
      </w:tblPr>
      <w:tblGrid>
        <w:gridCol w:w="813"/>
        <w:gridCol w:w="236"/>
        <w:gridCol w:w="3071"/>
        <w:gridCol w:w="842"/>
        <w:gridCol w:w="266"/>
        <w:gridCol w:w="2142"/>
      </w:tblGrid>
      <w:tr w:rsidR="00F81233" w:rsidRPr="00F81233" w14:paraId="3BE95F7F" w14:textId="77777777" w:rsidTr="00F81233">
        <w:tc>
          <w:tcPr>
            <w:tcW w:w="813" w:type="dxa"/>
            <w:shd w:val="clear" w:color="auto" w:fill="auto"/>
            <w:vAlign w:val="bottom"/>
          </w:tcPr>
          <w:p w14:paraId="6DA37620" w14:textId="6616656F"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01 </w:t>
            </w:r>
          </w:p>
        </w:tc>
        <w:tc>
          <w:tcPr>
            <w:tcW w:w="236" w:type="dxa"/>
            <w:shd w:val="clear" w:color="auto" w:fill="auto"/>
            <w:vAlign w:val="bottom"/>
          </w:tcPr>
          <w:p w14:paraId="32F789E9" w14:textId="043E381B"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5D7272DB" w14:textId="61FB230C"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bidi="fr-FR"/>
              </w:rPr>
              <w:t>Germany</w:t>
            </w:r>
          </w:p>
        </w:tc>
        <w:tc>
          <w:tcPr>
            <w:tcW w:w="842" w:type="dxa"/>
            <w:shd w:val="clear" w:color="auto" w:fill="auto"/>
            <w:vAlign w:val="bottom"/>
          </w:tcPr>
          <w:p w14:paraId="0AAD12C7" w14:textId="7C7AAB6E"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19</w:t>
            </w:r>
          </w:p>
        </w:tc>
        <w:tc>
          <w:tcPr>
            <w:tcW w:w="266" w:type="dxa"/>
            <w:shd w:val="clear" w:color="auto" w:fill="auto"/>
            <w:vAlign w:val="bottom"/>
          </w:tcPr>
          <w:p w14:paraId="2CB62041" w14:textId="090F9912"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w:t>
            </w:r>
          </w:p>
        </w:tc>
        <w:tc>
          <w:tcPr>
            <w:tcW w:w="2142" w:type="dxa"/>
            <w:shd w:val="clear" w:color="auto" w:fill="auto"/>
            <w:vAlign w:val="bottom"/>
          </w:tcPr>
          <w:p w14:paraId="62002DC9" w14:textId="366FEFA0"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val="en-US"/>
              </w:rPr>
              <w:t>Romania</w:t>
            </w:r>
          </w:p>
        </w:tc>
      </w:tr>
      <w:tr w:rsidR="00F81233" w:rsidRPr="00F81233" w14:paraId="573855C9" w14:textId="77777777" w:rsidTr="00F81233">
        <w:tc>
          <w:tcPr>
            <w:tcW w:w="813" w:type="dxa"/>
            <w:shd w:val="clear" w:color="auto" w:fill="auto"/>
          </w:tcPr>
          <w:p w14:paraId="75C9A8EB"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02 </w:t>
            </w:r>
          </w:p>
        </w:tc>
        <w:tc>
          <w:tcPr>
            <w:tcW w:w="236" w:type="dxa"/>
            <w:shd w:val="clear" w:color="auto" w:fill="auto"/>
            <w:vAlign w:val="bottom"/>
          </w:tcPr>
          <w:p w14:paraId="54623AB4"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5772E4A1"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bidi="fr-FR"/>
              </w:rPr>
              <w:t xml:space="preserve">France </w:t>
            </w:r>
          </w:p>
        </w:tc>
        <w:tc>
          <w:tcPr>
            <w:tcW w:w="842" w:type="dxa"/>
            <w:shd w:val="clear" w:color="auto" w:fill="auto"/>
            <w:vAlign w:val="bottom"/>
          </w:tcPr>
          <w:p w14:paraId="6DB9DB23"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20 </w:t>
            </w:r>
          </w:p>
        </w:tc>
        <w:tc>
          <w:tcPr>
            <w:tcW w:w="266" w:type="dxa"/>
            <w:shd w:val="clear" w:color="auto" w:fill="auto"/>
            <w:vAlign w:val="bottom"/>
          </w:tcPr>
          <w:p w14:paraId="0E18C813"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2142" w:type="dxa"/>
            <w:shd w:val="clear" w:color="auto" w:fill="auto"/>
            <w:vAlign w:val="bottom"/>
          </w:tcPr>
          <w:p w14:paraId="67C04C34"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bidi="fr-FR"/>
              </w:rPr>
              <w:t xml:space="preserve">Poland </w:t>
            </w:r>
          </w:p>
        </w:tc>
      </w:tr>
      <w:tr w:rsidR="00F81233" w:rsidRPr="00F81233" w14:paraId="123C0124" w14:textId="77777777" w:rsidTr="00F81233">
        <w:tc>
          <w:tcPr>
            <w:tcW w:w="813" w:type="dxa"/>
            <w:shd w:val="clear" w:color="auto" w:fill="auto"/>
          </w:tcPr>
          <w:p w14:paraId="273FD344"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03 </w:t>
            </w:r>
          </w:p>
        </w:tc>
        <w:tc>
          <w:tcPr>
            <w:tcW w:w="236" w:type="dxa"/>
            <w:shd w:val="clear" w:color="auto" w:fill="auto"/>
            <w:vAlign w:val="bottom"/>
          </w:tcPr>
          <w:p w14:paraId="5698A9F9"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39BDA03B"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bidi="fr-FR"/>
              </w:rPr>
              <w:t>Italy</w:t>
            </w:r>
          </w:p>
        </w:tc>
        <w:tc>
          <w:tcPr>
            <w:tcW w:w="842" w:type="dxa"/>
            <w:shd w:val="clear" w:color="auto" w:fill="auto"/>
            <w:vAlign w:val="bottom"/>
          </w:tcPr>
          <w:p w14:paraId="3AB8CB0E"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21 </w:t>
            </w:r>
          </w:p>
        </w:tc>
        <w:tc>
          <w:tcPr>
            <w:tcW w:w="266" w:type="dxa"/>
            <w:shd w:val="clear" w:color="auto" w:fill="auto"/>
            <w:vAlign w:val="bottom"/>
          </w:tcPr>
          <w:p w14:paraId="5E52A6D6"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2142" w:type="dxa"/>
            <w:shd w:val="clear" w:color="auto" w:fill="auto"/>
            <w:vAlign w:val="bottom"/>
          </w:tcPr>
          <w:p w14:paraId="23D735E9"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bidi="fr-FR"/>
              </w:rPr>
              <w:t xml:space="preserve">Portugal </w:t>
            </w:r>
          </w:p>
        </w:tc>
      </w:tr>
      <w:tr w:rsidR="00F81233" w:rsidRPr="00F81233" w14:paraId="7D995771" w14:textId="77777777" w:rsidTr="00F81233">
        <w:tc>
          <w:tcPr>
            <w:tcW w:w="813" w:type="dxa"/>
            <w:shd w:val="clear" w:color="auto" w:fill="auto"/>
          </w:tcPr>
          <w:p w14:paraId="23047F39"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04 </w:t>
            </w:r>
          </w:p>
        </w:tc>
        <w:tc>
          <w:tcPr>
            <w:tcW w:w="236" w:type="dxa"/>
            <w:shd w:val="clear" w:color="auto" w:fill="auto"/>
            <w:vAlign w:val="bottom"/>
          </w:tcPr>
          <w:p w14:paraId="7E916992"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2B8C0B43"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bidi="fr-FR"/>
              </w:rPr>
              <w:t xml:space="preserve">Netherlands </w:t>
            </w:r>
          </w:p>
        </w:tc>
        <w:tc>
          <w:tcPr>
            <w:tcW w:w="842" w:type="dxa"/>
            <w:shd w:val="clear" w:color="auto" w:fill="auto"/>
            <w:vAlign w:val="bottom"/>
          </w:tcPr>
          <w:p w14:paraId="3698E1AE"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23 </w:t>
            </w:r>
          </w:p>
        </w:tc>
        <w:tc>
          <w:tcPr>
            <w:tcW w:w="266" w:type="dxa"/>
            <w:shd w:val="clear" w:color="auto" w:fill="auto"/>
            <w:vAlign w:val="bottom"/>
          </w:tcPr>
          <w:p w14:paraId="2216AFF9"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2142" w:type="dxa"/>
            <w:shd w:val="clear" w:color="auto" w:fill="auto"/>
            <w:vAlign w:val="bottom"/>
          </w:tcPr>
          <w:p w14:paraId="5B699C2D"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val="en-US"/>
              </w:rPr>
              <w:t>Greece</w:t>
            </w:r>
          </w:p>
        </w:tc>
      </w:tr>
      <w:tr w:rsidR="00F81233" w:rsidRPr="00F81233" w14:paraId="655148DB" w14:textId="77777777" w:rsidTr="00F81233">
        <w:tc>
          <w:tcPr>
            <w:tcW w:w="813" w:type="dxa"/>
            <w:shd w:val="clear" w:color="auto" w:fill="auto"/>
          </w:tcPr>
          <w:p w14:paraId="7EBC75DE"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05 </w:t>
            </w:r>
          </w:p>
        </w:tc>
        <w:tc>
          <w:tcPr>
            <w:tcW w:w="236" w:type="dxa"/>
            <w:shd w:val="clear" w:color="auto" w:fill="auto"/>
            <w:vAlign w:val="bottom"/>
          </w:tcPr>
          <w:p w14:paraId="1F02D48A"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4AA07498"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napToGrid w:val="0"/>
                <w:sz w:val="18"/>
                <w:szCs w:val="18"/>
                <w:lang w:val="en-US"/>
              </w:rPr>
              <w:t>Sweden</w:t>
            </w:r>
          </w:p>
        </w:tc>
        <w:tc>
          <w:tcPr>
            <w:tcW w:w="842" w:type="dxa"/>
            <w:shd w:val="clear" w:color="auto" w:fill="auto"/>
            <w:vAlign w:val="bottom"/>
          </w:tcPr>
          <w:p w14:paraId="08A5C97B"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24 </w:t>
            </w:r>
          </w:p>
        </w:tc>
        <w:tc>
          <w:tcPr>
            <w:tcW w:w="266" w:type="dxa"/>
            <w:shd w:val="clear" w:color="auto" w:fill="auto"/>
            <w:vAlign w:val="bottom"/>
          </w:tcPr>
          <w:p w14:paraId="5B2F3A7D"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2142" w:type="dxa"/>
            <w:shd w:val="clear" w:color="auto" w:fill="auto"/>
            <w:vAlign w:val="bottom"/>
          </w:tcPr>
          <w:p w14:paraId="3DE3C033"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val="en-US"/>
              </w:rPr>
              <w:t>Ireland</w:t>
            </w:r>
          </w:p>
        </w:tc>
      </w:tr>
      <w:tr w:rsidR="00F81233" w:rsidRPr="00F81233" w14:paraId="0C0F9598" w14:textId="77777777" w:rsidTr="00F81233">
        <w:tc>
          <w:tcPr>
            <w:tcW w:w="813" w:type="dxa"/>
            <w:shd w:val="clear" w:color="auto" w:fill="auto"/>
          </w:tcPr>
          <w:p w14:paraId="7A64DBB6"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06 </w:t>
            </w:r>
          </w:p>
        </w:tc>
        <w:tc>
          <w:tcPr>
            <w:tcW w:w="236" w:type="dxa"/>
            <w:shd w:val="clear" w:color="auto" w:fill="auto"/>
            <w:vAlign w:val="bottom"/>
          </w:tcPr>
          <w:p w14:paraId="0A4DD360"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66B2BFE5"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bidi="fr-FR"/>
              </w:rPr>
              <w:t xml:space="preserve">Belgium </w:t>
            </w:r>
          </w:p>
        </w:tc>
        <w:tc>
          <w:tcPr>
            <w:tcW w:w="842" w:type="dxa"/>
            <w:shd w:val="clear" w:color="auto" w:fill="auto"/>
            <w:vAlign w:val="bottom"/>
          </w:tcPr>
          <w:p w14:paraId="7278B2F8"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rFonts w:eastAsia="Arial"/>
                <w:sz w:val="18"/>
                <w:szCs w:val="18"/>
                <w:lang w:val="de-DE" w:eastAsia="ar-SA"/>
              </w:rPr>
              <w:t>25</w:t>
            </w:r>
          </w:p>
        </w:tc>
        <w:tc>
          <w:tcPr>
            <w:tcW w:w="266" w:type="dxa"/>
            <w:shd w:val="clear" w:color="auto" w:fill="auto"/>
            <w:vAlign w:val="bottom"/>
          </w:tcPr>
          <w:p w14:paraId="1B76BAD3"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rFonts w:eastAsia="Arial"/>
                <w:sz w:val="18"/>
                <w:szCs w:val="18"/>
                <w:lang w:val="de-DE" w:eastAsia="ar-SA"/>
              </w:rPr>
              <w:t>=</w:t>
            </w:r>
          </w:p>
        </w:tc>
        <w:tc>
          <w:tcPr>
            <w:tcW w:w="2142" w:type="dxa"/>
            <w:shd w:val="clear" w:color="auto" w:fill="auto"/>
            <w:vAlign w:val="bottom"/>
          </w:tcPr>
          <w:p w14:paraId="34E9E554"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napToGrid w:val="0"/>
                <w:sz w:val="18"/>
                <w:szCs w:val="18"/>
                <w:lang w:val="en-US"/>
              </w:rPr>
              <w:t>Croatia</w:t>
            </w:r>
          </w:p>
        </w:tc>
      </w:tr>
      <w:tr w:rsidR="00F81233" w:rsidRPr="00F81233" w14:paraId="61E671F1" w14:textId="77777777" w:rsidTr="00F81233">
        <w:tc>
          <w:tcPr>
            <w:tcW w:w="813" w:type="dxa"/>
            <w:shd w:val="clear" w:color="auto" w:fill="auto"/>
          </w:tcPr>
          <w:p w14:paraId="4CEAA609"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07 </w:t>
            </w:r>
          </w:p>
        </w:tc>
        <w:tc>
          <w:tcPr>
            <w:tcW w:w="236" w:type="dxa"/>
            <w:shd w:val="clear" w:color="auto" w:fill="auto"/>
            <w:vAlign w:val="bottom"/>
          </w:tcPr>
          <w:p w14:paraId="60F07B7D"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04BE4A8C"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napToGrid w:val="0"/>
                <w:sz w:val="18"/>
                <w:szCs w:val="18"/>
                <w:lang w:val="en-US"/>
              </w:rPr>
              <w:t>Hungary</w:t>
            </w:r>
          </w:p>
        </w:tc>
        <w:tc>
          <w:tcPr>
            <w:tcW w:w="842" w:type="dxa"/>
            <w:shd w:val="clear" w:color="auto" w:fill="auto"/>
            <w:vAlign w:val="bottom"/>
          </w:tcPr>
          <w:p w14:paraId="133E9210"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26 </w:t>
            </w:r>
          </w:p>
        </w:tc>
        <w:tc>
          <w:tcPr>
            <w:tcW w:w="266" w:type="dxa"/>
            <w:shd w:val="clear" w:color="auto" w:fill="auto"/>
            <w:vAlign w:val="bottom"/>
          </w:tcPr>
          <w:p w14:paraId="627621F0"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2142" w:type="dxa"/>
            <w:shd w:val="clear" w:color="auto" w:fill="auto"/>
            <w:vAlign w:val="bottom"/>
          </w:tcPr>
          <w:p w14:paraId="6900E1E1"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napToGrid w:val="0"/>
                <w:sz w:val="18"/>
                <w:szCs w:val="18"/>
                <w:lang w:val="en-US"/>
              </w:rPr>
              <w:t>Slovenia</w:t>
            </w:r>
          </w:p>
        </w:tc>
      </w:tr>
      <w:tr w:rsidR="00F81233" w:rsidRPr="00F81233" w14:paraId="45446903" w14:textId="77777777" w:rsidTr="00F81233">
        <w:tc>
          <w:tcPr>
            <w:tcW w:w="813" w:type="dxa"/>
            <w:shd w:val="clear" w:color="auto" w:fill="auto"/>
          </w:tcPr>
          <w:p w14:paraId="60AE1865"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08 </w:t>
            </w:r>
          </w:p>
        </w:tc>
        <w:tc>
          <w:tcPr>
            <w:tcW w:w="236" w:type="dxa"/>
            <w:shd w:val="clear" w:color="auto" w:fill="auto"/>
            <w:vAlign w:val="bottom"/>
          </w:tcPr>
          <w:p w14:paraId="11EABF79"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75C04432"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napToGrid w:val="0"/>
                <w:sz w:val="18"/>
                <w:szCs w:val="18"/>
                <w:lang w:val="en-US"/>
              </w:rPr>
              <w:t>Czech Republic</w:t>
            </w:r>
          </w:p>
        </w:tc>
        <w:tc>
          <w:tcPr>
            <w:tcW w:w="842" w:type="dxa"/>
            <w:shd w:val="clear" w:color="auto" w:fill="auto"/>
            <w:vAlign w:val="bottom"/>
          </w:tcPr>
          <w:p w14:paraId="6C0517B1"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27 </w:t>
            </w:r>
          </w:p>
        </w:tc>
        <w:tc>
          <w:tcPr>
            <w:tcW w:w="266" w:type="dxa"/>
            <w:shd w:val="clear" w:color="auto" w:fill="auto"/>
            <w:vAlign w:val="bottom"/>
          </w:tcPr>
          <w:p w14:paraId="1A6ABFF0"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2142" w:type="dxa"/>
            <w:shd w:val="clear" w:color="auto" w:fill="auto"/>
            <w:vAlign w:val="bottom"/>
          </w:tcPr>
          <w:p w14:paraId="0C521D8D"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val="en-US"/>
              </w:rPr>
              <w:t>Slovakia</w:t>
            </w:r>
          </w:p>
        </w:tc>
      </w:tr>
      <w:tr w:rsidR="00F81233" w:rsidRPr="00F81233" w14:paraId="6C37F959" w14:textId="77777777" w:rsidTr="00F81233">
        <w:trPr>
          <w:trHeight w:val="178"/>
        </w:trPr>
        <w:tc>
          <w:tcPr>
            <w:tcW w:w="813" w:type="dxa"/>
            <w:shd w:val="clear" w:color="auto" w:fill="auto"/>
          </w:tcPr>
          <w:p w14:paraId="6C7D7A2B"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09 </w:t>
            </w:r>
          </w:p>
        </w:tc>
        <w:tc>
          <w:tcPr>
            <w:tcW w:w="236" w:type="dxa"/>
            <w:shd w:val="clear" w:color="auto" w:fill="auto"/>
            <w:vAlign w:val="bottom"/>
          </w:tcPr>
          <w:p w14:paraId="24C4BAE9"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2A4336B7"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bidi="fr-FR"/>
              </w:rPr>
              <w:t xml:space="preserve">Spain </w:t>
            </w:r>
          </w:p>
        </w:tc>
        <w:tc>
          <w:tcPr>
            <w:tcW w:w="842" w:type="dxa"/>
            <w:shd w:val="clear" w:color="auto" w:fill="auto"/>
            <w:vAlign w:val="bottom"/>
          </w:tcPr>
          <w:p w14:paraId="6F96DB8D"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29 </w:t>
            </w:r>
          </w:p>
        </w:tc>
        <w:tc>
          <w:tcPr>
            <w:tcW w:w="266" w:type="dxa"/>
            <w:shd w:val="clear" w:color="auto" w:fill="auto"/>
            <w:vAlign w:val="bottom"/>
          </w:tcPr>
          <w:p w14:paraId="09719E98"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2142" w:type="dxa"/>
            <w:shd w:val="clear" w:color="auto" w:fill="auto"/>
            <w:vAlign w:val="bottom"/>
          </w:tcPr>
          <w:p w14:paraId="66DDF61F"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napToGrid w:val="0"/>
                <w:sz w:val="18"/>
                <w:szCs w:val="18"/>
                <w:lang w:val="en-US"/>
              </w:rPr>
              <w:t>Estonia</w:t>
            </w:r>
          </w:p>
        </w:tc>
      </w:tr>
      <w:tr w:rsidR="00F81233" w:rsidRPr="00F81233" w14:paraId="7FA7EBDC" w14:textId="77777777" w:rsidTr="00F81233">
        <w:tc>
          <w:tcPr>
            <w:tcW w:w="813" w:type="dxa"/>
            <w:shd w:val="clear" w:color="auto" w:fill="auto"/>
          </w:tcPr>
          <w:p w14:paraId="6A054924"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11 </w:t>
            </w:r>
          </w:p>
        </w:tc>
        <w:tc>
          <w:tcPr>
            <w:tcW w:w="236" w:type="dxa"/>
            <w:shd w:val="clear" w:color="auto" w:fill="auto"/>
            <w:vAlign w:val="bottom"/>
          </w:tcPr>
          <w:p w14:paraId="67D3D96B"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4548DAED"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val="en-US"/>
              </w:rPr>
              <w:t>United Kingdom</w:t>
            </w:r>
          </w:p>
        </w:tc>
        <w:tc>
          <w:tcPr>
            <w:tcW w:w="842" w:type="dxa"/>
            <w:shd w:val="clear" w:color="auto" w:fill="auto"/>
            <w:vAlign w:val="bottom"/>
          </w:tcPr>
          <w:p w14:paraId="17039602"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32 </w:t>
            </w:r>
          </w:p>
        </w:tc>
        <w:tc>
          <w:tcPr>
            <w:tcW w:w="266" w:type="dxa"/>
            <w:shd w:val="clear" w:color="auto" w:fill="auto"/>
            <w:vAlign w:val="bottom"/>
          </w:tcPr>
          <w:p w14:paraId="7F9E9161"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2142" w:type="dxa"/>
            <w:shd w:val="clear" w:color="auto" w:fill="auto"/>
            <w:vAlign w:val="bottom"/>
          </w:tcPr>
          <w:p w14:paraId="013C4176"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napToGrid w:val="0"/>
                <w:sz w:val="18"/>
                <w:szCs w:val="18"/>
                <w:lang w:val="en-US"/>
              </w:rPr>
              <w:t>Latvia</w:t>
            </w:r>
          </w:p>
        </w:tc>
      </w:tr>
      <w:tr w:rsidR="00F81233" w:rsidRPr="00F81233" w14:paraId="401CE736" w14:textId="77777777" w:rsidTr="00F81233">
        <w:tc>
          <w:tcPr>
            <w:tcW w:w="813" w:type="dxa"/>
            <w:shd w:val="clear" w:color="auto" w:fill="auto"/>
          </w:tcPr>
          <w:p w14:paraId="68104644"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12 </w:t>
            </w:r>
          </w:p>
        </w:tc>
        <w:tc>
          <w:tcPr>
            <w:tcW w:w="236" w:type="dxa"/>
            <w:shd w:val="clear" w:color="auto" w:fill="auto"/>
            <w:vAlign w:val="bottom"/>
          </w:tcPr>
          <w:p w14:paraId="536480EF"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51B32FAF"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napToGrid w:val="0"/>
                <w:sz w:val="18"/>
                <w:szCs w:val="18"/>
                <w:lang w:val="en-US"/>
              </w:rPr>
              <w:t>Austria</w:t>
            </w:r>
          </w:p>
        </w:tc>
        <w:tc>
          <w:tcPr>
            <w:tcW w:w="842" w:type="dxa"/>
            <w:shd w:val="clear" w:color="auto" w:fill="auto"/>
            <w:vAlign w:val="bottom"/>
          </w:tcPr>
          <w:p w14:paraId="623924C3"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34</w:t>
            </w:r>
          </w:p>
        </w:tc>
        <w:tc>
          <w:tcPr>
            <w:tcW w:w="266" w:type="dxa"/>
            <w:shd w:val="clear" w:color="auto" w:fill="auto"/>
            <w:vAlign w:val="bottom"/>
          </w:tcPr>
          <w:p w14:paraId="45444506"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w:t>
            </w:r>
          </w:p>
        </w:tc>
        <w:tc>
          <w:tcPr>
            <w:tcW w:w="2142" w:type="dxa"/>
            <w:shd w:val="clear" w:color="auto" w:fill="auto"/>
            <w:vAlign w:val="bottom"/>
          </w:tcPr>
          <w:p w14:paraId="6718DE81"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val="en-US"/>
              </w:rPr>
              <w:t>Bulgaria</w:t>
            </w:r>
          </w:p>
        </w:tc>
      </w:tr>
      <w:tr w:rsidR="00F81233" w:rsidRPr="00F81233" w14:paraId="1C11042E" w14:textId="77777777" w:rsidTr="00F81233">
        <w:tc>
          <w:tcPr>
            <w:tcW w:w="813" w:type="dxa"/>
            <w:shd w:val="clear" w:color="auto" w:fill="auto"/>
          </w:tcPr>
          <w:p w14:paraId="2FDECF1F"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13 </w:t>
            </w:r>
          </w:p>
        </w:tc>
        <w:tc>
          <w:tcPr>
            <w:tcW w:w="236" w:type="dxa"/>
            <w:shd w:val="clear" w:color="auto" w:fill="auto"/>
            <w:vAlign w:val="bottom"/>
          </w:tcPr>
          <w:p w14:paraId="11BC9D33"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0BE76534"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bidi="fr-FR"/>
              </w:rPr>
              <w:t xml:space="preserve">Luxembourg </w:t>
            </w:r>
          </w:p>
        </w:tc>
        <w:tc>
          <w:tcPr>
            <w:tcW w:w="842" w:type="dxa"/>
            <w:shd w:val="clear" w:color="auto" w:fill="auto"/>
            <w:vAlign w:val="bottom"/>
          </w:tcPr>
          <w:p w14:paraId="47222DCB"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36 </w:t>
            </w:r>
          </w:p>
        </w:tc>
        <w:tc>
          <w:tcPr>
            <w:tcW w:w="266" w:type="dxa"/>
            <w:shd w:val="clear" w:color="auto" w:fill="auto"/>
            <w:vAlign w:val="bottom"/>
          </w:tcPr>
          <w:p w14:paraId="05439D8A"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2142" w:type="dxa"/>
            <w:shd w:val="clear" w:color="auto" w:fill="auto"/>
            <w:vAlign w:val="bottom"/>
          </w:tcPr>
          <w:p w14:paraId="0DFF73FA"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napToGrid w:val="0"/>
                <w:sz w:val="18"/>
                <w:szCs w:val="18"/>
                <w:lang w:val="en-US"/>
              </w:rPr>
              <w:t>Lithuania</w:t>
            </w:r>
          </w:p>
        </w:tc>
      </w:tr>
      <w:tr w:rsidR="00F81233" w:rsidRPr="00F81233" w14:paraId="1738A544" w14:textId="77777777" w:rsidTr="00F81233">
        <w:tc>
          <w:tcPr>
            <w:tcW w:w="813" w:type="dxa"/>
            <w:shd w:val="clear" w:color="auto" w:fill="auto"/>
          </w:tcPr>
          <w:p w14:paraId="53DA21B1"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14</w:t>
            </w:r>
          </w:p>
        </w:tc>
        <w:tc>
          <w:tcPr>
            <w:tcW w:w="236" w:type="dxa"/>
            <w:shd w:val="clear" w:color="auto" w:fill="auto"/>
            <w:vAlign w:val="bottom"/>
          </w:tcPr>
          <w:p w14:paraId="724B59FD"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4FC8452E"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napToGrid w:val="0"/>
                <w:sz w:val="18"/>
                <w:szCs w:val="18"/>
                <w:lang w:val="en-US"/>
              </w:rPr>
              <w:t>Switzerland</w:t>
            </w:r>
          </w:p>
        </w:tc>
        <w:tc>
          <w:tcPr>
            <w:tcW w:w="842" w:type="dxa"/>
            <w:shd w:val="clear" w:color="auto" w:fill="auto"/>
            <w:vAlign w:val="bottom"/>
          </w:tcPr>
          <w:p w14:paraId="5112E2BB"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49 </w:t>
            </w:r>
          </w:p>
        </w:tc>
        <w:tc>
          <w:tcPr>
            <w:tcW w:w="266" w:type="dxa"/>
            <w:shd w:val="clear" w:color="auto" w:fill="auto"/>
            <w:vAlign w:val="bottom"/>
          </w:tcPr>
          <w:p w14:paraId="5C9104C9"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2142" w:type="dxa"/>
            <w:shd w:val="clear" w:color="auto" w:fill="auto"/>
            <w:vAlign w:val="bottom"/>
          </w:tcPr>
          <w:p w14:paraId="42717F97"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val="en-US"/>
              </w:rPr>
              <w:t>Cyprus</w:t>
            </w:r>
          </w:p>
        </w:tc>
      </w:tr>
      <w:tr w:rsidR="00F81233" w:rsidRPr="00F81233" w14:paraId="5EE9E121" w14:textId="77777777" w:rsidTr="00F81233">
        <w:tc>
          <w:tcPr>
            <w:tcW w:w="813" w:type="dxa"/>
            <w:shd w:val="clear" w:color="auto" w:fill="auto"/>
          </w:tcPr>
          <w:p w14:paraId="7328DA45"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17 </w:t>
            </w:r>
          </w:p>
        </w:tc>
        <w:tc>
          <w:tcPr>
            <w:tcW w:w="236" w:type="dxa"/>
            <w:shd w:val="clear" w:color="auto" w:fill="auto"/>
            <w:vAlign w:val="bottom"/>
          </w:tcPr>
          <w:p w14:paraId="014A8E98"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244D04B5"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bidi="fr-FR"/>
              </w:rPr>
              <w:t>Finland</w:t>
            </w:r>
          </w:p>
        </w:tc>
        <w:tc>
          <w:tcPr>
            <w:tcW w:w="842" w:type="dxa"/>
            <w:shd w:val="clear" w:color="auto" w:fill="auto"/>
            <w:vAlign w:val="bottom"/>
          </w:tcPr>
          <w:p w14:paraId="39BA6308"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50 </w:t>
            </w:r>
          </w:p>
        </w:tc>
        <w:tc>
          <w:tcPr>
            <w:tcW w:w="266" w:type="dxa"/>
            <w:shd w:val="clear" w:color="auto" w:fill="auto"/>
            <w:vAlign w:val="bottom"/>
          </w:tcPr>
          <w:p w14:paraId="3E75EFA1"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2142" w:type="dxa"/>
            <w:shd w:val="clear" w:color="auto" w:fill="auto"/>
            <w:vAlign w:val="bottom"/>
          </w:tcPr>
          <w:p w14:paraId="4D76BAD2"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napToGrid w:val="0"/>
                <w:sz w:val="18"/>
                <w:szCs w:val="18"/>
                <w:lang w:val="en-US"/>
              </w:rPr>
              <w:t>Malta</w:t>
            </w:r>
          </w:p>
        </w:tc>
      </w:tr>
      <w:tr w:rsidR="00F81233" w:rsidRPr="00F81233" w14:paraId="5DD97814" w14:textId="77777777" w:rsidTr="00F81233">
        <w:tc>
          <w:tcPr>
            <w:tcW w:w="813" w:type="dxa"/>
            <w:shd w:val="clear" w:color="auto" w:fill="auto"/>
          </w:tcPr>
          <w:p w14:paraId="4D6E9CD5"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18 </w:t>
            </w:r>
          </w:p>
        </w:tc>
        <w:tc>
          <w:tcPr>
            <w:tcW w:w="236" w:type="dxa"/>
            <w:shd w:val="clear" w:color="auto" w:fill="auto"/>
            <w:vAlign w:val="bottom"/>
          </w:tcPr>
          <w:p w14:paraId="27837C29" w14:textId="77777777" w:rsidR="00F81233" w:rsidRPr="000D36BB" w:rsidRDefault="00F81233" w:rsidP="00F81233">
            <w:pPr>
              <w:suppressAutoHyphens w:val="0"/>
              <w:spacing w:before="40" w:after="40" w:line="220" w:lineRule="exact"/>
              <w:ind w:right="113"/>
              <w:jc w:val="right"/>
              <w:rPr>
                <w:noProof/>
                <w:sz w:val="18"/>
                <w:szCs w:val="18"/>
                <w:lang w:bidi="fr-FR"/>
              </w:rPr>
            </w:pPr>
            <w:r w:rsidRPr="000D36BB">
              <w:rPr>
                <w:noProof/>
                <w:sz w:val="18"/>
                <w:szCs w:val="18"/>
                <w:lang w:bidi="fr-FR"/>
              </w:rPr>
              <w:t xml:space="preserve">= </w:t>
            </w:r>
          </w:p>
        </w:tc>
        <w:tc>
          <w:tcPr>
            <w:tcW w:w="3071" w:type="dxa"/>
            <w:shd w:val="clear" w:color="auto" w:fill="auto"/>
            <w:vAlign w:val="bottom"/>
          </w:tcPr>
          <w:p w14:paraId="7A3EF021" w14:textId="77777777" w:rsidR="00F81233" w:rsidRPr="000D36BB" w:rsidRDefault="00F81233" w:rsidP="00F81233">
            <w:pPr>
              <w:suppressAutoHyphens w:val="0"/>
              <w:spacing w:before="40" w:after="40" w:line="220" w:lineRule="exact"/>
              <w:ind w:right="113"/>
              <w:rPr>
                <w:noProof/>
                <w:sz w:val="18"/>
                <w:szCs w:val="18"/>
                <w:lang w:bidi="fr-FR"/>
              </w:rPr>
            </w:pPr>
            <w:r w:rsidRPr="000D36BB">
              <w:rPr>
                <w:noProof/>
                <w:sz w:val="18"/>
                <w:szCs w:val="18"/>
                <w:lang w:bidi="fr-FR"/>
              </w:rPr>
              <w:t xml:space="preserve">Denmark </w:t>
            </w:r>
          </w:p>
        </w:tc>
        <w:tc>
          <w:tcPr>
            <w:tcW w:w="842" w:type="dxa"/>
            <w:shd w:val="clear" w:color="auto" w:fill="auto"/>
            <w:vAlign w:val="bottom"/>
          </w:tcPr>
          <w:p w14:paraId="5B8F2DE1" w14:textId="77777777" w:rsidR="00F81233" w:rsidRPr="000D36BB" w:rsidRDefault="00F81233" w:rsidP="00F81233">
            <w:pPr>
              <w:suppressAutoHyphens w:val="0"/>
              <w:spacing w:before="40" w:after="40" w:line="220" w:lineRule="exact"/>
              <w:ind w:right="113"/>
              <w:jc w:val="right"/>
              <w:rPr>
                <w:noProof/>
                <w:sz w:val="18"/>
                <w:szCs w:val="18"/>
                <w:lang w:bidi="fr-FR"/>
              </w:rPr>
            </w:pPr>
          </w:p>
        </w:tc>
        <w:tc>
          <w:tcPr>
            <w:tcW w:w="266" w:type="dxa"/>
            <w:shd w:val="clear" w:color="auto" w:fill="auto"/>
            <w:vAlign w:val="bottom"/>
          </w:tcPr>
          <w:p w14:paraId="1EDFEF60" w14:textId="77777777" w:rsidR="00F81233" w:rsidRPr="000D36BB" w:rsidRDefault="00F81233" w:rsidP="00F81233">
            <w:pPr>
              <w:suppressAutoHyphens w:val="0"/>
              <w:spacing w:before="40" w:after="40" w:line="220" w:lineRule="exact"/>
              <w:ind w:right="113"/>
              <w:jc w:val="right"/>
              <w:rPr>
                <w:noProof/>
                <w:sz w:val="18"/>
                <w:szCs w:val="18"/>
                <w:lang w:bidi="fr-FR"/>
              </w:rPr>
            </w:pPr>
          </w:p>
        </w:tc>
        <w:tc>
          <w:tcPr>
            <w:tcW w:w="2142" w:type="dxa"/>
            <w:shd w:val="clear" w:color="auto" w:fill="auto"/>
            <w:vAlign w:val="bottom"/>
          </w:tcPr>
          <w:p w14:paraId="0FEEF92A" w14:textId="77777777" w:rsidR="00F81233" w:rsidRPr="000D36BB" w:rsidRDefault="00F81233" w:rsidP="00F81233">
            <w:pPr>
              <w:suppressAutoHyphens w:val="0"/>
              <w:spacing w:before="40" w:after="40" w:line="220" w:lineRule="exact"/>
              <w:ind w:right="113"/>
              <w:rPr>
                <w:noProof/>
                <w:sz w:val="18"/>
                <w:szCs w:val="18"/>
                <w:lang w:bidi="fr-FR"/>
              </w:rPr>
            </w:pPr>
          </w:p>
        </w:tc>
      </w:tr>
    </w:tbl>
    <w:p w14:paraId="113A3525" w14:textId="3738244E" w:rsidR="009B6656" w:rsidRPr="00C903F8" w:rsidRDefault="00671782" w:rsidP="00BD4848">
      <w:pPr>
        <w:pStyle w:val="SingleTxtG"/>
        <w:spacing w:before="120"/>
        <w:rPr>
          <w:noProof/>
          <w:lang w:val="en-US" w:eastAsia="nl-NL" w:bidi="fr-FR"/>
        </w:rPr>
      </w:pPr>
      <w:r>
        <w:rPr>
          <w:noProof/>
          <w:lang w:val="en-US" w:eastAsia="nl-NL" w:bidi="fr-FR"/>
        </w:rPr>
        <w:lastRenderedPageBreak/>
        <w:tab/>
      </w:r>
      <w:r w:rsidR="009B6656" w:rsidRPr="00C903F8">
        <w:rPr>
          <w:noProof/>
          <w:lang w:val="en-US" w:eastAsia="nl-NL" w:bidi="fr-FR"/>
        </w:rPr>
        <w:t>NNN</w:t>
      </w:r>
      <w:r w:rsidR="009B6656" w:rsidRPr="00C903F8">
        <w:rPr>
          <w:noProof/>
          <w:lang w:val="en-US" w:eastAsia="nl-NL" w:bidi="fr-FR"/>
        </w:rPr>
        <w:tab/>
        <w:t>=</w:t>
      </w:r>
      <w:r w:rsidR="009B6656" w:rsidRPr="00C903F8">
        <w:rPr>
          <w:noProof/>
          <w:lang w:val="en-US" w:eastAsia="nl-NL" w:bidi="fr-FR"/>
        </w:rPr>
        <w:tab/>
        <w:t>three-digit number, to be determined by the competent authority.</w:t>
      </w:r>
    </w:p>
    <w:p w14:paraId="687BFA4C" w14:textId="64B74F73" w:rsidR="00F67365" w:rsidRPr="00163379" w:rsidRDefault="009F2135" w:rsidP="00163379">
      <w:pPr>
        <w:pStyle w:val="SingleTxtG"/>
        <w:jc w:val="center"/>
        <w:rPr>
          <w:b/>
        </w:rPr>
      </w:pPr>
      <w:r w:rsidRPr="00163379">
        <w:rPr>
          <w:b/>
        </w:rPr>
        <w:t>Article 8</w:t>
      </w:r>
      <w:r w:rsidR="00163379">
        <w:rPr>
          <w:b/>
        </w:rPr>
        <w:br/>
      </w:r>
      <w:r w:rsidRPr="00163379">
        <w:rPr>
          <w:b/>
        </w:rPr>
        <w:t>Manufacturer’s declaration</w:t>
      </w:r>
    </w:p>
    <w:p w14:paraId="5EDF1FC2" w14:textId="77777777" w:rsidR="00F67365" w:rsidRDefault="009F2135" w:rsidP="00F81233">
      <w:pPr>
        <w:pStyle w:val="SingleTxtG"/>
        <w:rPr>
          <w:rFonts w:cs="Arial"/>
          <w:noProof/>
          <w:lang w:val="en-US"/>
        </w:rPr>
      </w:pPr>
      <w:r w:rsidRPr="00C903F8">
        <w:rPr>
          <w:rFonts w:cs="Arial"/>
          <w:noProof/>
          <w:lang w:val="en-US"/>
        </w:rPr>
        <w:t>Each unit of equipment shall be accompanied by a manufacturer's declaration.</w:t>
      </w:r>
    </w:p>
    <w:p w14:paraId="3D9CBFED" w14:textId="57F05313" w:rsidR="00F67365" w:rsidRPr="00561A2E" w:rsidRDefault="009F2135" w:rsidP="00561A2E">
      <w:pPr>
        <w:pStyle w:val="SingleTxtG"/>
        <w:jc w:val="center"/>
        <w:rPr>
          <w:b/>
        </w:rPr>
      </w:pPr>
      <w:r w:rsidRPr="00561A2E">
        <w:rPr>
          <w:b/>
        </w:rPr>
        <w:t xml:space="preserve">Article </w:t>
      </w:r>
      <w:proofErr w:type="gramStart"/>
      <w:r w:rsidRPr="00561A2E">
        <w:rPr>
          <w:b/>
        </w:rPr>
        <w:t>9</w:t>
      </w:r>
      <w:proofErr w:type="gramEnd"/>
      <w:r w:rsidR="00561A2E">
        <w:rPr>
          <w:b/>
        </w:rPr>
        <w:br/>
      </w:r>
      <w:r w:rsidRPr="00561A2E">
        <w:rPr>
          <w:b/>
        </w:rPr>
        <w:t>Modifications to type-approved equipment</w:t>
      </w:r>
    </w:p>
    <w:p w14:paraId="4194A0A8" w14:textId="77777777" w:rsidR="00F67365" w:rsidRDefault="009F2135" w:rsidP="00F81233">
      <w:pPr>
        <w:pStyle w:val="SingleTxtG"/>
        <w:rPr>
          <w:rFonts w:cs="Arial"/>
          <w:noProof/>
          <w:color w:val="000000"/>
          <w:lang w:val="en-US"/>
        </w:rPr>
      </w:pPr>
      <w:r w:rsidRPr="00C903F8">
        <w:rPr>
          <w:rFonts w:cs="Arial"/>
          <w:noProof/>
          <w:color w:val="000000"/>
          <w:lang w:val="en-US"/>
        </w:rPr>
        <w:t>1.</w:t>
      </w:r>
      <w:r w:rsidRPr="00C903F8">
        <w:rPr>
          <w:rFonts w:cs="Arial"/>
          <w:noProof/>
          <w:color w:val="000000"/>
          <w:lang w:val="en-US"/>
        </w:rPr>
        <w:tab/>
        <w:t xml:space="preserve">Any modification made to equipment already approved shall cause the type-approval to be forfeit. </w:t>
      </w:r>
    </w:p>
    <w:p w14:paraId="3349DAFB" w14:textId="265161A1" w:rsidR="00F67365" w:rsidRDefault="00F81233" w:rsidP="00F81233">
      <w:pPr>
        <w:pStyle w:val="SingleTxtG"/>
        <w:rPr>
          <w:noProof/>
          <w:lang w:val="en-US" w:eastAsia="nl-NL"/>
        </w:rPr>
      </w:pPr>
      <w:r>
        <w:rPr>
          <w:noProof/>
          <w:lang w:val="en-US" w:eastAsia="nl-NL"/>
        </w:rPr>
        <w:tab/>
      </w:r>
      <w:r w:rsidR="009F2135" w:rsidRPr="00C903F8">
        <w:rPr>
          <w:noProof/>
          <w:lang w:val="en-US" w:eastAsia="nl-NL"/>
        </w:rPr>
        <w:t>Whenever modifications are planned, details shall be sent in writing to the competent technical service.</w:t>
      </w:r>
    </w:p>
    <w:p w14:paraId="683DBC68" w14:textId="7AFEA786" w:rsidR="00F67365" w:rsidRDefault="009F2135" w:rsidP="00F81233">
      <w:pPr>
        <w:pStyle w:val="SingleTxtG"/>
        <w:rPr>
          <w:rFonts w:cs="Arial"/>
          <w:noProof/>
          <w:color w:val="000000"/>
          <w:lang w:val="en-US"/>
        </w:rPr>
      </w:pPr>
      <w:r w:rsidRPr="00C903F8">
        <w:rPr>
          <w:rFonts w:cs="Arial"/>
          <w:noProof/>
          <w:color w:val="000000"/>
          <w:lang w:val="en-US"/>
        </w:rPr>
        <w:t>2.</w:t>
      </w:r>
      <w:r w:rsidRPr="00C903F8">
        <w:rPr>
          <w:rFonts w:cs="Arial"/>
          <w:noProof/>
          <w:color w:val="000000"/>
          <w:lang w:val="en-US"/>
        </w:rPr>
        <w:tab/>
        <w:t>The competent authority shall decide following consultation with the technical service whether the type-approval still applies or whether an inspection or new type test is necessary</w:t>
      </w:r>
      <w:r w:rsidR="00F81233">
        <w:rPr>
          <w:rFonts w:cs="Arial"/>
          <w:noProof/>
          <w:color w:val="000000"/>
          <w:lang w:val="en-US"/>
        </w:rPr>
        <w:t>.</w:t>
      </w:r>
    </w:p>
    <w:p w14:paraId="4BD2FE56" w14:textId="1B1B2246" w:rsidR="009F2135" w:rsidRDefault="00F81233" w:rsidP="00F81233">
      <w:pPr>
        <w:pStyle w:val="SingleTxtG"/>
        <w:rPr>
          <w:noProof/>
          <w:lang w:val="en-US" w:eastAsia="nl-NL"/>
        </w:rPr>
      </w:pPr>
      <w:r>
        <w:rPr>
          <w:noProof/>
          <w:lang w:val="en-US" w:eastAsia="nl-NL"/>
        </w:rPr>
        <w:tab/>
      </w:r>
      <w:r w:rsidR="009F2135" w:rsidRPr="00C903F8">
        <w:rPr>
          <w:noProof/>
          <w:lang w:val="en-US" w:eastAsia="nl-NL"/>
        </w:rPr>
        <w:t>If a new type test is granted, a new type-approval number shall be assigned.</w:t>
      </w:r>
    </w:p>
    <w:p w14:paraId="40A6DDA0" w14:textId="1EE05C61" w:rsidR="009F2135" w:rsidRPr="00E85FD0" w:rsidRDefault="009F2135" w:rsidP="00E85FD0">
      <w:pPr>
        <w:pStyle w:val="SingleTxtG"/>
        <w:jc w:val="center"/>
        <w:rPr>
          <w:b/>
        </w:rPr>
      </w:pPr>
      <w:bookmarkStart w:id="7" w:name="_Toc436115262"/>
      <w:r w:rsidRPr="00E85FD0">
        <w:rPr>
          <w:b/>
        </w:rPr>
        <w:t>Section II</w:t>
      </w:r>
      <w:bookmarkEnd w:id="7"/>
    </w:p>
    <w:p w14:paraId="5E5CC73E" w14:textId="62C2DF96" w:rsidR="00F67365" w:rsidRPr="00E85FD0" w:rsidRDefault="009F2135" w:rsidP="00E85FD0">
      <w:pPr>
        <w:pStyle w:val="SingleTxtG"/>
        <w:jc w:val="center"/>
        <w:rPr>
          <w:b/>
        </w:rPr>
      </w:pPr>
      <w:bookmarkStart w:id="8" w:name="_Toc436115263"/>
      <w:r w:rsidRPr="00E85FD0">
        <w:rPr>
          <w:b/>
        </w:rPr>
        <w:t>Minimum requirements and test conditions for rate-of-turn indicators</w:t>
      </w:r>
      <w:r w:rsidR="00F81233" w:rsidRPr="00E85FD0">
        <w:rPr>
          <w:b/>
        </w:rPr>
        <w:br/>
      </w:r>
      <w:r w:rsidRPr="00E85FD0">
        <w:rPr>
          <w:b/>
        </w:rPr>
        <w:t>in inland navigation</w:t>
      </w:r>
      <w:bookmarkEnd w:id="8"/>
    </w:p>
    <w:p w14:paraId="4A6F1263" w14:textId="0A693FC9" w:rsidR="00F67365" w:rsidRPr="0079186C" w:rsidRDefault="00F81233" w:rsidP="0079186C">
      <w:pPr>
        <w:pStyle w:val="SingleTxtG"/>
        <w:jc w:val="center"/>
        <w:rPr>
          <w:b/>
        </w:rPr>
      </w:pPr>
      <w:r w:rsidRPr="0079186C">
        <w:rPr>
          <w:b/>
        </w:rPr>
        <w:t>CHAPTER 1</w:t>
      </w:r>
      <w:r w:rsidR="0079186C">
        <w:rPr>
          <w:b/>
        </w:rPr>
        <w:br/>
      </w:r>
      <w:r w:rsidRPr="0079186C">
        <w:rPr>
          <w:b/>
        </w:rPr>
        <w:t>GENERAL</w:t>
      </w:r>
    </w:p>
    <w:p w14:paraId="714013A8" w14:textId="6A3F6CC6" w:rsidR="00F67365" w:rsidRPr="0079186C" w:rsidRDefault="009F2135" w:rsidP="0079186C">
      <w:pPr>
        <w:pStyle w:val="SingleTxtG"/>
        <w:jc w:val="center"/>
        <w:rPr>
          <w:b/>
        </w:rPr>
      </w:pPr>
      <w:r w:rsidRPr="0079186C">
        <w:rPr>
          <w:b/>
        </w:rPr>
        <w:t xml:space="preserve">Article </w:t>
      </w:r>
      <w:proofErr w:type="gramStart"/>
      <w:r w:rsidRPr="0079186C">
        <w:rPr>
          <w:b/>
        </w:rPr>
        <w:t>1.01</w:t>
      </w:r>
      <w:r w:rsidR="0079186C">
        <w:rPr>
          <w:b/>
        </w:rPr>
        <w:br/>
      </w:r>
      <w:r w:rsidRPr="0079186C">
        <w:rPr>
          <w:b/>
        </w:rPr>
        <w:t>Scope</w:t>
      </w:r>
      <w:proofErr w:type="gramEnd"/>
    </w:p>
    <w:p w14:paraId="0EB256F5" w14:textId="1841D7B8" w:rsidR="00F67365" w:rsidRDefault="00F81233" w:rsidP="00F81233">
      <w:pPr>
        <w:pStyle w:val="SingleTxtG"/>
      </w:pPr>
      <w:r>
        <w:tab/>
      </w:r>
      <w:r w:rsidR="009F2135" w:rsidRPr="009F2135">
        <w:t>These provisions set out the minimum requirements for rate-of-turn indicators in inland navigation, as well as the conditions for testing conformity with these minimum requirements.</w:t>
      </w:r>
    </w:p>
    <w:p w14:paraId="69FC3BB1" w14:textId="5E77133E" w:rsidR="00F67365" w:rsidRPr="00474228" w:rsidRDefault="009F2135" w:rsidP="00474228">
      <w:pPr>
        <w:pStyle w:val="SingleTxtG"/>
        <w:jc w:val="center"/>
        <w:rPr>
          <w:b/>
        </w:rPr>
      </w:pPr>
      <w:r w:rsidRPr="00474228">
        <w:rPr>
          <w:b/>
        </w:rPr>
        <w:t>Article 1.02</w:t>
      </w:r>
      <w:r w:rsidR="00474228">
        <w:rPr>
          <w:b/>
        </w:rPr>
        <w:br/>
      </w:r>
      <w:r w:rsidRPr="00474228">
        <w:rPr>
          <w:b/>
        </w:rPr>
        <w:t>Purpose of the rate-of-turn indicator</w:t>
      </w:r>
    </w:p>
    <w:p w14:paraId="30497D3C" w14:textId="30FD67C4" w:rsidR="00F67365" w:rsidRDefault="00F81233" w:rsidP="00F81233">
      <w:pPr>
        <w:pStyle w:val="SingleTxtG"/>
      </w:pPr>
      <w:r>
        <w:tab/>
      </w:r>
      <w:r w:rsidR="009F2135" w:rsidRPr="009F2135">
        <w:t xml:space="preserve">The rate-of-turn indicator </w:t>
      </w:r>
      <w:proofErr w:type="gramStart"/>
      <w:r w:rsidR="009F2135" w:rsidRPr="009F2135">
        <w:t>is intended</w:t>
      </w:r>
      <w:proofErr w:type="gramEnd"/>
      <w:r w:rsidR="009F2135" w:rsidRPr="009F2135">
        <w:t xml:space="preserve"> to facilitate radar navigation, and to measure and indicate the rate of turn of the vessel to port or starboard.</w:t>
      </w:r>
    </w:p>
    <w:p w14:paraId="1694D807" w14:textId="50508AFD" w:rsidR="00F67365" w:rsidRPr="004815C8" w:rsidRDefault="009F2135" w:rsidP="004815C8">
      <w:pPr>
        <w:pStyle w:val="SingleTxtG"/>
        <w:jc w:val="center"/>
        <w:rPr>
          <w:b/>
        </w:rPr>
      </w:pPr>
      <w:r w:rsidRPr="004815C8">
        <w:rPr>
          <w:b/>
        </w:rPr>
        <w:t>Article 1.03</w:t>
      </w:r>
      <w:r w:rsidR="004815C8">
        <w:rPr>
          <w:b/>
        </w:rPr>
        <w:br/>
      </w:r>
      <w:r w:rsidRPr="004815C8">
        <w:rPr>
          <w:b/>
        </w:rPr>
        <w:t>Type test</w:t>
      </w:r>
    </w:p>
    <w:p w14:paraId="3EFED3B5" w14:textId="77777777" w:rsidR="00F67365" w:rsidRDefault="009F2135" w:rsidP="00F81233">
      <w:pPr>
        <w:pStyle w:val="SingleTxtG"/>
      </w:pPr>
      <w:r w:rsidRPr="009F2135">
        <w:t>1.</w:t>
      </w:r>
      <w:r w:rsidRPr="009F2135">
        <w:tab/>
        <w:t xml:space="preserve">Compliance with the minimum requirements for rate-of-turn indicators pursuant to Chapters 2 to </w:t>
      </w:r>
      <w:proofErr w:type="gramStart"/>
      <w:r w:rsidRPr="009F2135">
        <w:t>4</w:t>
      </w:r>
      <w:proofErr w:type="gramEnd"/>
      <w:r w:rsidRPr="009F2135">
        <w:t xml:space="preserve"> shall be established by means of a type test.</w:t>
      </w:r>
    </w:p>
    <w:p w14:paraId="1C8A8F71" w14:textId="77777777" w:rsidR="00F67365" w:rsidRDefault="009F2135" w:rsidP="00F81233">
      <w:pPr>
        <w:pStyle w:val="SingleTxtG"/>
      </w:pPr>
      <w:proofErr w:type="gramStart"/>
      <w:r w:rsidRPr="009F2135">
        <w:t>2.</w:t>
      </w:r>
      <w:r w:rsidRPr="009F2135">
        <w:tab/>
        <w:t>If the equipment passes the type test</w:t>
      </w:r>
      <w:proofErr w:type="gramEnd"/>
      <w:r w:rsidRPr="009F2135">
        <w:t xml:space="preserve"> the technical service shall issue a test certificate. If the equipment fails to meet the minimum requirements, the applicant </w:t>
      </w:r>
      <w:proofErr w:type="gramStart"/>
      <w:r w:rsidRPr="009F2135">
        <w:t>shall be notified</w:t>
      </w:r>
      <w:proofErr w:type="gramEnd"/>
      <w:r w:rsidRPr="009F2135">
        <w:t xml:space="preserve"> in writing of the reasons for its rejection.</w:t>
      </w:r>
    </w:p>
    <w:p w14:paraId="4EFAD806" w14:textId="112DBA44" w:rsidR="00F67365" w:rsidRPr="00D71B8C" w:rsidRDefault="009F2135" w:rsidP="00D71B8C">
      <w:pPr>
        <w:pStyle w:val="SingleTxtG"/>
        <w:jc w:val="center"/>
        <w:rPr>
          <w:b/>
        </w:rPr>
      </w:pPr>
      <w:r w:rsidRPr="00D71B8C">
        <w:rPr>
          <w:b/>
        </w:rPr>
        <w:t>Article 1.04</w:t>
      </w:r>
      <w:r w:rsidR="00D71B8C">
        <w:rPr>
          <w:b/>
        </w:rPr>
        <w:br/>
      </w:r>
      <w:r w:rsidRPr="00D71B8C">
        <w:rPr>
          <w:b/>
        </w:rPr>
        <w:t>Application for a type test</w:t>
      </w:r>
    </w:p>
    <w:p w14:paraId="57D7F3E4" w14:textId="77777777" w:rsidR="00F67365" w:rsidRDefault="009F2135" w:rsidP="00F81233">
      <w:pPr>
        <w:pStyle w:val="SingleTxtG"/>
      </w:pPr>
      <w:r w:rsidRPr="009F2135">
        <w:t>1.</w:t>
      </w:r>
      <w:r w:rsidRPr="009F2135">
        <w:tab/>
        <w:t xml:space="preserve">Applications for a type test of a rate-of-turn indicator </w:t>
      </w:r>
      <w:proofErr w:type="gramStart"/>
      <w:r w:rsidRPr="009F2135">
        <w:t>shall be submitted</w:t>
      </w:r>
      <w:proofErr w:type="gramEnd"/>
      <w:r w:rsidRPr="009F2135">
        <w:t xml:space="preserve"> to a competent technical service.</w:t>
      </w:r>
    </w:p>
    <w:p w14:paraId="49842BB0" w14:textId="083E4489" w:rsidR="009F2135" w:rsidRPr="009F2135" w:rsidRDefault="009F2135" w:rsidP="00F81233">
      <w:pPr>
        <w:pStyle w:val="SingleTxtG"/>
      </w:pPr>
      <w:r w:rsidRPr="009F2135">
        <w:t>2.</w:t>
      </w:r>
      <w:r w:rsidRPr="009F2135">
        <w:tab/>
        <w:t xml:space="preserve">Each application </w:t>
      </w:r>
      <w:proofErr w:type="gramStart"/>
      <w:r w:rsidRPr="009F2135">
        <w:t>shall be accompanied</w:t>
      </w:r>
      <w:proofErr w:type="gramEnd"/>
      <w:r w:rsidRPr="009F2135">
        <w:t xml:space="preserve"> by the following documents:</w:t>
      </w:r>
    </w:p>
    <w:p w14:paraId="6E8CCF1C" w14:textId="147ADC56" w:rsidR="009F2135" w:rsidRPr="009F2135" w:rsidRDefault="00F81233" w:rsidP="00F81233">
      <w:pPr>
        <w:pStyle w:val="SingleTxtG"/>
      </w:pPr>
      <w:r>
        <w:tab/>
      </w:r>
      <w:r w:rsidR="00F57E0D">
        <w:t>(</w:t>
      </w:r>
      <w:r w:rsidR="009F2135" w:rsidRPr="009F2135">
        <w:t>a)</w:t>
      </w:r>
      <w:r w:rsidR="009F2135" w:rsidRPr="009F2135">
        <w:tab/>
      </w:r>
      <w:proofErr w:type="gramStart"/>
      <w:r w:rsidR="009F2135" w:rsidRPr="009F2135">
        <w:t>two</w:t>
      </w:r>
      <w:proofErr w:type="gramEnd"/>
      <w:r w:rsidR="009F2135" w:rsidRPr="009F2135">
        <w:t xml:space="preserve"> detailed technical descriptions;</w:t>
      </w:r>
    </w:p>
    <w:p w14:paraId="2AF24CA6" w14:textId="14ABDC1E" w:rsidR="009F2135" w:rsidRPr="009F2135" w:rsidRDefault="00F81233" w:rsidP="00F81233">
      <w:pPr>
        <w:pStyle w:val="SingleTxtG"/>
      </w:pPr>
      <w:r>
        <w:tab/>
      </w:r>
      <w:r w:rsidR="00F57E0D">
        <w:t>(</w:t>
      </w:r>
      <w:r w:rsidR="009F2135" w:rsidRPr="009F2135">
        <w:t>b)</w:t>
      </w:r>
      <w:r w:rsidR="009F2135" w:rsidRPr="009F2135">
        <w:tab/>
      </w:r>
      <w:proofErr w:type="gramStart"/>
      <w:r w:rsidR="009F2135" w:rsidRPr="009F2135">
        <w:t>two</w:t>
      </w:r>
      <w:proofErr w:type="gramEnd"/>
      <w:r w:rsidR="009F2135" w:rsidRPr="009F2135">
        <w:t xml:space="preserve"> complete sets of installation and service documents</w:t>
      </w:r>
      <w:r w:rsidR="000167F3">
        <w:t>;</w:t>
      </w:r>
    </w:p>
    <w:p w14:paraId="2A0F8D90" w14:textId="2BDCE70D" w:rsidR="00F67365" w:rsidRDefault="00F81233" w:rsidP="00F81233">
      <w:pPr>
        <w:pStyle w:val="SingleTxtG"/>
      </w:pPr>
      <w:r>
        <w:lastRenderedPageBreak/>
        <w:tab/>
      </w:r>
      <w:r w:rsidR="00F57E0D">
        <w:t>(</w:t>
      </w:r>
      <w:r w:rsidR="009F2135" w:rsidRPr="009F2135">
        <w:t>c)</w:t>
      </w:r>
      <w:r w:rsidR="009F2135" w:rsidRPr="009F2135">
        <w:tab/>
      </w:r>
      <w:proofErr w:type="gramStart"/>
      <w:r w:rsidR="009F2135" w:rsidRPr="009F2135">
        <w:t>two</w:t>
      </w:r>
      <w:proofErr w:type="gramEnd"/>
      <w:r w:rsidR="009F2135" w:rsidRPr="009F2135">
        <w:t xml:space="preserve"> operating instructions.</w:t>
      </w:r>
    </w:p>
    <w:p w14:paraId="43352302" w14:textId="77777777" w:rsidR="00F67365" w:rsidRDefault="009F2135" w:rsidP="00F81233">
      <w:pPr>
        <w:pStyle w:val="SingleTxtG"/>
      </w:pPr>
      <w:r w:rsidRPr="009F2135">
        <w:t>3.</w:t>
      </w:r>
      <w:r w:rsidRPr="009F2135">
        <w:tab/>
        <w:t>By means of tests, the applicant shall establish or have it established that the equipment meets the minimum requirements of these provisions.</w:t>
      </w:r>
    </w:p>
    <w:p w14:paraId="010E1EFA" w14:textId="4EA11A60" w:rsidR="00F67365" w:rsidRDefault="00F81233" w:rsidP="00F81233">
      <w:pPr>
        <w:pStyle w:val="SingleTxtG"/>
      </w:pPr>
      <w:r>
        <w:tab/>
      </w:r>
      <w:r w:rsidR="009F2135" w:rsidRPr="009F2135">
        <w:t xml:space="preserve">The results of the test and the measurement reports </w:t>
      </w:r>
      <w:proofErr w:type="gramStart"/>
      <w:r w:rsidR="009F2135" w:rsidRPr="009F2135">
        <w:t>shall be attached</w:t>
      </w:r>
      <w:proofErr w:type="gramEnd"/>
      <w:r w:rsidR="009F2135" w:rsidRPr="009F2135">
        <w:t xml:space="preserve"> to the application.</w:t>
      </w:r>
    </w:p>
    <w:p w14:paraId="131C0A84" w14:textId="157DBFE0" w:rsidR="00F67365" w:rsidRDefault="00F81233" w:rsidP="00F81233">
      <w:pPr>
        <w:pStyle w:val="SingleTxtG"/>
      </w:pPr>
      <w:r>
        <w:tab/>
      </w:r>
      <w:proofErr w:type="gramStart"/>
      <w:r w:rsidR="009F2135" w:rsidRPr="009F2135">
        <w:t>These documents and the information obtained during testing shall be kept by the competent authority</w:t>
      </w:r>
      <w:proofErr w:type="gramEnd"/>
      <w:r w:rsidR="009F2135" w:rsidRPr="009F2135">
        <w:t>.</w:t>
      </w:r>
    </w:p>
    <w:p w14:paraId="72DE0334" w14:textId="386BBBF0" w:rsidR="00F67365" w:rsidRPr="00475F1E" w:rsidRDefault="009F2135" w:rsidP="00475F1E">
      <w:pPr>
        <w:pStyle w:val="SingleTxtG"/>
        <w:jc w:val="center"/>
        <w:rPr>
          <w:b/>
        </w:rPr>
      </w:pPr>
      <w:r w:rsidRPr="00475F1E">
        <w:rPr>
          <w:b/>
        </w:rPr>
        <w:t>Article 1.05</w:t>
      </w:r>
      <w:r w:rsidR="00475F1E">
        <w:rPr>
          <w:b/>
        </w:rPr>
        <w:br/>
      </w:r>
      <w:r w:rsidRPr="00475F1E">
        <w:rPr>
          <w:b/>
        </w:rPr>
        <w:t>Type approval</w:t>
      </w:r>
    </w:p>
    <w:p w14:paraId="5B397C0E" w14:textId="77777777" w:rsidR="00F67365" w:rsidRDefault="009F2135" w:rsidP="00F81233">
      <w:pPr>
        <w:pStyle w:val="SingleTxtG"/>
      </w:pPr>
      <w:proofErr w:type="gramStart"/>
      <w:r w:rsidRPr="009F2135">
        <w:t>1.</w:t>
      </w:r>
      <w:r w:rsidRPr="009F2135">
        <w:tab/>
        <w:t>Type approval shall be granted by the competent authority pursuant to the test certificate</w:t>
      </w:r>
      <w:proofErr w:type="gramEnd"/>
      <w:r w:rsidRPr="009F2135">
        <w:t>.</w:t>
      </w:r>
    </w:p>
    <w:p w14:paraId="3FF010F7" w14:textId="77777777" w:rsidR="00F67365" w:rsidRDefault="009F2135" w:rsidP="00F81233">
      <w:pPr>
        <w:pStyle w:val="SingleTxtG"/>
      </w:pPr>
      <w:r w:rsidRPr="009F2135">
        <w:t>2.</w:t>
      </w:r>
      <w:r w:rsidRPr="009F2135">
        <w:tab/>
        <w:t>Each competent authority or the technical service designated by the competent authority shall be entitled to select equipment from the production series at any time for inspection.</w:t>
      </w:r>
    </w:p>
    <w:p w14:paraId="448CBCD4" w14:textId="364A67A0" w:rsidR="00F67365" w:rsidRDefault="00F81233" w:rsidP="009D2E05">
      <w:pPr>
        <w:pStyle w:val="SingleTxtG"/>
      </w:pPr>
      <w:r>
        <w:tab/>
      </w:r>
      <w:r w:rsidR="009F2135" w:rsidRPr="009F2135">
        <w:t>If this inspection reveals defects in the equipment, type approval may be withdrawn.</w:t>
      </w:r>
      <w:r w:rsidR="009D2E05">
        <w:t xml:space="preserve"> </w:t>
      </w:r>
      <w:r w:rsidR="009F2135" w:rsidRPr="009F2135">
        <w:t xml:space="preserve">The </w:t>
      </w:r>
      <w:proofErr w:type="gramStart"/>
      <w:r w:rsidR="009F2135" w:rsidRPr="009F2135">
        <w:t>type-approval shall be withdrawn by the authority that issued it</w:t>
      </w:r>
      <w:proofErr w:type="gramEnd"/>
      <w:r w:rsidR="009F2135" w:rsidRPr="009F2135">
        <w:t>.</w:t>
      </w:r>
    </w:p>
    <w:p w14:paraId="26F91F99" w14:textId="09069C59" w:rsidR="00F67365" w:rsidRPr="00D40553" w:rsidRDefault="009F2135" w:rsidP="00D40553">
      <w:pPr>
        <w:pStyle w:val="SingleTxtG"/>
        <w:jc w:val="center"/>
        <w:rPr>
          <w:b/>
        </w:rPr>
      </w:pPr>
      <w:r w:rsidRPr="00D40553">
        <w:rPr>
          <w:b/>
        </w:rPr>
        <w:t>Article 1.06</w:t>
      </w:r>
      <w:r w:rsidR="00D40553">
        <w:rPr>
          <w:b/>
        </w:rPr>
        <w:br/>
      </w:r>
      <w:r w:rsidRPr="00D40553">
        <w:rPr>
          <w:b/>
        </w:rPr>
        <w:t>Marking of the equipment and type approval number</w:t>
      </w:r>
    </w:p>
    <w:p w14:paraId="6C762AAA" w14:textId="15B0AB7E" w:rsidR="00F67365" w:rsidRDefault="009F2135" w:rsidP="00F81233">
      <w:pPr>
        <w:pStyle w:val="SingleTxtG"/>
      </w:pPr>
      <w:r w:rsidRPr="009F2135">
        <w:t>1.</w:t>
      </w:r>
      <w:r w:rsidRPr="009F2135">
        <w:tab/>
        <w:t>Each component of the equipment shall be marked indelibly with the name of the manuf</w:t>
      </w:r>
      <w:r w:rsidR="00F81233">
        <w:t xml:space="preserve">acturer, </w:t>
      </w:r>
      <w:r w:rsidRPr="009F2135">
        <w:t>the trade</w:t>
      </w:r>
      <w:r w:rsidR="00F81233">
        <w:t xml:space="preserve"> designation of the equipment, </w:t>
      </w:r>
      <w:r w:rsidRPr="009F2135">
        <w:t>the type of equipment and the serial number.</w:t>
      </w:r>
    </w:p>
    <w:p w14:paraId="3C6989AD" w14:textId="1F994503" w:rsidR="009F2135" w:rsidRPr="009F2135" w:rsidRDefault="009F2135" w:rsidP="00B73A37">
      <w:pPr>
        <w:pStyle w:val="SingleTxtG"/>
      </w:pPr>
      <w:r w:rsidRPr="009F2135">
        <w:t>2.</w:t>
      </w:r>
      <w:r w:rsidRPr="009F2135">
        <w:tab/>
        <w:t xml:space="preserve">The type-approval number assigned by the competent authority </w:t>
      </w:r>
      <w:proofErr w:type="gramStart"/>
      <w:r w:rsidRPr="009F2135">
        <w:t>shall be affixed</w:t>
      </w:r>
      <w:proofErr w:type="gramEnd"/>
      <w:r w:rsidRPr="009F2135">
        <w:t xml:space="preserve"> indelibly to the control unit in such a way that it remains clearly visible after the equipment has been installed.</w:t>
      </w:r>
      <w:r w:rsidR="00B73A37">
        <w:t xml:space="preserve"> </w:t>
      </w:r>
      <w:r w:rsidRPr="009F2135">
        <w:t>Composition of a type-approval number: R-NN-NNN or e-NN-NNN</w:t>
      </w:r>
    </w:p>
    <w:p w14:paraId="37D37D4D" w14:textId="063D3086" w:rsidR="009F2135" w:rsidRPr="009F2135" w:rsidRDefault="00333F21" w:rsidP="00F81233">
      <w:pPr>
        <w:pStyle w:val="SingleTxtG"/>
      </w:pPr>
      <w:r>
        <w:tab/>
      </w:r>
      <w:r w:rsidR="00E849EB">
        <w:tab/>
      </w:r>
      <w:r w:rsidR="009F2135" w:rsidRPr="009F2135">
        <w:t>R</w:t>
      </w:r>
      <w:r w:rsidR="009F2135" w:rsidRPr="009F2135">
        <w:tab/>
        <w:t>=</w:t>
      </w:r>
      <w:r w:rsidR="009F2135" w:rsidRPr="009F2135">
        <w:tab/>
        <w:t>Rhine</w:t>
      </w:r>
    </w:p>
    <w:p w14:paraId="477AC971" w14:textId="747B3B60" w:rsidR="009F2135" w:rsidRPr="009F2135" w:rsidRDefault="00333F21" w:rsidP="00F81233">
      <w:pPr>
        <w:pStyle w:val="SingleTxtG"/>
      </w:pPr>
      <w:r>
        <w:tab/>
      </w:r>
      <w:r w:rsidR="00E849EB">
        <w:tab/>
      </w:r>
      <w:r w:rsidR="009F2135" w:rsidRPr="009F2135">
        <w:t>e</w:t>
      </w:r>
      <w:r w:rsidR="009F2135" w:rsidRPr="009F2135">
        <w:tab/>
        <w:t>=</w:t>
      </w:r>
      <w:r w:rsidR="009F2135" w:rsidRPr="009F2135">
        <w:tab/>
        <w:t>European Union</w:t>
      </w:r>
    </w:p>
    <w:p w14:paraId="2F6BC7D1" w14:textId="36A1C2A5" w:rsidR="00F81233" w:rsidRPr="009F2135" w:rsidRDefault="00333F21" w:rsidP="00766202">
      <w:pPr>
        <w:pStyle w:val="SingleTxtG"/>
      </w:pPr>
      <w:r>
        <w:tab/>
      </w:r>
      <w:r w:rsidR="00E849EB">
        <w:tab/>
      </w:r>
      <w:r w:rsidR="009F2135" w:rsidRPr="009F2135">
        <w:t>NN</w:t>
      </w:r>
      <w:r w:rsidR="009F2135" w:rsidRPr="009F2135">
        <w:tab/>
        <w:t>=</w:t>
      </w:r>
      <w:r w:rsidR="009F2135" w:rsidRPr="009F2135">
        <w:tab/>
        <w:t>number for the country of type-approval, where</w:t>
      </w:r>
    </w:p>
    <w:tbl>
      <w:tblPr>
        <w:tblW w:w="7370" w:type="dxa"/>
        <w:tblInd w:w="1134" w:type="dxa"/>
        <w:tblLayout w:type="fixed"/>
        <w:tblCellMar>
          <w:left w:w="0" w:type="dxa"/>
          <w:right w:w="0" w:type="dxa"/>
        </w:tblCellMar>
        <w:tblLook w:val="0000" w:firstRow="0" w:lastRow="0" w:firstColumn="0" w:lastColumn="0" w:noHBand="0" w:noVBand="0"/>
      </w:tblPr>
      <w:tblGrid>
        <w:gridCol w:w="699"/>
        <w:gridCol w:w="350"/>
        <w:gridCol w:w="3071"/>
        <w:gridCol w:w="704"/>
        <w:gridCol w:w="404"/>
        <w:gridCol w:w="2142"/>
      </w:tblGrid>
      <w:tr w:rsidR="00324FC1" w:rsidRPr="00324FC1" w14:paraId="75C29E13" w14:textId="77777777" w:rsidTr="00324FC1">
        <w:trPr>
          <w:tblHeader/>
        </w:trPr>
        <w:tc>
          <w:tcPr>
            <w:tcW w:w="699" w:type="dxa"/>
            <w:shd w:val="clear" w:color="auto" w:fill="auto"/>
            <w:vAlign w:val="bottom"/>
          </w:tcPr>
          <w:p w14:paraId="4AD2EFE6" w14:textId="77777777" w:rsidR="00324FC1" w:rsidRPr="00324FC1" w:rsidRDefault="00324FC1" w:rsidP="00324FC1">
            <w:pPr>
              <w:suppressAutoHyphens w:val="0"/>
              <w:spacing w:before="80" w:after="80" w:line="200" w:lineRule="exact"/>
              <w:ind w:right="113"/>
              <w:jc w:val="right"/>
              <w:rPr>
                <w:sz w:val="18"/>
                <w:szCs w:val="18"/>
              </w:rPr>
            </w:pPr>
            <w:r w:rsidRPr="00324FC1">
              <w:rPr>
                <w:sz w:val="18"/>
                <w:szCs w:val="18"/>
              </w:rPr>
              <w:t xml:space="preserve">01 </w:t>
            </w:r>
          </w:p>
        </w:tc>
        <w:tc>
          <w:tcPr>
            <w:tcW w:w="350" w:type="dxa"/>
            <w:shd w:val="clear" w:color="auto" w:fill="auto"/>
            <w:vAlign w:val="bottom"/>
          </w:tcPr>
          <w:p w14:paraId="194A2658" w14:textId="77777777" w:rsidR="00324FC1" w:rsidRPr="00324FC1" w:rsidRDefault="00324FC1" w:rsidP="00A903A5">
            <w:pPr>
              <w:suppressAutoHyphens w:val="0"/>
              <w:spacing w:before="80" w:after="80" w:line="200" w:lineRule="exact"/>
              <w:ind w:right="113"/>
              <w:jc w:val="right"/>
              <w:rPr>
                <w:sz w:val="18"/>
                <w:szCs w:val="18"/>
              </w:rPr>
            </w:pPr>
            <w:r w:rsidRPr="00324FC1">
              <w:rPr>
                <w:sz w:val="18"/>
                <w:szCs w:val="18"/>
              </w:rPr>
              <w:t xml:space="preserve">= </w:t>
            </w:r>
          </w:p>
        </w:tc>
        <w:tc>
          <w:tcPr>
            <w:tcW w:w="3071" w:type="dxa"/>
            <w:shd w:val="clear" w:color="auto" w:fill="auto"/>
            <w:vAlign w:val="bottom"/>
          </w:tcPr>
          <w:p w14:paraId="4CADC500" w14:textId="77777777" w:rsidR="00324FC1" w:rsidRPr="00324FC1" w:rsidRDefault="00324FC1" w:rsidP="00324FC1">
            <w:pPr>
              <w:suppressAutoHyphens w:val="0"/>
              <w:spacing w:before="80" w:after="80" w:line="200" w:lineRule="exact"/>
              <w:ind w:right="113"/>
              <w:rPr>
                <w:sz w:val="18"/>
                <w:szCs w:val="18"/>
              </w:rPr>
            </w:pPr>
            <w:r w:rsidRPr="00324FC1">
              <w:rPr>
                <w:sz w:val="18"/>
                <w:szCs w:val="18"/>
              </w:rPr>
              <w:t>Germany</w:t>
            </w:r>
          </w:p>
        </w:tc>
        <w:tc>
          <w:tcPr>
            <w:tcW w:w="704" w:type="dxa"/>
            <w:shd w:val="clear" w:color="auto" w:fill="auto"/>
            <w:vAlign w:val="bottom"/>
          </w:tcPr>
          <w:p w14:paraId="416B7255" w14:textId="77777777" w:rsidR="00324FC1" w:rsidRPr="00324FC1" w:rsidRDefault="00324FC1" w:rsidP="00A903A5">
            <w:pPr>
              <w:suppressAutoHyphens w:val="0"/>
              <w:spacing w:before="80" w:after="80" w:line="200" w:lineRule="exact"/>
              <w:ind w:right="113"/>
              <w:jc w:val="right"/>
              <w:rPr>
                <w:sz w:val="18"/>
                <w:szCs w:val="18"/>
              </w:rPr>
            </w:pPr>
            <w:r w:rsidRPr="00324FC1">
              <w:rPr>
                <w:sz w:val="18"/>
                <w:szCs w:val="18"/>
              </w:rPr>
              <w:t>19</w:t>
            </w:r>
          </w:p>
        </w:tc>
        <w:tc>
          <w:tcPr>
            <w:tcW w:w="404" w:type="dxa"/>
            <w:shd w:val="clear" w:color="auto" w:fill="auto"/>
            <w:vAlign w:val="bottom"/>
          </w:tcPr>
          <w:p w14:paraId="520DFED8" w14:textId="77777777" w:rsidR="00324FC1" w:rsidRPr="00324FC1" w:rsidRDefault="00324FC1" w:rsidP="00A903A5">
            <w:pPr>
              <w:suppressAutoHyphens w:val="0"/>
              <w:spacing w:before="80" w:after="80" w:line="200" w:lineRule="exact"/>
              <w:ind w:right="113"/>
              <w:jc w:val="right"/>
              <w:rPr>
                <w:sz w:val="18"/>
                <w:szCs w:val="18"/>
              </w:rPr>
            </w:pPr>
            <w:r w:rsidRPr="00324FC1">
              <w:rPr>
                <w:sz w:val="18"/>
                <w:szCs w:val="18"/>
              </w:rPr>
              <w:t>=</w:t>
            </w:r>
          </w:p>
        </w:tc>
        <w:tc>
          <w:tcPr>
            <w:tcW w:w="2142" w:type="dxa"/>
            <w:shd w:val="clear" w:color="auto" w:fill="auto"/>
            <w:vAlign w:val="bottom"/>
          </w:tcPr>
          <w:p w14:paraId="7DF687BF" w14:textId="77777777" w:rsidR="00324FC1" w:rsidRPr="00324FC1" w:rsidRDefault="00324FC1" w:rsidP="00324FC1">
            <w:pPr>
              <w:suppressAutoHyphens w:val="0"/>
              <w:spacing w:before="80" w:after="80" w:line="200" w:lineRule="exact"/>
              <w:ind w:right="113"/>
              <w:rPr>
                <w:sz w:val="18"/>
                <w:szCs w:val="18"/>
              </w:rPr>
            </w:pPr>
            <w:r w:rsidRPr="00324FC1">
              <w:rPr>
                <w:sz w:val="18"/>
                <w:szCs w:val="18"/>
              </w:rPr>
              <w:t>Romania</w:t>
            </w:r>
          </w:p>
        </w:tc>
      </w:tr>
      <w:tr w:rsidR="00F81233" w:rsidRPr="00324FC1" w14:paraId="417AFB51" w14:textId="77777777" w:rsidTr="00324FC1">
        <w:tc>
          <w:tcPr>
            <w:tcW w:w="699" w:type="dxa"/>
            <w:shd w:val="clear" w:color="auto" w:fill="auto"/>
          </w:tcPr>
          <w:p w14:paraId="142A80C4"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02 </w:t>
            </w:r>
          </w:p>
        </w:tc>
        <w:tc>
          <w:tcPr>
            <w:tcW w:w="350" w:type="dxa"/>
            <w:shd w:val="clear" w:color="auto" w:fill="auto"/>
            <w:vAlign w:val="bottom"/>
          </w:tcPr>
          <w:p w14:paraId="3D9AA257"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7052B3DA" w14:textId="77777777" w:rsidR="00F81233" w:rsidRPr="00324FC1" w:rsidRDefault="00F81233" w:rsidP="00324FC1">
            <w:pPr>
              <w:suppressAutoHyphens w:val="0"/>
              <w:spacing w:before="40" w:after="40" w:line="220" w:lineRule="exact"/>
              <w:ind w:right="113"/>
              <w:rPr>
                <w:sz w:val="18"/>
              </w:rPr>
            </w:pPr>
            <w:r w:rsidRPr="00324FC1">
              <w:rPr>
                <w:sz w:val="18"/>
              </w:rPr>
              <w:t xml:space="preserve">France </w:t>
            </w:r>
          </w:p>
        </w:tc>
        <w:tc>
          <w:tcPr>
            <w:tcW w:w="704" w:type="dxa"/>
            <w:shd w:val="clear" w:color="auto" w:fill="auto"/>
            <w:vAlign w:val="bottom"/>
          </w:tcPr>
          <w:p w14:paraId="2FCAA0A4"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20 </w:t>
            </w:r>
          </w:p>
        </w:tc>
        <w:tc>
          <w:tcPr>
            <w:tcW w:w="404" w:type="dxa"/>
            <w:shd w:val="clear" w:color="auto" w:fill="auto"/>
            <w:vAlign w:val="bottom"/>
          </w:tcPr>
          <w:p w14:paraId="0B818388"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2142" w:type="dxa"/>
            <w:shd w:val="clear" w:color="auto" w:fill="auto"/>
            <w:vAlign w:val="bottom"/>
          </w:tcPr>
          <w:p w14:paraId="029FA49E" w14:textId="77777777" w:rsidR="00F81233" w:rsidRPr="00324FC1" w:rsidRDefault="00F81233" w:rsidP="00324FC1">
            <w:pPr>
              <w:suppressAutoHyphens w:val="0"/>
              <w:spacing w:before="40" w:after="40" w:line="220" w:lineRule="exact"/>
              <w:ind w:right="113"/>
              <w:rPr>
                <w:sz w:val="18"/>
              </w:rPr>
            </w:pPr>
            <w:r w:rsidRPr="00324FC1">
              <w:rPr>
                <w:sz w:val="18"/>
              </w:rPr>
              <w:t xml:space="preserve">Poland </w:t>
            </w:r>
          </w:p>
        </w:tc>
      </w:tr>
      <w:tr w:rsidR="00F81233" w:rsidRPr="00324FC1" w14:paraId="047DB773" w14:textId="77777777" w:rsidTr="00324FC1">
        <w:tc>
          <w:tcPr>
            <w:tcW w:w="699" w:type="dxa"/>
            <w:shd w:val="clear" w:color="auto" w:fill="auto"/>
          </w:tcPr>
          <w:p w14:paraId="26083BEE"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03 </w:t>
            </w:r>
          </w:p>
        </w:tc>
        <w:tc>
          <w:tcPr>
            <w:tcW w:w="350" w:type="dxa"/>
            <w:shd w:val="clear" w:color="auto" w:fill="auto"/>
            <w:vAlign w:val="bottom"/>
          </w:tcPr>
          <w:p w14:paraId="24EFDA5A"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20986DB6" w14:textId="77777777" w:rsidR="00F81233" w:rsidRPr="00324FC1" w:rsidRDefault="00F81233" w:rsidP="00324FC1">
            <w:pPr>
              <w:suppressAutoHyphens w:val="0"/>
              <w:spacing w:before="40" w:after="40" w:line="220" w:lineRule="exact"/>
              <w:ind w:right="113"/>
              <w:rPr>
                <w:sz w:val="18"/>
              </w:rPr>
            </w:pPr>
            <w:r w:rsidRPr="00324FC1">
              <w:rPr>
                <w:sz w:val="18"/>
              </w:rPr>
              <w:t>Italy</w:t>
            </w:r>
          </w:p>
        </w:tc>
        <w:tc>
          <w:tcPr>
            <w:tcW w:w="704" w:type="dxa"/>
            <w:shd w:val="clear" w:color="auto" w:fill="auto"/>
            <w:vAlign w:val="bottom"/>
          </w:tcPr>
          <w:p w14:paraId="12B5AFBE"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21 </w:t>
            </w:r>
          </w:p>
        </w:tc>
        <w:tc>
          <w:tcPr>
            <w:tcW w:w="404" w:type="dxa"/>
            <w:shd w:val="clear" w:color="auto" w:fill="auto"/>
            <w:vAlign w:val="bottom"/>
          </w:tcPr>
          <w:p w14:paraId="5F23D095"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2142" w:type="dxa"/>
            <w:shd w:val="clear" w:color="auto" w:fill="auto"/>
            <w:vAlign w:val="bottom"/>
          </w:tcPr>
          <w:p w14:paraId="7C05C5AF" w14:textId="77777777" w:rsidR="00F81233" w:rsidRPr="00324FC1" w:rsidRDefault="00F81233" w:rsidP="00324FC1">
            <w:pPr>
              <w:suppressAutoHyphens w:val="0"/>
              <w:spacing w:before="40" w:after="40" w:line="220" w:lineRule="exact"/>
              <w:ind w:right="113"/>
              <w:rPr>
                <w:sz w:val="18"/>
              </w:rPr>
            </w:pPr>
            <w:r w:rsidRPr="00324FC1">
              <w:rPr>
                <w:sz w:val="18"/>
              </w:rPr>
              <w:t xml:space="preserve">Portugal </w:t>
            </w:r>
          </w:p>
        </w:tc>
      </w:tr>
      <w:tr w:rsidR="00F81233" w:rsidRPr="00324FC1" w14:paraId="219DB2BA" w14:textId="77777777" w:rsidTr="00324FC1">
        <w:tc>
          <w:tcPr>
            <w:tcW w:w="699" w:type="dxa"/>
            <w:shd w:val="clear" w:color="auto" w:fill="auto"/>
          </w:tcPr>
          <w:p w14:paraId="65F36767"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04 </w:t>
            </w:r>
          </w:p>
        </w:tc>
        <w:tc>
          <w:tcPr>
            <w:tcW w:w="350" w:type="dxa"/>
            <w:shd w:val="clear" w:color="auto" w:fill="auto"/>
            <w:vAlign w:val="bottom"/>
          </w:tcPr>
          <w:p w14:paraId="45D2D633"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44703F10" w14:textId="77777777" w:rsidR="00F81233" w:rsidRPr="00324FC1" w:rsidRDefault="00F81233" w:rsidP="00324FC1">
            <w:pPr>
              <w:suppressAutoHyphens w:val="0"/>
              <w:spacing w:before="40" w:after="40" w:line="220" w:lineRule="exact"/>
              <w:ind w:right="113"/>
              <w:rPr>
                <w:sz w:val="18"/>
              </w:rPr>
            </w:pPr>
            <w:r w:rsidRPr="00324FC1">
              <w:rPr>
                <w:sz w:val="18"/>
              </w:rPr>
              <w:t xml:space="preserve">Netherlands </w:t>
            </w:r>
          </w:p>
        </w:tc>
        <w:tc>
          <w:tcPr>
            <w:tcW w:w="704" w:type="dxa"/>
            <w:shd w:val="clear" w:color="auto" w:fill="auto"/>
            <w:vAlign w:val="bottom"/>
          </w:tcPr>
          <w:p w14:paraId="21302F2B"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23 </w:t>
            </w:r>
          </w:p>
        </w:tc>
        <w:tc>
          <w:tcPr>
            <w:tcW w:w="404" w:type="dxa"/>
            <w:shd w:val="clear" w:color="auto" w:fill="auto"/>
            <w:vAlign w:val="bottom"/>
          </w:tcPr>
          <w:p w14:paraId="508E3CBE"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2142" w:type="dxa"/>
            <w:shd w:val="clear" w:color="auto" w:fill="auto"/>
            <w:vAlign w:val="bottom"/>
          </w:tcPr>
          <w:p w14:paraId="7BBD20BB" w14:textId="77777777" w:rsidR="00F81233" w:rsidRPr="00324FC1" w:rsidRDefault="00F81233" w:rsidP="00324FC1">
            <w:pPr>
              <w:suppressAutoHyphens w:val="0"/>
              <w:spacing w:before="40" w:after="40" w:line="220" w:lineRule="exact"/>
              <w:ind w:right="113"/>
              <w:rPr>
                <w:sz w:val="18"/>
              </w:rPr>
            </w:pPr>
            <w:r w:rsidRPr="00324FC1">
              <w:rPr>
                <w:sz w:val="18"/>
              </w:rPr>
              <w:t>Greece</w:t>
            </w:r>
          </w:p>
        </w:tc>
      </w:tr>
      <w:tr w:rsidR="00F81233" w:rsidRPr="00324FC1" w14:paraId="2C04B663" w14:textId="77777777" w:rsidTr="00324FC1">
        <w:tc>
          <w:tcPr>
            <w:tcW w:w="699" w:type="dxa"/>
            <w:shd w:val="clear" w:color="auto" w:fill="auto"/>
          </w:tcPr>
          <w:p w14:paraId="39DE48BC"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05 </w:t>
            </w:r>
          </w:p>
        </w:tc>
        <w:tc>
          <w:tcPr>
            <w:tcW w:w="350" w:type="dxa"/>
            <w:shd w:val="clear" w:color="auto" w:fill="auto"/>
            <w:vAlign w:val="bottom"/>
          </w:tcPr>
          <w:p w14:paraId="1F9932DC"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5340DE3D" w14:textId="77777777" w:rsidR="00F81233" w:rsidRPr="00324FC1" w:rsidRDefault="00F81233" w:rsidP="00324FC1">
            <w:pPr>
              <w:suppressAutoHyphens w:val="0"/>
              <w:spacing w:before="40" w:after="40" w:line="220" w:lineRule="exact"/>
              <w:ind w:right="113"/>
              <w:rPr>
                <w:sz w:val="18"/>
              </w:rPr>
            </w:pPr>
            <w:r w:rsidRPr="00324FC1">
              <w:rPr>
                <w:sz w:val="18"/>
              </w:rPr>
              <w:t>Sweden</w:t>
            </w:r>
          </w:p>
        </w:tc>
        <w:tc>
          <w:tcPr>
            <w:tcW w:w="704" w:type="dxa"/>
            <w:shd w:val="clear" w:color="auto" w:fill="auto"/>
            <w:vAlign w:val="bottom"/>
          </w:tcPr>
          <w:p w14:paraId="7A9AAC76"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24 </w:t>
            </w:r>
          </w:p>
        </w:tc>
        <w:tc>
          <w:tcPr>
            <w:tcW w:w="404" w:type="dxa"/>
            <w:shd w:val="clear" w:color="auto" w:fill="auto"/>
            <w:vAlign w:val="bottom"/>
          </w:tcPr>
          <w:p w14:paraId="1AD73710"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2142" w:type="dxa"/>
            <w:shd w:val="clear" w:color="auto" w:fill="auto"/>
            <w:vAlign w:val="bottom"/>
          </w:tcPr>
          <w:p w14:paraId="4D680E98" w14:textId="77777777" w:rsidR="00F81233" w:rsidRPr="00324FC1" w:rsidRDefault="00F81233" w:rsidP="00324FC1">
            <w:pPr>
              <w:suppressAutoHyphens w:val="0"/>
              <w:spacing w:before="40" w:after="40" w:line="220" w:lineRule="exact"/>
              <w:ind w:right="113"/>
              <w:rPr>
                <w:sz w:val="18"/>
              </w:rPr>
            </w:pPr>
            <w:r w:rsidRPr="00324FC1">
              <w:rPr>
                <w:sz w:val="18"/>
              </w:rPr>
              <w:t>Ireland</w:t>
            </w:r>
          </w:p>
        </w:tc>
      </w:tr>
      <w:tr w:rsidR="00F81233" w:rsidRPr="00324FC1" w14:paraId="35C3BE54" w14:textId="77777777" w:rsidTr="00324FC1">
        <w:tc>
          <w:tcPr>
            <w:tcW w:w="699" w:type="dxa"/>
            <w:shd w:val="clear" w:color="auto" w:fill="auto"/>
          </w:tcPr>
          <w:p w14:paraId="4BD5AD49"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06 </w:t>
            </w:r>
          </w:p>
        </w:tc>
        <w:tc>
          <w:tcPr>
            <w:tcW w:w="350" w:type="dxa"/>
            <w:shd w:val="clear" w:color="auto" w:fill="auto"/>
            <w:vAlign w:val="bottom"/>
          </w:tcPr>
          <w:p w14:paraId="5F65A1A2"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58F6B511" w14:textId="77777777" w:rsidR="00F81233" w:rsidRPr="00324FC1" w:rsidRDefault="00F81233" w:rsidP="00324FC1">
            <w:pPr>
              <w:suppressAutoHyphens w:val="0"/>
              <w:spacing w:before="40" w:after="40" w:line="220" w:lineRule="exact"/>
              <w:ind w:right="113"/>
              <w:rPr>
                <w:sz w:val="18"/>
              </w:rPr>
            </w:pPr>
            <w:r w:rsidRPr="00324FC1">
              <w:rPr>
                <w:sz w:val="18"/>
              </w:rPr>
              <w:t xml:space="preserve">Belgium </w:t>
            </w:r>
          </w:p>
        </w:tc>
        <w:tc>
          <w:tcPr>
            <w:tcW w:w="704" w:type="dxa"/>
            <w:shd w:val="clear" w:color="auto" w:fill="auto"/>
            <w:vAlign w:val="bottom"/>
          </w:tcPr>
          <w:p w14:paraId="0B8D38A0" w14:textId="77777777" w:rsidR="00F81233" w:rsidRPr="00324FC1" w:rsidRDefault="00F81233" w:rsidP="00324FC1">
            <w:pPr>
              <w:suppressAutoHyphens w:val="0"/>
              <w:spacing w:before="40" w:after="40" w:line="220" w:lineRule="exact"/>
              <w:ind w:right="113"/>
              <w:jc w:val="right"/>
              <w:rPr>
                <w:sz w:val="18"/>
              </w:rPr>
            </w:pPr>
            <w:r w:rsidRPr="00324FC1">
              <w:rPr>
                <w:rFonts w:eastAsia="Arial"/>
                <w:sz w:val="18"/>
              </w:rPr>
              <w:t>25</w:t>
            </w:r>
          </w:p>
        </w:tc>
        <w:tc>
          <w:tcPr>
            <w:tcW w:w="404" w:type="dxa"/>
            <w:shd w:val="clear" w:color="auto" w:fill="auto"/>
            <w:vAlign w:val="bottom"/>
          </w:tcPr>
          <w:p w14:paraId="43C217BC" w14:textId="77777777" w:rsidR="00F81233" w:rsidRPr="00324FC1" w:rsidRDefault="00F81233" w:rsidP="00324FC1">
            <w:pPr>
              <w:suppressAutoHyphens w:val="0"/>
              <w:spacing w:before="40" w:after="40" w:line="220" w:lineRule="exact"/>
              <w:ind w:right="113"/>
              <w:jc w:val="right"/>
              <w:rPr>
                <w:sz w:val="18"/>
              </w:rPr>
            </w:pPr>
            <w:r w:rsidRPr="00324FC1">
              <w:rPr>
                <w:rFonts w:eastAsia="Arial"/>
                <w:sz w:val="18"/>
              </w:rPr>
              <w:t>=</w:t>
            </w:r>
          </w:p>
        </w:tc>
        <w:tc>
          <w:tcPr>
            <w:tcW w:w="2142" w:type="dxa"/>
            <w:shd w:val="clear" w:color="auto" w:fill="auto"/>
            <w:vAlign w:val="bottom"/>
          </w:tcPr>
          <w:p w14:paraId="08155753" w14:textId="77777777" w:rsidR="00F81233" w:rsidRPr="00324FC1" w:rsidRDefault="00F81233" w:rsidP="00324FC1">
            <w:pPr>
              <w:suppressAutoHyphens w:val="0"/>
              <w:spacing w:before="40" w:after="40" w:line="220" w:lineRule="exact"/>
              <w:ind w:right="113"/>
              <w:rPr>
                <w:sz w:val="18"/>
              </w:rPr>
            </w:pPr>
            <w:r w:rsidRPr="00324FC1">
              <w:rPr>
                <w:sz w:val="18"/>
              </w:rPr>
              <w:t>Croatia</w:t>
            </w:r>
          </w:p>
        </w:tc>
      </w:tr>
      <w:tr w:rsidR="00F81233" w:rsidRPr="00324FC1" w14:paraId="065A35D1" w14:textId="77777777" w:rsidTr="00324FC1">
        <w:tc>
          <w:tcPr>
            <w:tcW w:w="699" w:type="dxa"/>
            <w:shd w:val="clear" w:color="auto" w:fill="auto"/>
          </w:tcPr>
          <w:p w14:paraId="316978AE"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07 </w:t>
            </w:r>
          </w:p>
        </w:tc>
        <w:tc>
          <w:tcPr>
            <w:tcW w:w="350" w:type="dxa"/>
            <w:shd w:val="clear" w:color="auto" w:fill="auto"/>
            <w:vAlign w:val="bottom"/>
          </w:tcPr>
          <w:p w14:paraId="36476EB9"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6D6F7BEE" w14:textId="77777777" w:rsidR="00F81233" w:rsidRPr="00324FC1" w:rsidRDefault="00F81233" w:rsidP="00324FC1">
            <w:pPr>
              <w:suppressAutoHyphens w:val="0"/>
              <w:spacing w:before="40" w:after="40" w:line="220" w:lineRule="exact"/>
              <w:ind w:right="113"/>
              <w:rPr>
                <w:sz w:val="18"/>
              </w:rPr>
            </w:pPr>
            <w:r w:rsidRPr="00324FC1">
              <w:rPr>
                <w:sz w:val="18"/>
              </w:rPr>
              <w:t>Hungary</w:t>
            </w:r>
          </w:p>
        </w:tc>
        <w:tc>
          <w:tcPr>
            <w:tcW w:w="704" w:type="dxa"/>
            <w:shd w:val="clear" w:color="auto" w:fill="auto"/>
            <w:vAlign w:val="bottom"/>
          </w:tcPr>
          <w:p w14:paraId="68F259A9"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26 </w:t>
            </w:r>
          </w:p>
        </w:tc>
        <w:tc>
          <w:tcPr>
            <w:tcW w:w="404" w:type="dxa"/>
            <w:shd w:val="clear" w:color="auto" w:fill="auto"/>
            <w:vAlign w:val="bottom"/>
          </w:tcPr>
          <w:p w14:paraId="3466A081"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2142" w:type="dxa"/>
            <w:shd w:val="clear" w:color="auto" w:fill="auto"/>
            <w:vAlign w:val="bottom"/>
          </w:tcPr>
          <w:p w14:paraId="60285538" w14:textId="77777777" w:rsidR="00F81233" w:rsidRPr="00324FC1" w:rsidRDefault="00F81233" w:rsidP="00324FC1">
            <w:pPr>
              <w:suppressAutoHyphens w:val="0"/>
              <w:spacing w:before="40" w:after="40" w:line="220" w:lineRule="exact"/>
              <w:ind w:right="113"/>
              <w:rPr>
                <w:sz w:val="18"/>
              </w:rPr>
            </w:pPr>
            <w:r w:rsidRPr="00324FC1">
              <w:rPr>
                <w:sz w:val="18"/>
              </w:rPr>
              <w:t>Slovenia</w:t>
            </w:r>
          </w:p>
        </w:tc>
      </w:tr>
      <w:tr w:rsidR="00F81233" w:rsidRPr="00324FC1" w14:paraId="59F23C1D" w14:textId="77777777" w:rsidTr="00324FC1">
        <w:tc>
          <w:tcPr>
            <w:tcW w:w="699" w:type="dxa"/>
            <w:shd w:val="clear" w:color="auto" w:fill="auto"/>
          </w:tcPr>
          <w:p w14:paraId="4DCF38B0"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08 </w:t>
            </w:r>
          </w:p>
        </w:tc>
        <w:tc>
          <w:tcPr>
            <w:tcW w:w="350" w:type="dxa"/>
            <w:shd w:val="clear" w:color="auto" w:fill="auto"/>
            <w:vAlign w:val="bottom"/>
          </w:tcPr>
          <w:p w14:paraId="21BEA6C2"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2A102CC1" w14:textId="77777777" w:rsidR="00F81233" w:rsidRPr="00324FC1" w:rsidRDefault="00F81233" w:rsidP="00324FC1">
            <w:pPr>
              <w:suppressAutoHyphens w:val="0"/>
              <w:spacing w:before="40" w:after="40" w:line="220" w:lineRule="exact"/>
              <w:ind w:right="113"/>
              <w:rPr>
                <w:sz w:val="18"/>
              </w:rPr>
            </w:pPr>
            <w:r w:rsidRPr="00324FC1">
              <w:rPr>
                <w:sz w:val="18"/>
              </w:rPr>
              <w:t>Czech Republic</w:t>
            </w:r>
          </w:p>
        </w:tc>
        <w:tc>
          <w:tcPr>
            <w:tcW w:w="704" w:type="dxa"/>
            <w:shd w:val="clear" w:color="auto" w:fill="auto"/>
            <w:vAlign w:val="bottom"/>
          </w:tcPr>
          <w:p w14:paraId="4991BE81"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27 </w:t>
            </w:r>
          </w:p>
        </w:tc>
        <w:tc>
          <w:tcPr>
            <w:tcW w:w="404" w:type="dxa"/>
            <w:shd w:val="clear" w:color="auto" w:fill="auto"/>
            <w:vAlign w:val="bottom"/>
          </w:tcPr>
          <w:p w14:paraId="77464542"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2142" w:type="dxa"/>
            <w:shd w:val="clear" w:color="auto" w:fill="auto"/>
            <w:vAlign w:val="bottom"/>
          </w:tcPr>
          <w:p w14:paraId="5DDBF27B" w14:textId="77777777" w:rsidR="00F81233" w:rsidRPr="00324FC1" w:rsidRDefault="00F81233" w:rsidP="00324FC1">
            <w:pPr>
              <w:suppressAutoHyphens w:val="0"/>
              <w:spacing w:before="40" w:after="40" w:line="220" w:lineRule="exact"/>
              <w:ind w:right="113"/>
              <w:rPr>
                <w:sz w:val="18"/>
              </w:rPr>
            </w:pPr>
            <w:r w:rsidRPr="00324FC1">
              <w:rPr>
                <w:sz w:val="18"/>
              </w:rPr>
              <w:t>Slovakia</w:t>
            </w:r>
          </w:p>
        </w:tc>
      </w:tr>
      <w:tr w:rsidR="00F81233" w:rsidRPr="00324FC1" w14:paraId="3941E24C" w14:textId="77777777" w:rsidTr="00324FC1">
        <w:tc>
          <w:tcPr>
            <w:tcW w:w="699" w:type="dxa"/>
            <w:shd w:val="clear" w:color="auto" w:fill="auto"/>
          </w:tcPr>
          <w:p w14:paraId="3CF8FFCC"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09 </w:t>
            </w:r>
          </w:p>
        </w:tc>
        <w:tc>
          <w:tcPr>
            <w:tcW w:w="350" w:type="dxa"/>
            <w:shd w:val="clear" w:color="auto" w:fill="auto"/>
            <w:vAlign w:val="bottom"/>
          </w:tcPr>
          <w:p w14:paraId="377A1817"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61FB022B" w14:textId="77777777" w:rsidR="00F81233" w:rsidRPr="00324FC1" w:rsidRDefault="00F81233" w:rsidP="00324FC1">
            <w:pPr>
              <w:suppressAutoHyphens w:val="0"/>
              <w:spacing w:before="40" w:after="40" w:line="220" w:lineRule="exact"/>
              <w:ind w:right="113"/>
              <w:rPr>
                <w:sz w:val="18"/>
              </w:rPr>
            </w:pPr>
            <w:r w:rsidRPr="00324FC1">
              <w:rPr>
                <w:sz w:val="18"/>
              </w:rPr>
              <w:t xml:space="preserve">Spain </w:t>
            </w:r>
          </w:p>
        </w:tc>
        <w:tc>
          <w:tcPr>
            <w:tcW w:w="704" w:type="dxa"/>
            <w:shd w:val="clear" w:color="auto" w:fill="auto"/>
            <w:vAlign w:val="bottom"/>
          </w:tcPr>
          <w:p w14:paraId="758F2753"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29 </w:t>
            </w:r>
          </w:p>
        </w:tc>
        <w:tc>
          <w:tcPr>
            <w:tcW w:w="404" w:type="dxa"/>
            <w:shd w:val="clear" w:color="auto" w:fill="auto"/>
            <w:vAlign w:val="bottom"/>
          </w:tcPr>
          <w:p w14:paraId="0FE49716"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2142" w:type="dxa"/>
            <w:shd w:val="clear" w:color="auto" w:fill="auto"/>
            <w:vAlign w:val="bottom"/>
          </w:tcPr>
          <w:p w14:paraId="4F84EB40" w14:textId="77777777" w:rsidR="00F81233" w:rsidRPr="00324FC1" w:rsidRDefault="00F81233" w:rsidP="00324FC1">
            <w:pPr>
              <w:suppressAutoHyphens w:val="0"/>
              <w:spacing w:before="40" w:after="40" w:line="220" w:lineRule="exact"/>
              <w:ind w:right="113"/>
              <w:rPr>
                <w:sz w:val="18"/>
              </w:rPr>
            </w:pPr>
            <w:r w:rsidRPr="00324FC1">
              <w:rPr>
                <w:sz w:val="18"/>
              </w:rPr>
              <w:t>Estonia</w:t>
            </w:r>
          </w:p>
        </w:tc>
      </w:tr>
      <w:tr w:rsidR="00F81233" w:rsidRPr="00324FC1" w14:paraId="55EE7C9B" w14:textId="77777777" w:rsidTr="00324FC1">
        <w:tc>
          <w:tcPr>
            <w:tcW w:w="699" w:type="dxa"/>
            <w:shd w:val="clear" w:color="auto" w:fill="auto"/>
          </w:tcPr>
          <w:p w14:paraId="2F93549A"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11 </w:t>
            </w:r>
          </w:p>
        </w:tc>
        <w:tc>
          <w:tcPr>
            <w:tcW w:w="350" w:type="dxa"/>
            <w:shd w:val="clear" w:color="auto" w:fill="auto"/>
            <w:vAlign w:val="bottom"/>
          </w:tcPr>
          <w:p w14:paraId="42216D5D"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176D6553" w14:textId="77777777" w:rsidR="00F81233" w:rsidRPr="00324FC1" w:rsidRDefault="00F81233" w:rsidP="00324FC1">
            <w:pPr>
              <w:suppressAutoHyphens w:val="0"/>
              <w:spacing w:before="40" w:after="40" w:line="220" w:lineRule="exact"/>
              <w:ind w:right="113"/>
              <w:rPr>
                <w:sz w:val="18"/>
              </w:rPr>
            </w:pPr>
            <w:r w:rsidRPr="00324FC1">
              <w:rPr>
                <w:sz w:val="18"/>
              </w:rPr>
              <w:t>United Kingdom</w:t>
            </w:r>
          </w:p>
        </w:tc>
        <w:tc>
          <w:tcPr>
            <w:tcW w:w="704" w:type="dxa"/>
            <w:shd w:val="clear" w:color="auto" w:fill="auto"/>
            <w:vAlign w:val="bottom"/>
          </w:tcPr>
          <w:p w14:paraId="5AD4E124"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32 </w:t>
            </w:r>
          </w:p>
        </w:tc>
        <w:tc>
          <w:tcPr>
            <w:tcW w:w="404" w:type="dxa"/>
            <w:shd w:val="clear" w:color="auto" w:fill="auto"/>
            <w:vAlign w:val="bottom"/>
          </w:tcPr>
          <w:p w14:paraId="33CE0090"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2142" w:type="dxa"/>
            <w:shd w:val="clear" w:color="auto" w:fill="auto"/>
            <w:vAlign w:val="bottom"/>
          </w:tcPr>
          <w:p w14:paraId="00F87007" w14:textId="77777777" w:rsidR="00F81233" w:rsidRPr="00324FC1" w:rsidRDefault="00F81233" w:rsidP="00324FC1">
            <w:pPr>
              <w:suppressAutoHyphens w:val="0"/>
              <w:spacing w:before="40" w:after="40" w:line="220" w:lineRule="exact"/>
              <w:ind w:right="113"/>
              <w:rPr>
                <w:sz w:val="18"/>
              </w:rPr>
            </w:pPr>
            <w:r w:rsidRPr="00324FC1">
              <w:rPr>
                <w:sz w:val="18"/>
              </w:rPr>
              <w:t>Latvia</w:t>
            </w:r>
          </w:p>
        </w:tc>
      </w:tr>
      <w:tr w:rsidR="00F81233" w:rsidRPr="00324FC1" w14:paraId="51FB4074" w14:textId="77777777" w:rsidTr="00324FC1">
        <w:tc>
          <w:tcPr>
            <w:tcW w:w="699" w:type="dxa"/>
            <w:shd w:val="clear" w:color="auto" w:fill="auto"/>
          </w:tcPr>
          <w:p w14:paraId="392F2BC3"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12 </w:t>
            </w:r>
          </w:p>
        </w:tc>
        <w:tc>
          <w:tcPr>
            <w:tcW w:w="350" w:type="dxa"/>
            <w:shd w:val="clear" w:color="auto" w:fill="auto"/>
            <w:vAlign w:val="bottom"/>
          </w:tcPr>
          <w:p w14:paraId="61AEBAE5"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0744C1FB" w14:textId="77777777" w:rsidR="00F81233" w:rsidRPr="00324FC1" w:rsidRDefault="00F81233" w:rsidP="00324FC1">
            <w:pPr>
              <w:suppressAutoHyphens w:val="0"/>
              <w:spacing w:before="40" w:after="40" w:line="220" w:lineRule="exact"/>
              <w:ind w:right="113"/>
              <w:rPr>
                <w:sz w:val="18"/>
              </w:rPr>
            </w:pPr>
            <w:r w:rsidRPr="00324FC1">
              <w:rPr>
                <w:sz w:val="18"/>
              </w:rPr>
              <w:t>Austria</w:t>
            </w:r>
          </w:p>
        </w:tc>
        <w:tc>
          <w:tcPr>
            <w:tcW w:w="704" w:type="dxa"/>
            <w:shd w:val="clear" w:color="auto" w:fill="auto"/>
            <w:vAlign w:val="bottom"/>
          </w:tcPr>
          <w:p w14:paraId="73D2650A" w14:textId="77777777" w:rsidR="00F81233" w:rsidRPr="00324FC1" w:rsidRDefault="00F81233" w:rsidP="00324FC1">
            <w:pPr>
              <w:suppressAutoHyphens w:val="0"/>
              <w:spacing w:before="40" w:after="40" w:line="220" w:lineRule="exact"/>
              <w:ind w:right="113"/>
              <w:jc w:val="right"/>
              <w:rPr>
                <w:sz w:val="18"/>
              </w:rPr>
            </w:pPr>
            <w:r w:rsidRPr="00324FC1">
              <w:rPr>
                <w:sz w:val="18"/>
              </w:rPr>
              <w:t>34</w:t>
            </w:r>
          </w:p>
        </w:tc>
        <w:tc>
          <w:tcPr>
            <w:tcW w:w="404" w:type="dxa"/>
            <w:shd w:val="clear" w:color="auto" w:fill="auto"/>
            <w:vAlign w:val="bottom"/>
          </w:tcPr>
          <w:p w14:paraId="697B2CF0" w14:textId="77777777" w:rsidR="00F81233" w:rsidRPr="00324FC1" w:rsidRDefault="00F81233" w:rsidP="00324FC1">
            <w:pPr>
              <w:suppressAutoHyphens w:val="0"/>
              <w:spacing w:before="40" w:after="40" w:line="220" w:lineRule="exact"/>
              <w:ind w:right="113"/>
              <w:jc w:val="right"/>
              <w:rPr>
                <w:sz w:val="18"/>
              </w:rPr>
            </w:pPr>
            <w:r w:rsidRPr="00324FC1">
              <w:rPr>
                <w:sz w:val="18"/>
              </w:rPr>
              <w:t>=</w:t>
            </w:r>
          </w:p>
        </w:tc>
        <w:tc>
          <w:tcPr>
            <w:tcW w:w="2142" w:type="dxa"/>
            <w:shd w:val="clear" w:color="auto" w:fill="auto"/>
            <w:vAlign w:val="bottom"/>
          </w:tcPr>
          <w:p w14:paraId="3577DA37" w14:textId="77777777" w:rsidR="00F81233" w:rsidRPr="00324FC1" w:rsidRDefault="00F81233" w:rsidP="00324FC1">
            <w:pPr>
              <w:suppressAutoHyphens w:val="0"/>
              <w:spacing w:before="40" w:after="40" w:line="220" w:lineRule="exact"/>
              <w:ind w:right="113"/>
              <w:rPr>
                <w:sz w:val="18"/>
              </w:rPr>
            </w:pPr>
            <w:r w:rsidRPr="00324FC1">
              <w:rPr>
                <w:sz w:val="18"/>
              </w:rPr>
              <w:t>Bulgaria</w:t>
            </w:r>
          </w:p>
        </w:tc>
      </w:tr>
      <w:tr w:rsidR="00F81233" w:rsidRPr="00324FC1" w14:paraId="03AD9A40" w14:textId="77777777" w:rsidTr="00324FC1">
        <w:tc>
          <w:tcPr>
            <w:tcW w:w="699" w:type="dxa"/>
            <w:shd w:val="clear" w:color="auto" w:fill="auto"/>
          </w:tcPr>
          <w:p w14:paraId="2EE47F21"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13 </w:t>
            </w:r>
          </w:p>
        </w:tc>
        <w:tc>
          <w:tcPr>
            <w:tcW w:w="350" w:type="dxa"/>
            <w:shd w:val="clear" w:color="auto" w:fill="auto"/>
            <w:vAlign w:val="bottom"/>
          </w:tcPr>
          <w:p w14:paraId="0EEDD86D"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5594935B" w14:textId="77777777" w:rsidR="00F81233" w:rsidRPr="00324FC1" w:rsidRDefault="00F81233" w:rsidP="00324FC1">
            <w:pPr>
              <w:suppressAutoHyphens w:val="0"/>
              <w:spacing w:before="40" w:after="40" w:line="220" w:lineRule="exact"/>
              <w:ind w:right="113"/>
              <w:rPr>
                <w:sz w:val="18"/>
              </w:rPr>
            </w:pPr>
            <w:r w:rsidRPr="00324FC1">
              <w:rPr>
                <w:sz w:val="18"/>
              </w:rPr>
              <w:t xml:space="preserve">Luxembourg </w:t>
            </w:r>
          </w:p>
        </w:tc>
        <w:tc>
          <w:tcPr>
            <w:tcW w:w="704" w:type="dxa"/>
            <w:shd w:val="clear" w:color="auto" w:fill="auto"/>
            <w:vAlign w:val="bottom"/>
          </w:tcPr>
          <w:p w14:paraId="3FE5E805"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36 </w:t>
            </w:r>
          </w:p>
        </w:tc>
        <w:tc>
          <w:tcPr>
            <w:tcW w:w="404" w:type="dxa"/>
            <w:shd w:val="clear" w:color="auto" w:fill="auto"/>
            <w:vAlign w:val="bottom"/>
          </w:tcPr>
          <w:p w14:paraId="7202D91C"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2142" w:type="dxa"/>
            <w:shd w:val="clear" w:color="auto" w:fill="auto"/>
            <w:vAlign w:val="bottom"/>
          </w:tcPr>
          <w:p w14:paraId="72500A72" w14:textId="77777777" w:rsidR="00F81233" w:rsidRPr="00324FC1" w:rsidRDefault="00F81233" w:rsidP="00324FC1">
            <w:pPr>
              <w:suppressAutoHyphens w:val="0"/>
              <w:spacing w:before="40" w:after="40" w:line="220" w:lineRule="exact"/>
              <w:ind w:right="113"/>
              <w:rPr>
                <w:sz w:val="18"/>
              </w:rPr>
            </w:pPr>
            <w:r w:rsidRPr="00324FC1">
              <w:rPr>
                <w:sz w:val="18"/>
              </w:rPr>
              <w:t>Lithuania</w:t>
            </w:r>
          </w:p>
        </w:tc>
      </w:tr>
      <w:tr w:rsidR="00F81233" w:rsidRPr="00324FC1" w14:paraId="6AF0D59C" w14:textId="77777777" w:rsidTr="00324FC1">
        <w:tc>
          <w:tcPr>
            <w:tcW w:w="699" w:type="dxa"/>
            <w:shd w:val="clear" w:color="auto" w:fill="auto"/>
          </w:tcPr>
          <w:p w14:paraId="36032CD8" w14:textId="77777777" w:rsidR="00F81233" w:rsidRPr="00324FC1" w:rsidRDefault="00F81233" w:rsidP="00324FC1">
            <w:pPr>
              <w:suppressAutoHyphens w:val="0"/>
              <w:spacing w:before="40" w:after="40" w:line="220" w:lineRule="exact"/>
              <w:ind w:right="113"/>
              <w:jc w:val="right"/>
              <w:rPr>
                <w:sz w:val="18"/>
              </w:rPr>
            </w:pPr>
            <w:r w:rsidRPr="00324FC1">
              <w:rPr>
                <w:sz w:val="18"/>
              </w:rPr>
              <w:t>14</w:t>
            </w:r>
          </w:p>
        </w:tc>
        <w:tc>
          <w:tcPr>
            <w:tcW w:w="350" w:type="dxa"/>
            <w:shd w:val="clear" w:color="auto" w:fill="auto"/>
            <w:vAlign w:val="bottom"/>
          </w:tcPr>
          <w:p w14:paraId="32DC18A9"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40AADC18" w14:textId="77777777" w:rsidR="00F81233" w:rsidRPr="00324FC1" w:rsidRDefault="00F81233" w:rsidP="00324FC1">
            <w:pPr>
              <w:suppressAutoHyphens w:val="0"/>
              <w:spacing w:before="40" w:after="40" w:line="220" w:lineRule="exact"/>
              <w:ind w:right="113"/>
              <w:rPr>
                <w:sz w:val="18"/>
              </w:rPr>
            </w:pPr>
            <w:r w:rsidRPr="00324FC1">
              <w:rPr>
                <w:sz w:val="18"/>
              </w:rPr>
              <w:t>Switzerland</w:t>
            </w:r>
          </w:p>
        </w:tc>
        <w:tc>
          <w:tcPr>
            <w:tcW w:w="704" w:type="dxa"/>
            <w:shd w:val="clear" w:color="auto" w:fill="auto"/>
            <w:vAlign w:val="bottom"/>
          </w:tcPr>
          <w:p w14:paraId="75CA503E"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49 </w:t>
            </w:r>
          </w:p>
        </w:tc>
        <w:tc>
          <w:tcPr>
            <w:tcW w:w="404" w:type="dxa"/>
            <w:shd w:val="clear" w:color="auto" w:fill="auto"/>
            <w:vAlign w:val="bottom"/>
          </w:tcPr>
          <w:p w14:paraId="6D755E52"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2142" w:type="dxa"/>
            <w:shd w:val="clear" w:color="auto" w:fill="auto"/>
            <w:vAlign w:val="bottom"/>
          </w:tcPr>
          <w:p w14:paraId="4AB05D1C" w14:textId="77777777" w:rsidR="00F81233" w:rsidRPr="00324FC1" w:rsidRDefault="00F81233" w:rsidP="00324FC1">
            <w:pPr>
              <w:suppressAutoHyphens w:val="0"/>
              <w:spacing w:before="40" w:after="40" w:line="220" w:lineRule="exact"/>
              <w:ind w:right="113"/>
              <w:rPr>
                <w:sz w:val="18"/>
              </w:rPr>
            </w:pPr>
            <w:r w:rsidRPr="00324FC1">
              <w:rPr>
                <w:sz w:val="18"/>
              </w:rPr>
              <w:t>Cyprus</w:t>
            </w:r>
          </w:p>
        </w:tc>
      </w:tr>
      <w:tr w:rsidR="00F81233" w:rsidRPr="00324FC1" w14:paraId="573780D9" w14:textId="77777777" w:rsidTr="00324FC1">
        <w:tc>
          <w:tcPr>
            <w:tcW w:w="699" w:type="dxa"/>
            <w:shd w:val="clear" w:color="auto" w:fill="auto"/>
          </w:tcPr>
          <w:p w14:paraId="343FA4BA"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17 </w:t>
            </w:r>
          </w:p>
        </w:tc>
        <w:tc>
          <w:tcPr>
            <w:tcW w:w="350" w:type="dxa"/>
            <w:shd w:val="clear" w:color="auto" w:fill="auto"/>
            <w:vAlign w:val="bottom"/>
          </w:tcPr>
          <w:p w14:paraId="089F5282"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632CFE05" w14:textId="77777777" w:rsidR="00F81233" w:rsidRPr="00324FC1" w:rsidRDefault="00F81233" w:rsidP="00324FC1">
            <w:pPr>
              <w:suppressAutoHyphens w:val="0"/>
              <w:spacing w:before="40" w:after="40" w:line="220" w:lineRule="exact"/>
              <w:ind w:right="113"/>
              <w:rPr>
                <w:sz w:val="18"/>
              </w:rPr>
            </w:pPr>
            <w:r w:rsidRPr="00324FC1">
              <w:rPr>
                <w:sz w:val="18"/>
              </w:rPr>
              <w:t>Finland</w:t>
            </w:r>
          </w:p>
        </w:tc>
        <w:tc>
          <w:tcPr>
            <w:tcW w:w="704" w:type="dxa"/>
            <w:shd w:val="clear" w:color="auto" w:fill="auto"/>
            <w:vAlign w:val="bottom"/>
          </w:tcPr>
          <w:p w14:paraId="5019F9E1"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50 </w:t>
            </w:r>
          </w:p>
        </w:tc>
        <w:tc>
          <w:tcPr>
            <w:tcW w:w="404" w:type="dxa"/>
            <w:shd w:val="clear" w:color="auto" w:fill="auto"/>
            <w:vAlign w:val="bottom"/>
          </w:tcPr>
          <w:p w14:paraId="0F941471"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2142" w:type="dxa"/>
            <w:shd w:val="clear" w:color="auto" w:fill="auto"/>
            <w:vAlign w:val="bottom"/>
          </w:tcPr>
          <w:p w14:paraId="3EE0F583" w14:textId="77777777" w:rsidR="00F81233" w:rsidRPr="00324FC1" w:rsidRDefault="00F81233" w:rsidP="00324FC1">
            <w:pPr>
              <w:suppressAutoHyphens w:val="0"/>
              <w:spacing w:before="40" w:after="40" w:line="220" w:lineRule="exact"/>
              <w:ind w:right="113"/>
              <w:rPr>
                <w:sz w:val="18"/>
              </w:rPr>
            </w:pPr>
            <w:r w:rsidRPr="00324FC1">
              <w:rPr>
                <w:sz w:val="18"/>
              </w:rPr>
              <w:t>Malta</w:t>
            </w:r>
          </w:p>
        </w:tc>
      </w:tr>
      <w:tr w:rsidR="00F81233" w:rsidRPr="00324FC1" w14:paraId="42802EE4" w14:textId="77777777" w:rsidTr="00324FC1">
        <w:tc>
          <w:tcPr>
            <w:tcW w:w="699" w:type="dxa"/>
            <w:shd w:val="clear" w:color="auto" w:fill="auto"/>
          </w:tcPr>
          <w:p w14:paraId="0756F202"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18 </w:t>
            </w:r>
          </w:p>
        </w:tc>
        <w:tc>
          <w:tcPr>
            <w:tcW w:w="350" w:type="dxa"/>
            <w:shd w:val="clear" w:color="auto" w:fill="auto"/>
            <w:vAlign w:val="bottom"/>
          </w:tcPr>
          <w:p w14:paraId="2D8EDCCB" w14:textId="77777777" w:rsidR="00F81233" w:rsidRPr="00324FC1" w:rsidRDefault="00F81233" w:rsidP="00324FC1">
            <w:pPr>
              <w:suppressAutoHyphens w:val="0"/>
              <w:spacing w:before="40" w:after="40" w:line="220" w:lineRule="exact"/>
              <w:ind w:right="113"/>
              <w:jc w:val="right"/>
              <w:rPr>
                <w:sz w:val="18"/>
              </w:rPr>
            </w:pPr>
            <w:r w:rsidRPr="00324FC1">
              <w:rPr>
                <w:sz w:val="18"/>
              </w:rPr>
              <w:t xml:space="preserve">= </w:t>
            </w:r>
          </w:p>
        </w:tc>
        <w:tc>
          <w:tcPr>
            <w:tcW w:w="3071" w:type="dxa"/>
            <w:shd w:val="clear" w:color="auto" w:fill="auto"/>
            <w:vAlign w:val="bottom"/>
          </w:tcPr>
          <w:p w14:paraId="5CB915B6" w14:textId="77777777" w:rsidR="00F81233" w:rsidRPr="00324FC1" w:rsidRDefault="00F81233" w:rsidP="00324FC1">
            <w:pPr>
              <w:suppressAutoHyphens w:val="0"/>
              <w:spacing w:before="40" w:after="40" w:line="220" w:lineRule="exact"/>
              <w:ind w:right="113"/>
              <w:rPr>
                <w:sz w:val="18"/>
              </w:rPr>
            </w:pPr>
            <w:r w:rsidRPr="00324FC1">
              <w:rPr>
                <w:sz w:val="18"/>
              </w:rPr>
              <w:t xml:space="preserve">Denmark </w:t>
            </w:r>
          </w:p>
        </w:tc>
        <w:tc>
          <w:tcPr>
            <w:tcW w:w="704" w:type="dxa"/>
            <w:shd w:val="clear" w:color="auto" w:fill="auto"/>
            <w:vAlign w:val="bottom"/>
          </w:tcPr>
          <w:p w14:paraId="4382C946" w14:textId="77777777" w:rsidR="00F81233" w:rsidRPr="00324FC1" w:rsidRDefault="00F81233" w:rsidP="00324FC1">
            <w:pPr>
              <w:suppressAutoHyphens w:val="0"/>
              <w:spacing w:before="40" w:after="40" w:line="220" w:lineRule="exact"/>
              <w:ind w:right="113"/>
              <w:jc w:val="right"/>
              <w:rPr>
                <w:sz w:val="18"/>
              </w:rPr>
            </w:pPr>
          </w:p>
        </w:tc>
        <w:tc>
          <w:tcPr>
            <w:tcW w:w="404" w:type="dxa"/>
            <w:shd w:val="clear" w:color="auto" w:fill="auto"/>
            <w:vAlign w:val="bottom"/>
          </w:tcPr>
          <w:p w14:paraId="0B705A53" w14:textId="77777777" w:rsidR="00F81233" w:rsidRPr="00324FC1" w:rsidRDefault="00F81233" w:rsidP="00324FC1">
            <w:pPr>
              <w:suppressAutoHyphens w:val="0"/>
              <w:spacing w:before="40" w:after="40" w:line="220" w:lineRule="exact"/>
              <w:ind w:right="113"/>
              <w:jc w:val="right"/>
              <w:rPr>
                <w:sz w:val="18"/>
              </w:rPr>
            </w:pPr>
          </w:p>
        </w:tc>
        <w:tc>
          <w:tcPr>
            <w:tcW w:w="2142" w:type="dxa"/>
            <w:shd w:val="clear" w:color="auto" w:fill="auto"/>
            <w:vAlign w:val="bottom"/>
          </w:tcPr>
          <w:p w14:paraId="7045D819" w14:textId="77777777" w:rsidR="00F81233" w:rsidRPr="00324FC1" w:rsidRDefault="00F81233" w:rsidP="00324FC1">
            <w:pPr>
              <w:suppressAutoHyphens w:val="0"/>
              <w:spacing w:before="40" w:after="40" w:line="220" w:lineRule="exact"/>
              <w:ind w:right="113"/>
              <w:rPr>
                <w:sz w:val="18"/>
              </w:rPr>
            </w:pPr>
          </w:p>
        </w:tc>
      </w:tr>
    </w:tbl>
    <w:p w14:paraId="1F8B6E8E" w14:textId="00F20AC4" w:rsidR="00F67365" w:rsidRDefault="00324FC1" w:rsidP="00671782">
      <w:pPr>
        <w:pStyle w:val="SingleTxtG"/>
        <w:spacing w:before="120"/>
      </w:pPr>
      <w:r>
        <w:lastRenderedPageBreak/>
        <w:tab/>
      </w:r>
      <w:r w:rsidR="009F2135" w:rsidRPr="009F2135">
        <w:t>NNN</w:t>
      </w:r>
      <w:r w:rsidR="009F2135" w:rsidRPr="009F2135">
        <w:tab/>
        <w:t>=</w:t>
      </w:r>
      <w:r w:rsidR="009F2135" w:rsidRPr="009F2135">
        <w:tab/>
        <w:t>three-digit number, to be determined by the competent authority</w:t>
      </w:r>
      <w:r w:rsidR="008A70EA">
        <w:t>.</w:t>
      </w:r>
    </w:p>
    <w:p w14:paraId="2A91D85D" w14:textId="31977646" w:rsidR="00C12E1C" w:rsidRDefault="009F2135" w:rsidP="00F81233">
      <w:pPr>
        <w:pStyle w:val="SingleTxtG"/>
      </w:pPr>
      <w:r w:rsidRPr="009F2135">
        <w:t>3.</w:t>
      </w:r>
      <w:r w:rsidRPr="009F2135">
        <w:tab/>
        <w:t xml:space="preserve">The type-approval number </w:t>
      </w:r>
      <w:proofErr w:type="gramStart"/>
      <w:r w:rsidRPr="009F2135">
        <w:t>shall be used</w:t>
      </w:r>
      <w:proofErr w:type="gramEnd"/>
      <w:r w:rsidRPr="009F2135">
        <w:t xml:space="preserve"> only in conjunction with the associated type-approval. It shall be the responsibility of the applicant to produce and affix the type-approval number.</w:t>
      </w:r>
    </w:p>
    <w:p w14:paraId="32173840" w14:textId="62704EDF" w:rsidR="00F67365" w:rsidRPr="0005624C" w:rsidRDefault="009F2135" w:rsidP="0005624C">
      <w:pPr>
        <w:pStyle w:val="SingleTxtG"/>
        <w:jc w:val="center"/>
        <w:rPr>
          <w:b/>
        </w:rPr>
      </w:pPr>
      <w:r w:rsidRPr="0005624C">
        <w:rPr>
          <w:b/>
        </w:rPr>
        <w:t>Article 1.07</w:t>
      </w:r>
      <w:r w:rsidR="0005624C">
        <w:rPr>
          <w:b/>
        </w:rPr>
        <w:br/>
      </w:r>
      <w:r w:rsidRPr="0005624C">
        <w:rPr>
          <w:b/>
        </w:rPr>
        <w:t>Manufacturer's declaration</w:t>
      </w:r>
    </w:p>
    <w:p w14:paraId="2CBC3F4D" w14:textId="5D473713" w:rsidR="00F67365" w:rsidRDefault="00324FC1" w:rsidP="00F81233">
      <w:pPr>
        <w:pStyle w:val="SingleTxtG"/>
      </w:pPr>
      <w:r>
        <w:tab/>
      </w:r>
      <w:r w:rsidR="009F2135" w:rsidRPr="009F2135">
        <w:t xml:space="preserve">Each unit of equipment </w:t>
      </w:r>
      <w:proofErr w:type="gramStart"/>
      <w:r w:rsidR="009F2135" w:rsidRPr="009F2135">
        <w:t>shall be accompanied</w:t>
      </w:r>
      <w:proofErr w:type="gramEnd"/>
      <w:r w:rsidR="009F2135" w:rsidRPr="009F2135">
        <w:t xml:space="preserve"> by a manufacturer's declaration.</w:t>
      </w:r>
    </w:p>
    <w:p w14:paraId="4394EECD" w14:textId="6F108BC6" w:rsidR="00F67365" w:rsidRPr="00117031" w:rsidRDefault="009F2135" w:rsidP="00117031">
      <w:pPr>
        <w:pStyle w:val="SingleTxtG"/>
        <w:jc w:val="center"/>
        <w:rPr>
          <w:b/>
        </w:rPr>
      </w:pPr>
      <w:r w:rsidRPr="00117031">
        <w:rPr>
          <w:b/>
        </w:rPr>
        <w:t>Article 1.08</w:t>
      </w:r>
      <w:r w:rsidR="00117031">
        <w:rPr>
          <w:b/>
        </w:rPr>
        <w:br/>
      </w:r>
      <w:r w:rsidRPr="00117031">
        <w:rPr>
          <w:b/>
        </w:rPr>
        <w:t>Modifications to type-approved equipment</w:t>
      </w:r>
    </w:p>
    <w:p w14:paraId="06A28930" w14:textId="77777777" w:rsidR="00F67365" w:rsidRDefault="009F2135" w:rsidP="00F81233">
      <w:pPr>
        <w:pStyle w:val="SingleTxtG"/>
      </w:pPr>
      <w:r w:rsidRPr="009F2135">
        <w:t>1.</w:t>
      </w:r>
      <w:r w:rsidRPr="009F2135">
        <w:tab/>
        <w:t>Any modification made to equipment already approved shall cause the type-approval to be forfeit.</w:t>
      </w:r>
    </w:p>
    <w:p w14:paraId="4E9A437C" w14:textId="1018C20D" w:rsidR="00F67365" w:rsidRDefault="00324FC1" w:rsidP="00F81233">
      <w:pPr>
        <w:pStyle w:val="SingleTxtG"/>
      </w:pPr>
      <w:r>
        <w:tab/>
      </w:r>
      <w:r w:rsidR="009F2135" w:rsidRPr="009F2135">
        <w:t xml:space="preserve">Whenever modifications </w:t>
      </w:r>
      <w:proofErr w:type="gramStart"/>
      <w:r w:rsidR="009F2135" w:rsidRPr="009F2135">
        <w:t>are planned</w:t>
      </w:r>
      <w:proofErr w:type="gramEnd"/>
      <w:r w:rsidR="009F2135" w:rsidRPr="009F2135">
        <w:t>, details shall be sent in writing to the competent technical service.</w:t>
      </w:r>
    </w:p>
    <w:p w14:paraId="37FF0194" w14:textId="77777777" w:rsidR="00F67365" w:rsidRDefault="009F2135" w:rsidP="00F81233">
      <w:pPr>
        <w:pStyle w:val="SingleTxtG"/>
      </w:pPr>
      <w:r w:rsidRPr="009F2135">
        <w:t>2.</w:t>
      </w:r>
      <w:r w:rsidRPr="009F2135">
        <w:tab/>
        <w:t>The competent authority shall decide following consultation with the technical service whether the type-approval still applies or whether an inspection or new type test is necessary.</w:t>
      </w:r>
    </w:p>
    <w:p w14:paraId="2B330072" w14:textId="20D920A6" w:rsidR="00F67365" w:rsidRDefault="00324FC1" w:rsidP="00F81233">
      <w:pPr>
        <w:pStyle w:val="SingleTxtG"/>
      </w:pPr>
      <w:r>
        <w:tab/>
      </w:r>
      <w:r w:rsidR="009F2135" w:rsidRPr="009F2135">
        <w:t xml:space="preserve">If a new type test </w:t>
      </w:r>
      <w:proofErr w:type="gramStart"/>
      <w:r w:rsidR="009F2135" w:rsidRPr="009F2135">
        <w:t>is granted</w:t>
      </w:r>
      <w:proofErr w:type="gramEnd"/>
      <w:r w:rsidR="009F2135" w:rsidRPr="009F2135">
        <w:t>, a new type approval number shall be assigned.</w:t>
      </w:r>
    </w:p>
    <w:p w14:paraId="0BDC1923" w14:textId="53C1D57D" w:rsidR="00F67365" w:rsidRPr="00D86B09" w:rsidRDefault="00324FC1" w:rsidP="00D86B09">
      <w:pPr>
        <w:pStyle w:val="SingleTxtG"/>
        <w:jc w:val="center"/>
        <w:rPr>
          <w:b/>
        </w:rPr>
      </w:pPr>
      <w:r w:rsidRPr="00D86B09">
        <w:rPr>
          <w:b/>
        </w:rPr>
        <w:t>CHAPTER 2</w:t>
      </w:r>
      <w:r w:rsidR="00D86B09">
        <w:rPr>
          <w:b/>
        </w:rPr>
        <w:br/>
      </w:r>
      <w:r w:rsidRPr="00D86B09">
        <w:rPr>
          <w:b/>
        </w:rPr>
        <w:t>GENERAL MINIMUM REQUIREMENTS FOR RATE-OF-TURN INDICATORS</w:t>
      </w:r>
    </w:p>
    <w:p w14:paraId="116A81B9" w14:textId="6FAE54F1" w:rsidR="00F67365" w:rsidRPr="00D86B09" w:rsidRDefault="009F2135" w:rsidP="00D86B09">
      <w:pPr>
        <w:pStyle w:val="SingleTxtG"/>
        <w:jc w:val="center"/>
        <w:rPr>
          <w:b/>
        </w:rPr>
      </w:pPr>
      <w:r w:rsidRPr="00D86B09">
        <w:rPr>
          <w:b/>
        </w:rPr>
        <w:t>Article 2.01</w:t>
      </w:r>
      <w:r w:rsidR="00D86B09">
        <w:rPr>
          <w:b/>
        </w:rPr>
        <w:br/>
      </w:r>
      <w:r w:rsidRPr="00D86B09">
        <w:rPr>
          <w:b/>
        </w:rPr>
        <w:t>Construction, design</w:t>
      </w:r>
    </w:p>
    <w:p w14:paraId="081914F6" w14:textId="77777777" w:rsidR="00F67365" w:rsidRDefault="009F2135" w:rsidP="00F81233">
      <w:pPr>
        <w:pStyle w:val="SingleTxtG"/>
      </w:pPr>
      <w:r w:rsidRPr="009F2135">
        <w:t>1.</w:t>
      </w:r>
      <w:r w:rsidRPr="009F2135">
        <w:tab/>
        <w:t>Rate-of-turn indicators shall be suitable for operation on board inland navigation vessels.</w:t>
      </w:r>
    </w:p>
    <w:p w14:paraId="24DD7ECE" w14:textId="77777777" w:rsidR="00F67365" w:rsidRDefault="009F2135" w:rsidP="00F81233">
      <w:pPr>
        <w:pStyle w:val="SingleTxtG"/>
      </w:pPr>
      <w:r w:rsidRPr="009F2135">
        <w:t>2.</w:t>
      </w:r>
      <w:r w:rsidRPr="009F2135">
        <w:tab/>
        <w:t>The construction and design of the equipment shall be in accordance with current good engineering practice, both mechanically and electrically.</w:t>
      </w:r>
    </w:p>
    <w:p w14:paraId="6D0AD546" w14:textId="77777777" w:rsidR="00F67365" w:rsidRDefault="009F2135" w:rsidP="00F81233">
      <w:pPr>
        <w:pStyle w:val="SingleTxtG"/>
      </w:pPr>
      <w:r w:rsidRPr="009F2135">
        <w:t>3.</w:t>
      </w:r>
      <w:r w:rsidRPr="009F2135">
        <w:tab/>
        <w:t>In the absence of any specific provision in this Standard, the requirements and test methods contained in European Standard EN 60945 : 2002 shall apply to power supply, safety, mutual interference of ship borne equipment, compass safe distance, resistance to climatic influences, mechanical strength, environmental influences, audible noise emission and equipment markings.</w:t>
      </w:r>
    </w:p>
    <w:p w14:paraId="7409C089" w14:textId="4213C9A9" w:rsidR="00F67365" w:rsidRDefault="00324FC1" w:rsidP="00F81233">
      <w:pPr>
        <w:pStyle w:val="SingleTxtG"/>
      </w:pPr>
      <w:r>
        <w:tab/>
      </w:r>
      <w:r w:rsidR="009F2135" w:rsidRPr="009F2135">
        <w:t>The equipment shall satisfy all requirements of this Annex at ambient temperatures between 0 °C and + 40 °C.</w:t>
      </w:r>
    </w:p>
    <w:p w14:paraId="7A73BF95" w14:textId="70D03B8A" w:rsidR="00F67365" w:rsidRPr="005D0038" w:rsidRDefault="009F2135" w:rsidP="005D0038">
      <w:pPr>
        <w:pStyle w:val="SingleTxtG"/>
        <w:jc w:val="center"/>
        <w:rPr>
          <w:b/>
        </w:rPr>
      </w:pPr>
      <w:r w:rsidRPr="005D0038">
        <w:rPr>
          <w:b/>
        </w:rPr>
        <w:t>Article 2.02</w:t>
      </w:r>
      <w:r w:rsidR="005D0038">
        <w:rPr>
          <w:b/>
        </w:rPr>
        <w:br/>
      </w:r>
      <w:r w:rsidRPr="005D0038">
        <w:rPr>
          <w:b/>
        </w:rPr>
        <w:t>Spurious emissions and electromagnetic compatibility</w:t>
      </w:r>
    </w:p>
    <w:p w14:paraId="50172085" w14:textId="77777777" w:rsidR="00F67365" w:rsidRDefault="009F2135" w:rsidP="00F81233">
      <w:pPr>
        <w:pStyle w:val="SingleTxtG"/>
      </w:pPr>
      <w:r w:rsidRPr="009F2135">
        <w:t>1.</w:t>
      </w:r>
      <w:r w:rsidRPr="009F2135">
        <w:tab/>
        <w:t>General requirements</w:t>
      </w:r>
    </w:p>
    <w:p w14:paraId="26DE4A71" w14:textId="3C9B4A93" w:rsidR="00F67365" w:rsidRDefault="00324FC1" w:rsidP="00F81233">
      <w:pPr>
        <w:pStyle w:val="SingleTxtG"/>
      </w:pPr>
      <w:r>
        <w:tab/>
      </w:r>
      <w:r w:rsidR="009F2135" w:rsidRPr="009F2135">
        <w:t>Rate-of-turn indicators shall meet the requirements of Directive 2004/108/EC</w:t>
      </w:r>
      <w:r w:rsidR="00374C5C">
        <w:t>.</w:t>
      </w:r>
      <w:r w:rsidR="009F2135" w:rsidRPr="00324FC1">
        <w:rPr>
          <w:vertAlign w:val="superscript"/>
        </w:rPr>
        <w:footnoteReference w:id="6"/>
      </w:r>
    </w:p>
    <w:p w14:paraId="32E157CB" w14:textId="77777777" w:rsidR="00F67365" w:rsidRDefault="009F2135" w:rsidP="00F81233">
      <w:pPr>
        <w:pStyle w:val="SingleTxtG"/>
      </w:pPr>
      <w:r w:rsidRPr="009F2135">
        <w:t>2.</w:t>
      </w:r>
      <w:r w:rsidRPr="009F2135">
        <w:tab/>
        <w:t>Spurious emissions</w:t>
      </w:r>
    </w:p>
    <w:p w14:paraId="7636BC68" w14:textId="79EE6F49" w:rsidR="00F67365" w:rsidRDefault="00324FC1" w:rsidP="00F81233">
      <w:pPr>
        <w:pStyle w:val="SingleTxtG"/>
      </w:pPr>
      <w:r>
        <w:lastRenderedPageBreak/>
        <w:tab/>
      </w:r>
      <w:r w:rsidR="009F2135" w:rsidRPr="009F2135">
        <w:t>In the frequency ranges of</w:t>
      </w:r>
      <w:r w:rsidR="00DF0AA9">
        <w:t xml:space="preserve"> 156-165 MHz, 450-470 MHz and 1.53-1.</w:t>
      </w:r>
      <w:r w:rsidR="009F2135" w:rsidRPr="009F2135">
        <w:t xml:space="preserve">544 GHz, the field strength shall not exceed a value </w:t>
      </w:r>
      <w:proofErr w:type="gramStart"/>
      <w:r w:rsidR="009F2135" w:rsidRPr="009F2135">
        <w:t xml:space="preserve">of 15 </w:t>
      </w:r>
      <w:proofErr w:type="spellStart"/>
      <w:r w:rsidR="009F2135" w:rsidRPr="009F2135">
        <w:t>μV</w:t>
      </w:r>
      <w:proofErr w:type="spellEnd"/>
      <w:r w:rsidR="009F2135" w:rsidRPr="009F2135">
        <w:t>/m</w:t>
      </w:r>
      <w:proofErr w:type="gramEnd"/>
      <w:r w:rsidR="009F2135" w:rsidRPr="009F2135">
        <w:t>. These field strengths shall apply at a test distance of 3 metres from the equipment under test.</w:t>
      </w:r>
    </w:p>
    <w:p w14:paraId="574DD287" w14:textId="6403D057" w:rsidR="00F67365" w:rsidRPr="002F7B1D" w:rsidRDefault="009F2135" w:rsidP="002F7B1D">
      <w:pPr>
        <w:pStyle w:val="SingleTxtG"/>
        <w:jc w:val="center"/>
        <w:rPr>
          <w:b/>
        </w:rPr>
      </w:pPr>
      <w:r w:rsidRPr="002F7B1D">
        <w:rPr>
          <w:b/>
        </w:rPr>
        <w:t>Article 2.03</w:t>
      </w:r>
      <w:r w:rsidR="002F7B1D">
        <w:rPr>
          <w:b/>
        </w:rPr>
        <w:br/>
      </w:r>
      <w:r w:rsidRPr="002F7B1D">
        <w:rPr>
          <w:b/>
        </w:rPr>
        <w:t>Operation</w:t>
      </w:r>
    </w:p>
    <w:p w14:paraId="107C512D" w14:textId="77777777" w:rsidR="00F67365" w:rsidRDefault="009F2135" w:rsidP="00F81233">
      <w:pPr>
        <w:pStyle w:val="SingleTxtG"/>
      </w:pPr>
      <w:r w:rsidRPr="009F2135">
        <w:t>1.</w:t>
      </w:r>
      <w:r w:rsidRPr="009F2135">
        <w:tab/>
        <w:t>The equipment shall not have more control units than are necessary for its correct operation.</w:t>
      </w:r>
    </w:p>
    <w:p w14:paraId="7FCC4F65" w14:textId="3AAB6F49" w:rsidR="00F67365" w:rsidRDefault="00324FC1" w:rsidP="00F81233">
      <w:pPr>
        <w:pStyle w:val="SingleTxtG"/>
      </w:pPr>
      <w:r>
        <w:tab/>
      </w:r>
      <w:r w:rsidR="009F2135" w:rsidRPr="009F2135">
        <w:t xml:space="preserve">The design, markings and manipulation of the control units shall be such as to permit their simple, unambiguous and fast operation. </w:t>
      </w:r>
    </w:p>
    <w:p w14:paraId="3E33BAE7" w14:textId="5DD9206E" w:rsidR="00F67365" w:rsidRDefault="00324FC1" w:rsidP="00F81233">
      <w:pPr>
        <w:pStyle w:val="SingleTxtG"/>
      </w:pPr>
      <w:r>
        <w:tab/>
      </w:r>
      <w:r w:rsidR="009F2135" w:rsidRPr="009F2135">
        <w:t>Their arrangement shall be such as to prevent operational mistakes as far as possible</w:t>
      </w:r>
    </w:p>
    <w:p w14:paraId="561AB0F7" w14:textId="6DBDFECA" w:rsidR="00F67365" w:rsidRDefault="00324FC1" w:rsidP="00F81233">
      <w:pPr>
        <w:pStyle w:val="SingleTxtG"/>
      </w:pPr>
      <w:r>
        <w:tab/>
      </w:r>
      <w:r w:rsidR="009F2135" w:rsidRPr="009F2135">
        <w:t>Control units that are not necessary for normal operation shall not be immediately accessible.</w:t>
      </w:r>
    </w:p>
    <w:p w14:paraId="015F9250" w14:textId="546786DC" w:rsidR="00F67365" w:rsidRDefault="00324FC1" w:rsidP="00F81233">
      <w:pPr>
        <w:pStyle w:val="SingleTxtG"/>
      </w:pPr>
      <w:r>
        <w:t>2.</w:t>
      </w:r>
      <w:r w:rsidR="009F2135" w:rsidRPr="009F2135">
        <w:tab/>
        <w:t xml:space="preserve">All controls and indicators </w:t>
      </w:r>
      <w:proofErr w:type="gramStart"/>
      <w:r w:rsidR="009F2135" w:rsidRPr="009F2135">
        <w:t>shall be provided</w:t>
      </w:r>
      <w:proofErr w:type="gramEnd"/>
      <w:r w:rsidR="009F2135" w:rsidRPr="009F2135">
        <w:t xml:space="preserve"> with symbols and/or markings in English. Symbols shall meet the requirements of European Standard EN </w:t>
      </w:r>
      <w:proofErr w:type="gramStart"/>
      <w:r w:rsidR="009F2135" w:rsidRPr="009F2135">
        <w:t>60417 :</w:t>
      </w:r>
      <w:proofErr w:type="gramEnd"/>
      <w:r w:rsidR="009F2135" w:rsidRPr="009F2135">
        <w:t> 1998 (graphical symbols for use on electrical equipment).</w:t>
      </w:r>
    </w:p>
    <w:p w14:paraId="2AFC551D" w14:textId="648BF8FE" w:rsidR="00F67365" w:rsidRDefault="00324FC1" w:rsidP="00F81233">
      <w:pPr>
        <w:pStyle w:val="SingleTxtG"/>
      </w:pPr>
      <w:r>
        <w:tab/>
      </w:r>
      <w:r w:rsidR="009F2135" w:rsidRPr="009F2135">
        <w:t xml:space="preserve">All numerals and letters shall be at least 4 mm high. If it </w:t>
      </w:r>
      <w:proofErr w:type="gramStart"/>
      <w:r w:rsidR="009F2135" w:rsidRPr="009F2135">
        <w:t>can be demonstrated</w:t>
      </w:r>
      <w:proofErr w:type="gramEnd"/>
      <w:r w:rsidR="009F2135" w:rsidRPr="009F2135">
        <w:t xml:space="preserve"> that, for technical reasons, numerals and letters 4 mm high are not possible and if for the purposes of operation smaller numerals and letters are acceptable, a redu</w:t>
      </w:r>
      <w:r w:rsidR="009D2468">
        <w:t>ction to 3 mm shall be allowed.</w:t>
      </w:r>
    </w:p>
    <w:p w14:paraId="716CF527" w14:textId="77777777" w:rsidR="00F67365" w:rsidRDefault="009F2135" w:rsidP="00F81233">
      <w:pPr>
        <w:pStyle w:val="SingleTxtG"/>
      </w:pPr>
      <w:r w:rsidRPr="009F2135">
        <w:t>3.</w:t>
      </w:r>
      <w:r w:rsidRPr="009F2135">
        <w:tab/>
        <w:t xml:space="preserve">The equipment </w:t>
      </w:r>
      <w:proofErr w:type="gramStart"/>
      <w:r w:rsidRPr="009F2135">
        <w:t>shall be designed</w:t>
      </w:r>
      <w:proofErr w:type="gramEnd"/>
      <w:r w:rsidRPr="009F2135">
        <w:t xml:space="preserve"> in such a way that operating mistakes cannot cause its failure.</w:t>
      </w:r>
    </w:p>
    <w:p w14:paraId="2EAC66FD" w14:textId="77777777" w:rsidR="00F67365" w:rsidRDefault="009F2135" w:rsidP="00F81233">
      <w:pPr>
        <w:pStyle w:val="SingleTxtG"/>
      </w:pPr>
      <w:r w:rsidRPr="009F2135">
        <w:t>4.</w:t>
      </w:r>
      <w:r w:rsidRPr="009F2135">
        <w:tab/>
        <w:t xml:space="preserve">Any functions over and above the minimum requirements, such as facilities for connection to other equipment, shall be provided in such a way that the equipment </w:t>
      </w:r>
      <w:proofErr w:type="gramStart"/>
      <w:r w:rsidRPr="009F2135">
        <w:t>meets</w:t>
      </w:r>
      <w:proofErr w:type="gramEnd"/>
      <w:r w:rsidRPr="009F2135">
        <w:t xml:space="preserve"> the minimum requirements under all conditions.</w:t>
      </w:r>
    </w:p>
    <w:p w14:paraId="7A6BEF2A" w14:textId="5C2FD9DC" w:rsidR="00F67365" w:rsidRPr="009D2468" w:rsidRDefault="009F2135" w:rsidP="009D2468">
      <w:pPr>
        <w:pStyle w:val="SingleTxtG"/>
        <w:jc w:val="center"/>
        <w:rPr>
          <w:b/>
        </w:rPr>
      </w:pPr>
      <w:r w:rsidRPr="009D2468">
        <w:rPr>
          <w:b/>
        </w:rPr>
        <w:t>Article 2.04</w:t>
      </w:r>
      <w:r w:rsidR="009D2468">
        <w:rPr>
          <w:b/>
        </w:rPr>
        <w:br/>
      </w:r>
      <w:r w:rsidRPr="009D2468">
        <w:rPr>
          <w:b/>
        </w:rPr>
        <w:t>Operator’s manual</w:t>
      </w:r>
    </w:p>
    <w:p w14:paraId="6354BF1F" w14:textId="09935A8B" w:rsidR="009F2135" w:rsidRPr="009F2135" w:rsidRDefault="00324FC1" w:rsidP="00F81233">
      <w:pPr>
        <w:pStyle w:val="SingleTxtG"/>
      </w:pPr>
      <w:r>
        <w:tab/>
      </w:r>
      <w:r w:rsidR="009F2135" w:rsidRPr="009F2135">
        <w:t xml:space="preserve">A detailed operator's manual </w:t>
      </w:r>
      <w:proofErr w:type="gramStart"/>
      <w:r w:rsidR="009F2135" w:rsidRPr="009F2135">
        <w:t>shall be supplied</w:t>
      </w:r>
      <w:proofErr w:type="gramEnd"/>
      <w:r w:rsidR="009F2135" w:rsidRPr="009F2135">
        <w:t xml:space="preserve"> with each unit. It shall be available in Dutch, English, French and German and shall contain at least the following information:</w:t>
      </w:r>
    </w:p>
    <w:p w14:paraId="4534FAAD" w14:textId="5498BA8F" w:rsidR="009F2135" w:rsidRPr="009F2135" w:rsidRDefault="00324FC1" w:rsidP="00F81233">
      <w:pPr>
        <w:pStyle w:val="SingleTxtG"/>
      </w:pPr>
      <w:r>
        <w:tab/>
      </w:r>
      <w:r w:rsidR="00F57E0D">
        <w:t>(</w:t>
      </w:r>
      <w:r w:rsidR="009F2135" w:rsidRPr="009F2135">
        <w:t>a)</w:t>
      </w:r>
      <w:r w:rsidR="009F2135" w:rsidRPr="009F2135">
        <w:tab/>
      </w:r>
      <w:proofErr w:type="gramStart"/>
      <w:r w:rsidR="009F2135" w:rsidRPr="009F2135">
        <w:t>activation</w:t>
      </w:r>
      <w:proofErr w:type="gramEnd"/>
      <w:r w:rsidR="009F2135" w:rsidRPr="009F2135">
        <w:t xml:space="preserve"> and operation;</w:t>
      </w:r>
    </w:p>
    <w:p w14:paraId="1C81A6B3" w14:textId="0239DBD1" w:rsidR="009F2135" w:rsidRPr="009F2135" w:rsidRDefault="00324FC1" w:rsidP="00F81233">
      <w:pPr>
        <w:pStyle w:val="SingleTxtG"/>
      </w:pPr>
      <w:r>
        <w:tab/>
      </w:r>
      <w:r w:rsidR="00F57E0D">
        <w:t>(</w:t>
      </w:r>
      <w:r w:rsidR="009F2135" w:rsidRPr="009F2135">
        <w:t>b)</w:t>
      </w:r>
      <w:r w:rsidR="009F2135" w:rsidRPr="009F2135">
        <w:tab/>
      </w:r>
      <w:proofErr w:type="gramStart"/>
      <w:r w:rsidR="009F2135" w:rsidRPr="009F2135">
        <w:t>maintenance</w:t>
      </w:r>
      <w:proofErr w:type="gramEnd"/>
      <w:r w:rsidR="009F2135" w:rsidRPr="009F2135">
        <w:t xml:space="preserve"> and servicing;</w:t>
      </w:r>
    </w:p>
    <w:p w14:paraId="0884CEF9" w14:textId="00B28891" w:rsidR="00F67365" w:rsidRDefault="00324FC1" w:rsidP="00F81233">
      <w:pPr>
        <w:pStyle w:val="SingleTxtG"/>
      </w:pPr>
      <w:r>
        <w:tab/>
      </w:r>
      <w:r w:rsidR="00F57E0D">
        <w:t>(</w:t>
      </w:r>
      <w:r w:rsidR="009F2135" w:rsidRPr="009F2135">
        <w:t>c)</w:t>
      </w:r>
      <w:r w:rsidR="009F2135" w:rsidRPr="009F2135">
        <w:tab/>
      </w:r>
      <w:proofErr w:type="gramStart"/>
      <w:r w:rsidR="009F2135" w:rsidRPr="009F2135">
        <w:t>general</w:t>
      </w:r>
      <w:proofErr w:type="gramEnd"/>
      <w:r w:rsidR="009F2135" w:rsidRPr="009F2135">
        <w:t xml:space="preserve"> safety provisions.</w:t>
      </w:r>
    </w:p>
    <w:p w14:paraId="07B9D5E2" w14:textId="010956B6" w:rsidR="00F67365" w:rsidRPr="002E6F41" w:rsidRDefault="009F2135" w:rsidP="002E6F41">
      <w:pPr>
        <w:pStyle w:val="SingleTxtG"/>
        <w:jc w:val="center"/>
        <w:rPr>
          <w:b/>
        </w:rPr>
      </w:pPr>
      <w:r w:rsidRPr="002E6F41">
        <w:rPr>
          <w:b/>
        </w:rPr>
        <w:t>Article 2.05</w:t>
      </w:r>
      <w:r w:rsidR="002E6F41">
        <w:rPr>
          <w:b/>
        </w:rPr>
        <w:br/>
      </w:r>
      <w:r w:rsidRPr="002E6F41">
        <w:rPr>
          <w:b/>
        </w:rPr>
        <w:t>Installation of the sensor</w:t>
      </w:r>
    </w:p>
    <w:p w14:paraId="590F41A4" w14:textId="3D65171F" w:rsidR="00F67365" w:rsidRDefault="00324FC1" w:rsidP="00F81233">
      <w:pPr>
        <w:pStyle w:val="SingleTxtG"/>
      </w:pPr>
      <w:r>
        <w:rPr>
          <w:rFonts w:eastAsia="Batang"/>
        </w:rPr>
        <w:tab/>
      </w:r>
      <w:r w:rsidR="009F2135" w:rsidRPr="009F2135">
        <w:rPr>
          <w:rFonts w:eastAsia="Batang"/>
        </w:rPr>
        <w:t xml:space="preserve">The direction of installation in relation to the keel line </w:t>
      </w:r>
      <w:proofErr w:type="gramStart"/>
      <w:r w:rsidR="009F2135" w:rsidRPr="009F2135">
        <w:rPr>
          <w:rFonts w:eastAsia="Batang"/>
        </w:rPr>
        <w:t>shall be indicated</w:t>
      </w:r>
      <w:proofErr w:type="gramEnd"/>
      <w:r w:rsidR="009F2135" w:rsidRPr="009F2135">
        <w:rPr>
          <w:rFonts w:eastAsia="Batang"/>
        </w:rPr>
        <w:t xml:space="preserve"> on the rate-of-turn indicator's sensor unit. Installation instructions </w:t>
      </w:r>
      <w:proofErr w:type="gramStart"/>
      <w:r w:rsidR="009F2135" w:rsidRPr="009F2135">
        <w:rPr>
          <w:rFonts w:eastAsia="Batang"/>
        </w:rPr>
        <w:t>shall be provided</w:t>
      </w:r>
      <w:proofErr w:type="gramEnd"/>
      <w:r w:rsidR="009F2135" w:rsidRPr="009F2135">
        <w:rPr>
          <w:rFonts w:eastAsia="Batang"/>
        </w:rPr>
        <w:t xml:space="preserve"> to ensure maximum insensitivity to other normal movements of the vessel.</w:t>
      </w:r>
    </w:p>
    <w:p w14:paraId="7F29BA00" w14:textId="07214F8C" w:rsidR="00F67365" w:rsidRPr="00704F0C" w:rsidRDefault="00324FC1" w:rsidP="00704F0C">
      <w:pPr>
        <w:pStyle w:val="SingleTxtG"/>
        <w:jc w:val="center"/>
        <w:rPr>
          <w:b/>
        </w:rPr>
      </w:pPr>
      <w:r w:rsidRPr="00704F0C">
        <w:rPr>
          <w:b/>
        </w:rPr>
        <w:t>CHAPTER 3</w:t>
      </w:r>
      <w:r w:rsidR="00704F0C">
        <w:rPr>
          <w:b/>
        </w:rPr>
        <w:br/>
      </w:r>
      <w:r w:rsidRPr="00704F0C">
        <w:rPr>
          <w:b/>
        </w:rPr>
        <w:t>MINIMUM OPERATIONAL REQUIREMENTS FOR RATE-OF-TURN INDICATORS</w:t>
      </w:r>
    </w:p>
    <w:p w14:paraId="463C4529" w14:textId="158D49F9" w:rsidR="00F67365" w:rsidRPr="00704F0C" w:rsidRDefault="00324FC1" w:rsidP="00704F0C">
      <w:pPr>
        <w:pStyle w:val="SingleTxtG"/>
        <w:jc w:val="center"/>
        <w:rPr>
          <w:b/>
        </w:rPr>
      </w:pPr>
      <w:r w:rsidRPr="00704F0C">
        <w:rPr>
          <w:b/>
        </w:rPr>
        <w:t>Article 3.01</w:t>
      </w:r>
      <w:r w:rsidR="00704F0C">
        <w:rPr>
          <w:b/>
        </w:rPr>
        <w:br/>
      </w:r>
      <w:r w:rsidR="009F2135" w:rsidRPr="00704F0C">
        <w:rPr>
          <w:b/>
        </w:rPr>
        <w:t>Operational readiness of the rate-of-turn indicator</w:t>
      </w:r>
    </w:p>
    <w:p w14:paraId="5F491086" w14:textId="77777777" w:rsidR="00F67365" w:rsidRDefault="009F2135" w:rsidP="00F81233">
      <w:pPr>
        <w:pStyle w:val="SingleTxtG"/>
      </w:pPr>
      <w:r w:rsidRPr="009F2135">
        <w:t>1.</w:t>
      </w:r>
      <w:r w:rsidRPr="009F2135">
        <w:tab/>
        <w:t xml:space="preserve">From a cold start, the rate-of-turn indicator shall be </w:t>
      </w:r>
      <w:proofErr w:type="gramStart"/>
      <w:r w:rsidRPr="009F2135">
        <w:t>fully operational</w:t>
      </w:r>
      <w:proofErr w:type="gramEnd"/>
      <w:r w:rsidRPr="009F2135">
        <w:t xml:space="preserve"> within 4 minutes and shall operate to within the required accuracy tolerances.</w:t>
      </w:r>
    </w:p>
    <w:p w14:paraId="0BBDF8CD" w14:textId="77777777" w:rsidR="00F67365" w:rsidRDefault="009F2135" w:rsidP="00F81233">
      <w:pPr>
        <w:pStyle w:val="SingleTxtG"/>
      </w:pPr>
      <w:r w:rsidRPr="009F2135">
        <w:lastRenderedPageBreak/>
        <w:t>2.</w:t>
      </w:r>
      <w:r w:rsidRPr="009F2135">
        <w:tab/>
        <w:t xml:space="preserve">A warning signal shall indicate that the indicator </w:t>
      </w:r>
      <w:proofErr w:type="gramStart"/>
      <w:r w:rsidRPr="009F2135">
        <w:t>is switched on</w:t>
      </w:r>
      <w:proofErr w:type="gramEnd"/>
      <w:r w:rsidRPr="009F2135">
        <w:t>. It shall be possible to observe and operate the rate-of-turn indicator simultaneously.</w:t>
      </w:r>
    </w:p>
    <w:p w14:paraId="33E62789" w14:textId="77777777" w:rsidR="00F67365" w:rsidRDefault="009F2135" w:rsidP="00F81233">
      <w:pPr>
        <w:pStyle w:val="SingleTxtG"/>
      </w:pPr>
      <w:r w:rsidRPr="009F2135">
        <w:t>3.</w:t>
      </w:r>
      <w:r w:rsidRPr="009F2135">
        <w:tab/>
        <w:t xml:space="preserve">Cordless remote controls </w:t>
      </w:r>
      <w:proofErr w:type="gramStart"/>
      <w:r w:rsidRPr="009F2135">
        <w:t>shall not be permitted</w:t>
      </w:r>
      <w:proofErr w:type="gramEnd"/>
      <w:r w:rsidRPr="009F2135">
        <w:t>.</w:t>
      </w:r>
    </w:p>
    <w:p w14:paraId="6149AAAA" w14:textId="1A730C91" w:rsidR="00F67365" w:rsidRPr="00704F0C" w:rsidRDefault="009F2135" w:rsidP="00704F0C">
      <w:pPr>
        <w:pStyle w:val="SingleTxtG"/>
        <w:jc w:val="center"/>
        <w:rPr>
          <w:b/>
        </w:rPr>
      </w:pPr>
      <w:r w:rsidRPr="00704F0C">
        <w:rPr>
          <w:b/>
        </w:rPr>
        <w:t>Article 3.02</w:t>
      </w:r>
      <w:r w:rsidR="00704F0C">
        <w:rPr>
          <w:b/>
        </w:rPr>
        <w:br/>
      </w:r>
      <w:r w:rsidRPr="00704F0C">
        <w:rPr>
          <w:b/>
        </w:rPr>
        <w:t>Indication of the rate of turn</w:t>
      </w:r>
    </w:p>
    <w:p w14:paraId="45BA093C" w14:textId="77777777" w:rsidR="00F67365" w:rsidRDefault="009F2135" w:rsidP="00F81233">
      <w:pPr>
        <w:pStyle w:val="SingleTxtG"/>
      </w:pPr>
      <w:r w:rsidRPr="009F2135">
        <w:t>1.</w:t>
      </w:r>
      <w:r w:rsidRPr="009F2135">
        <w:tab/>
        <w:t xml:space="preserve">The rate of turn </w:t>
      </w:r>
      <w:proofErr w:type="gramStart"/>
      <w:r w:rsidRPr="009F2135">
        <w:t>shall be indicated</w:t>
      </w:r>
      <w:proofErr w:type="gramEnd"/>
      <w:r w:rsidRPr="009F2135">
        <w:t xml:space="preserve"> on a linear graduated scale having the zero point situated in the middle. It shall be possible to read the direction and extent of the rate of turn with the necessary accuracy. Indicators other than needle indicators and </w:t>
      </w:r>
      <w:proofErr w:type="gramStart"/>
      <w:r w:rsidRPr="009F2135">
        <w:t>bar-graphs</w:t>
      </w:r>
      <w:proofErr w:type="gramEnd"/>
      <w:r w:rsidRPr="009F2135">
        <w:t xml:space="preserve"> shall not be permitted.</w:t>
      </w:r>
    </w:p>
    <w:p w14:paraId="7DF0F3AD" w14:textId="77777777" w:rsidR="00F67365" w:rsidRDefault="009F2135" w:rsidP="00F81233">
      <w:pPr>
        <w:pStyle w:val="SingleTxtG"/>
      </w:pPr>
      <w:r w:rsidRPr="009F2135">
        <w:t>2.</w:t>
      </w:r>
      <w:r w:rsidRPr="009F2135">
        <w:tab/>
        <w:t>The indicator scale shall be at least 20 cm long and may be circular or rectilinear.</w:t>
      </w:r>
    </w:p>
    <w:p w14:paraId="53A5D512" w14:textId="77777777" w:rsidR="00F67365" w:rsidRDefault="009F2135" w:rsidP="00F81233">
      <w:pPr>
        <w:pStyle w:val="SingleTxtG"/>
      </w:pPr>
      <w:r w:rsidRPr="009F2135">
        <w:tab/>
        <w:t xml:space="preserve">Rectilinear scales </w:t>
      </w:r>
      <w:proofErr w:type="gramStart"/>
      <w:r w:rsidRPr="009F2135">
        <w:t>may be arranged</w:t>
      </w:r>
      <w:proofErr w:type="gramEnd"/>
      <w:r w:rsidRPr="009F2135">
        <w:t xml:space="preserve"> horizontally only.</w:t>
      </w:r>
    </w:p>
    <w:p w14:paraId="2ED96675" w14:textId="77777777" w:rsidR="00F67365" w:rsidRDefault="009F2135" w:rsidP="00F81233">
      <w:pPr>
        <w:pStyle w:val="SingleTxtG"/>
      </w:pPr>
      <w:r w:rsidRPr="009F2135">
        <w:t>3.</w:t>
      </w:r>
      <w:r w:rsidRPr="009F2135">
        <w:tab/>
        <w:t xml:space="preserve">Digital-only indicators </w:t>
      </w:r>
      <w:proofErr w:type="gramStart"/>
      <w:r w:rsidRPr="009F2135">
        <w:t>will not be accepted</w:t>
      </w:r>
      <w:proofErr w:type="gramEnd"/>
      <w:r w:rsidRPr="009F2135">
        <w:t>.</w:t>
      </w:r>
    </w:p>
    <w:p w14:paraId="45D4BC60" w14:textId="36395B51" w:rsidR="00F67365" w:rsidRPr="00796DB6" w:rsidRDefault="009F2135" w:rsidP="00796DB6">
      <w:pPr>
        <w:pStyle w:val="SingleTxtG"/>
        <w:jc w:val="center"/>
        <w:rPr>
          <w:b/>
        </w:rPr>
      </w:pPr>
      <w:r w:rsidRPr="00796DB6">
        <w:rPr>
          <w:b/>
        </w:rPr>
        <w:t>Article 3.03</w:t>
      </w:r>
      <w:r w:rsidR="00796DB6">
        <w:rPr>
          <w:b/>
        </w:rPr>
        <w:br/>
      </w:r>
      <w:r w:rsidRPr="00796DB6">
        <w:rPr>
          <w:b/>
        </w:rPr>
        <w:t>Measuring ranges</w:t>
      </w:r>
    </w:p>
    <w:p w14:paraId="43F8FE56" w14:textId="32380252" w:rsidR="009F2135" w:rsidRPr="009F2135" w:rsidRDefault="00BE23E5" w:rsidP="00F81233">
      <w:pPr>
        <w:pStyle w:val="SingleTxtG"/>
      </w:pPr>
      <w:r>
        <w:tab/>
      </w:r>
      <w:r w:rsidR="009F2135" w:rsidRPr="009F2135">
        <w:t xml:space="preserve">Rate-of-turn indicators </w:t>
      </w:r>
      <w:proofErr w:type="gramStart"/>
      <w:r w:rsidR="009F2135" w:rsidRPr="009F2135">
        <w:t>may be provided</w:t>
      </w:r>
      <w:proofErr w:type="gramEnd"/>
      <w:r w:rsidR="009F2135" w:rsidRPr="009F2135">
        <w:t xml:space="preserve"> with one or more measuring ranges. The following measuring ranges </w:t>
      </w:r>
      <w:proofErr w:type="gramStart"/>
      <w:r w:rsidR="009F2135" w:rsidRPr="009F2135">
        <w:t>are recommended</w:t>
      </w:r>
      <w:proofErr w:type="gramEnd"/>
      <w:r w:rsidR="009F2135" w:rsidRPr="009F2135">
        <w:t>:</w:t>
      </w:r>
    </w:p>
    <w:p w14:paraId="4241F897" w14:textId="77777777" w:rsidR="009F2135" w:rsidRPr="009F2135" w:rsidRDefault="009F2135" w:rsidP="00F81233">
      <w:pPr>
        <w:pStyle w:val="SingleTxtG"/>
      </w:pPr>
      <w:r w:rsidRPr="009F2135">
        <w:tab/>
        <w:t>30°/min</w:t>
      </w:r>
    </w:p>
    <w:p w14:paraId="77EAA067" w14:textId="77777777" w:rsidR="009F2135" w:rsidRPr="009F2135" w:rsidRDefault="009F2135" w:rsidP="00F81233">
      <w:pPr>
        <w:pStyle w:val="SingleTxtG"/>
      </w:pPr>
      <w:r w:rsidRPr="009F2135">
        <w:tab/>
        <w:t>60°/min</w:t>
      </w:r>
    </w:p>
    <w:p w14:paraId="7F1890AA" w14:textId="77777777" w:rsidR="009F2135" w:rsidRPr="009F2135" w:rsidRDefault="009F2135" w:rsidP="00F81233">
      <w:pPr>
        <w:pStyle w:val="SingleTxtG"/>
      </w:pPr>
      <w:r w:rsidRPr="009F2135">
        <w:tab/>
        <w:t>90°/min</w:t>
      </w:r>
    </w:p>
    <w:p w14:paraId="6C72D6B2" w14:textId="77777777" w:rsidR="009F2135" w:rsidRPr="009F2135" w:rsidRDefault="009F2135" w:rsidP="00F81233">
      <w:pPr>
        <w:pStyle w:val="SingleTxtG"/>
      </w:pPr>
      <w:r w:rsidRPr="009F2135">
        <w:tab/>
        <w:t>180°/min</w:t>
      </w:r>
    </w:p>
    <w:p w14:paraId="576FF704" w14:textId="77777777" w:rsidR="00F67365" w:rsidRDefault="009F2135" w:rsidP="00F81233">
      <w:pPr>
        <w:pStyle w:val="SingleTxtG"/>
      </w:pPr>
      <w:r w:rsidRPr="009F2135">
        <w:tab/>
        <w:t>300°/min.</w:t>
      </w:r>
    </w:p>
    <w:p w14:paraId="1C94C5F0" w14:textId="792CBBA8" w:rsidR="00F67365" w:rsidRPr="00796DB6" w:rsidRDefault="009F2135" w:rsidP="00796DB6">
      <w:pPr>
        <w:pStyle w:val="SingleTxtG"/>
        <w:jc w:val="center"/>
        <w:rPr>
          <w:b/>
        </w:rPr>
      </w:pPr>
      <w:r w:rsidRPr="00796DB6">
        <w:rPr>
          <w:b/>
        </w:rPr>
        <w:t>Article 3.04</w:t>
      </w:r>
      <w:r w:rsidR="00796DB6">
        <w:rPr>
          <w:b/>
        </w:rPr>
        <w:br/>
      </w:r>
      <w:r w:rsidRPr="00796DB6">
        <w:rPr>
          <w:b/>
        </w:rPr>
        <w:t>Accuracy of the indicated rate of turn</w:t>
      </w:r>
    </w:p>
    <w:p w14:paraId="0781A2B9" w14:textId="0C7392FD" w:rsidR="00F67365" w:rsidRDefault="00324FC1" w:rsidP="00F81233">
      <w:pPr>
        <w:pStyle w:val="SingleTxtG"/>
      </w:pPr>
      <w:r>
        <w:tab/>
      </w:r>
      <w:r w:rsidR="009F2135" w:rsidRPr="009F2135">
        <w:t>The indicated rate of turn shall not differ by more than 2 % from the measurable maximum value or by more than 10 % from the actual value; whichever is the greater (see Appendix).</w:t>
      </w:r>
    </w:p>
    <w:p w14:paraId="6170967E" w14:textId="56B6F82C" w:rsidR="00F67365" w:rsidRPr="00796DB6" w:rsidRDefault="009F2135" w:rsidP="00796DB6">
      <w:pPr>
        <w:pStyle w:val="SingleTxtG"/>
        <w:jc w:val="center"/>
        <w:rPr>
          <w:b/>
        </w:rPr>
      </w:pPr>
      <w:r w:rsidRPr="00796DB6">
        <w:rPr>
          <w:b/>
        </w:rPr>
        <w:t>Article 3.05</w:t>
      </w:r>
      <w:r w:rsidR="00796DB6">
        <w:rPr>
          <w:b/>
        </w:rPr>
        <w:br/>
      </w:r>
      <w:r w:rsidRPr="00796DB6">
        <w:rPr>
          <w:b/>
        </w:rPr>
        <w:t>Sensitivity</w:t>
      </w:r>
    </w:p>
    <w:p w14:paraId="7131EE61" w14:textId="75B3A4B2" w:rsidR="00F67365" w:rsidRDefault="00324FC1" w:rsidP="00F81233">
      <w:pPr>
        <w:pStyle w:val="SingleTxtG"/>
      </w:pPr>
      <w:r>
        <w:tab/>
      </w:r>
      <w:r w:rsidR="009F2135" w:rsidRPr="009F2135">
        <w:t>The operating threshold shall be less than or equal to a change in angular speed equivalent to 1 % of the indicated value.</w:t>
      </w:r>
    </w:p>
    <w:p w14:paraId="7297EDDC" w14:textId="491C71F2" w:rsidR="00F67365" w:rsidRPr="00796DB6" w:rsidRDefault="009F2135" w:rsidP="00796DB6">
      <w:pPr>
        <w:pStyle w:val="SingleTxtG"/>
        <w:jc w:val="center"/>
        <w:rPr>
          <w:b/>
        </w:rPr>
      </w:pPr>
      <w:r w:rsidRPr="00796DB6">
        <w:rPr>
          <w:b/>
        </w:rPr>
        <w:t>Article 3.06</w:t>
      </w:r>
      <w:r w:rsidR="00796DB6">
        <w:rPr>
          <w:b/>
        </w:rPr>
        <w:br/>
      </w:r>
      <w:r w:rsidRPr="00796DB6">
        <w:rPr>
          <w:b/>
        </w:rPr>
        <w:t>Monitoring of operation</w:t>
      </w:r>
    </w:p>
    <w:p w14:paraId="3FBD99A7" w14:textId="77777777" w:rsidR="00F67365" w:rsidRDefault="009F2135" w:rsidP="00F81233">
      <w:pPr>
        <w:pStyle w:val="SingleTxtG"/>
      </w:pPr>
      <w:r w:rsidRPr="009F2135">
        <w:t>1.</w:t>
      </w:r>
      <w:r w:rsidRPr="009F2135">
        <w:tab/>
        <w:t xml:space="preserve">If the rate-of-turn indicator does not operate within the required accuracy range, this </w:t>
      </w:r>
      <w:proofErr w:type="gramStart"/>
      <w:r w:rsidRPr="009F2135">
        <w:t>shall be indicated</w:t>
      </w:r>
      <w:proofErr w:type="gramEnd"/>
      <w:r w:rsidRPr="009F2135">
        <w:t>.</w:t>
      </w:r>
    </w:p>
    <w:p w14:paraId="592AA620" w14:textId="77777777" w:rsidR="00F67365" w:rsidRDefault="009F2135" w:rsidP="00F81233">
      <w:pPr>
        <w:pStyle w:val="SingleTxtG"/>
      </w:pPr>
      <w:proofErr w:type="gramStart"/>
      <w:r w:rsidRPr="009F2135">
        <w:t>2.</w:t>
      </w:r>
      <w:r w:rsidRPr="009F2135">
        <w:tab/>
        <w:t>If a gyroscope is used, any critical fall in the rate of rotation of the gyroscope shall be signalled by an indicator</w:t>
      </w:r>
      <w:proofErr w:type="gramEnd"/>
      <w:r w:rsidRPr="009F2135">
        <w:t xml:space="preserve">. A critical fall in the rate of rotation of the gyroscope is </w:t>
      </w:r>
      <w:proofErr w:type="gramStart"/>
      <w:r w:rsidRPr="009F2135">
        <w:t>one which</w:t>
      </w:r>
      <w:proofErr w:type="gramEnd"/>
      <w:r w:rsidRPr="009F2135">
        <w:t xml:space="preserve"> lowers accuracy by 10 %.</w:t>
      </w:r>
    </w:p>
    <w:p w14:paraId="24BC9985" w14:textId="79BDFA8D" w:rsidR="00F67365" w:rsidRPr="00796DB6" w:rsidRDefault="009F2135" w:rsidP="00796DB6">
      <w:pPr>
        <w:pStyle w:val="SingleTxtG"/>
        <w:jc w:val="center"/>
        <w:rPr>
          <w:b/>
        </w:rPr>
      </w:pPr>
      <w:r w:rsidRPr="00796DB6">
        <w:rPr>
          <w:b/>
        </w:rPr>
        <w:t>Article 3.07</w:t>
      </w:r>
      <w:r w:rsidR="00796DB6">
        <w:rPr>
          <w:b/>
        </w:rPr>
        <w:br/>
      </w:r>
      <w:r w:rsidRPr="00796DB6">
        <w:rPr>
          <w:b/>
        </w:rPr>
        <w:t>Insensitivity to normal movements of the vessel</w:t>
      </w:r>
    </w:p>
    <w:p w14:paraId="0B9B6869" w14:textId="77777777" w:rsidR="00F67365" w:rsidRDefault="009F2135" w:rsidP="00F81233">
      <w:pPr>
        <w:pStyle w:val="SingleTxtG"/>
      </w:pPr>
      <w:proofErr w:type="gramStart"/>
      <w:r w:rsidRPr="009F2135">
        <w:t>1.</w:t>
      </w:r>
      <w:r w:rsidRPr="009F2135">
        <w:tab/>
        <w:t>Rolling of the vessel of up to</w:t>
      </w:r>
      <w:proofErr w:type="gramEnd"/>
      <w:r w:rsidRPr="009F2135">
        <w:t xml:space="preserve"> 10° at a rate of turn of up to 4°/s shall not give rise to measurement errors in excess of the stipulated tolerances.</w:t>
      </w:r>
    </w:p>
    <w:p w14:paraId="68A8470C" w14:textId="77777777" w:rsidR="00F67365" w:rsidRDefault="009F2135" w:rsidP="00F81233">
      <w:pPr>
        <w:pStyle w:val="SingleTxtG"/>
      </w:pPr>
      <w:r w:rsidRPr="009F2135">
        <w:lastRenderedPageBreak/>
        <w:t>2.</w:t>
      </w:r>
      <w:r w:rsidRPr="009F2135">
        <w:tab/>
        <w:t>Impacts such as those that may occur during berthing shall not give rise to measurement errors in excess of the stipulated tolerances.</w:t>
      </w:r>
    </w:p>
    <w:p w14:paraId="5A1C7E63" w14:textId="666EFF8B" w:rsidR="00F67365" w:rsidRPr="00796DB6" w:rsidRDefault="009F2135" w:rsidP="00796DB6">
      <w:pPr>
        <w:pStyle w:val="SingleTxtG"/>
        <w:jc w:val="center"/>
        <w:rPr>
          <w:b/>
        </w:rPr>
      </w:pPr>
      <w:r w:rsidRPr="00796DB6">
        <w:rPr>
          <w:b/>
        </w:rPr>
        <w:t>Article 3.08</w:t>
      </w:r>
      <w:r w:rsidR="00796DB6">
        <w:rPr>
          <w:b/>
        </w:rPr>
        <w:br/>
      </w:r>
      <w:r w:rsidRPr="00796DB6">
        <w:rPr>
          <w:b/>
        </w:rPr>
        <w:t>Insensitivity to magnetic fields</w:t>
      </w:r>
    </w:p>
    <w:p w14:paraId="7F478FAB" w14:textId="07C245AA" w:rsidR="00F67365" w:rsidRDefault="00324FC1" w:rsidP="00F81233">
      <w:pPr>
        <w:pStyle w:val="SingleTxtG"/>
      </w:pPr>
      <w:r>
        <w:tab/>
      </w:r>
      <w:r w:rsidR="009F2135" w:rsidRPr="009F2135">
        <w:t xml:space="preserve">The rate-of-turn indicator shall be insensitive to magnetic </w:t>
      </w:r>
      <w:proofErr w:type="gramStart"/>
      <w:r w:rsidR="009F2135" w:rsidRPr="009F2135">
        <w:t>fields which</w:t>
      </w:r>
      <w:proofErr w:type="gramEnd"/>
      <w:r w:rsidR="009F2135" w:rsidRPr="009F2135">
        <w:t xml:space="preserve"> typically occur on board the vessel.</w:t>
      </w:r>
    </w:p>
    <w:p w14:paraId="1CF2B49C" w14:textId="1C4FFFD5" w:rsidR="00F67365" w:rsidRPr="00796DB6" w:rsidRDefault="009F2135" w:rsidP="00796DB6">
      <w:pPr>
        <w:pStyle w:val="SingleTxtG"/>
        <w:jc w:val="center"/>
        <w:rPr>
          <w:b/>
        </w:rPr>
      </w:pPr>
      <w:r w:rsidRPr="00796DB6">
        <w:rPr>
          <w:b/>
        </w:rPr>
        <w:t>Article 3.09</w:t>
      </w:r>
      <w:r w:rsidR="00796DB6">
        <w:rPr>
          <w:b/>
        </w:rPr>
        <w:br/>
      </w:r>
      <w:r w:rsidRPr="00796DB6">
        <w:rPr>
          <w:b/>
        </w:rPr>
        <w:t>Slave indicators</w:t>
      </w:r>
    </w:p>
    <w:p w14:paraId="274D9837" w14:textId="29BDE19A" w:rsidR="00F67365" w:rsidRDefault="00BE23E5" w:rsidP="00F81233">
      <w:pPr>
        <w:pStyle w:val="SingleTxtG"/>
      </w:pPr>
      <w:r>
        <w:tab/>
      </w:r>
      <w:r w:rsidR="009F2135" w:rsidRPr="009F2135">
        <w:t>Slave indicators shall comply with all requirements applicable to rate-of-turn indicators</w:t>
      </w:r>
    </w:p>
    <w:p w14:paraId="5E358B14" w14:textId="31412E34" w:rsidR="00F67365" w:rsidRPr="00796DB6" w:rsidRDefault="00324FC1" w:rsidP="005D18BB">
      <w:pPr>
        <w:pStyle w:val="SingleTxtG"/>
        <w:keepNext/>
        <w:keepLines/>
        <w:jc w:val="center"/>
        <w:rPr>
          <w:b/>
        </w:rPr>
      </w:pPr>
      <w:r w:rsidRPr="00796DB6">
        <w:rPr>
          <w:b/>
        </w:rPr>
        <w:t>CHAPTER 4</w:t>
      </w:r>
      <w:r w:rsidR="00796DB6">
        <w:rPr>
          <w:b/>
        </w:rPr>
        <w:br/>
      </w:r>
      <w:r w:rsidRPr="00796DB6">
        <w:rPr>
          <w:b/>
        </w:rPr>
        <w:t>MINIMUM TECHNICAL REQUIREMENTS FOR RATE-OF-TURN INDICATORS</w:t>
      </w:r>
    </w:p>
    <w:p w14:paraId="0078010D" w14:textId="15D885E7" w:rsidR="00F67365" w:rsidRPr="005D18BB" w:rsidRDefault="009F2135" w:rsidP="005D18BB">
      <w:pPr>
        <w:pStyle w:val="SingleTxtG"/>
        <w:jc w:val="center"/>
        <w:rPr>
          <w:b/>
        </w:rPr>
      </w:pPr>
      <w:r w:rsidRPr="005D18BB">
        <w:rPr>
          <w:b/>
        </w:rPr>
        <w:t>Article 4.01</w:t>
      </w:r>
      <w:r w:rsidR="005D18BB">
        <w:rPr>
          <w:b/>
        </w:rPr>
        <w:br/>
      </w:r>
      <w:r w:rsidRPr="005D18BB">
        <w:rPr>
          <w:b/>
        </w:rPr>
        <w:t>Operation</w:t>
      </w:r>
    </w:p>
    <w:p w14:paraId="1F168BF7" w14:textId="77777777" w:rsidR="00F67365" w:rsidRDefault="009F2135" w:rsidP="00F81233">
      <w:pPr>
        <w:pStyle w:val="SingleTxtG"/>
      </w:pPr>
      <w:r w:rsidRPr="009F2135">
        <w:t>1.</w:t>
      </w:r>
      <w:r w:rsidRPr="009F2135">
        <w:tab/>
        <w:t xml:space="preserve">All controls shall be so arranged that during their </w:t>
      </w:r>
      <w:proofErr w:type="gramStart"/>
      <w:r w:rsidRPr="009F2135">
        <w:t>operation</w:t>
      </w:r>
      <w:proofErr w:type="gramEnd"/>
      <w:r w:rsidRPr="009F2135">
        <w:t xml:space="preserve"> no information is concealed from view and radar navigation remains unimpaired.</w:t>
      </w:r>
    </w:p>
    <w:p w14:paraId="15D2E168" w14:textId="66D54720" w:rsidR="00F67365" w:rsidRDefault="009F2135" w:rsidP="00F81233">
      <w:pPr>
        <w:pStyle w:val="SingleTxtG"/>
      </w:pPr>
      <w:r w:rsidRPr="009F2135">
        <w:t>2.</w:t>
      </w:r>
      <w:r w:rsidRPr="009F2135">
        <w:tab/>
        <w:t xml:space="preserve">All control units and indicators </w:t>
      </w:r>
      <w:proofErr w:type="gramStart"/>
      <w:r w:rsidRPr="009F2135">
        <w:t>shall be provided</w:t>
      </w:r>
      <w:proofErr w:type="gramEnd"/>
      <w:r w:rsidRPr="009F2135">
        <w:t xml:space="preserve"> with a dazzle-free source of lighting appropriate for all ambient lighting conditions and adjustable down to zero by means of an independent control.</w:t>
      </w:r>
    </w:p>
    <w:p w14:paraId="5BC2C28A" w14:textId="77777777" w:rsidR="00F67365" w:rsidRDefault="009F2135" w:rsidP="00F81233">
      <w:pPr>
        <w:pStyle w:val="SingleTxtG"/>
      </w:pPr>
      <w:r w:rsidRPr="009F2135">
        <w:t>3.</w:t>
      </w:r>
      <w:r w:rsidRPr="009F2135">
        <w:tab/>
        <w:t>Adjustment of control units shall be such that movements to the right or upwards have a positive effect on the variable and movements to the left or downwards a negative effect.</w:t>
      </w:r>
    </w:p>
    <w:p w14:paraId="2235832F" w14:textId="77777777" w:rsidR="00F67365" w:rsidRDefault="009F2135" w:rsidP="00F81233">
      <w:pPr>
        <w:pStyle w:val="SingleTxtG"/>
      </w:pPr>
      <w:r w:rsidRPr="009F2135">
        <w:t>4.</w:t>
      </w:r>
      <w:r w:rsidRPr="009F2135">
        <w:tab/>
        <w:t xml:space="preserve">If </w:t>
      </w:r>
      <w:proofErr w:type="gramStart"/>
      <w:r w:rsidRPr="009F2135">
        <w:t>push-buttons</w:t>
      </w:r>
      <w:proofErr w:type="gramEnd"/>
      <w:r w:rsidRPr="009F2135">
        <w:t xml:space="preserve"> are used, it shall be possible to locate and operate them by touch. They shall also have clearly perceptible contact release. If pushbuttons have multiple functions, it must be apparent which hierarchical level is active.</w:t>
      </w:r>
    </w:p>
    <w:p w14:paraId="0CDF2029" w14:textId="50BA31E8" w:rsidR="00F67365" w:rsidRPr="0051640A" w:rsidRDefault="009F2135" w:rsidP="0051640A">
      <w:pPr>
        <w:pStyle w:val="SingleTxtG"/>
        <w:jc w:val="center"/>
        <w:rPr>
          <w:b/>
        </w:rPr>
      </w:pPr>
      <w:r w:rsidRPr="0051640A">
        <w:rPr>
          <w:b/>
        </w:rPr>
        <w:t>Article 4.02</w:t>
      </w:r>
      <w:r w:rsidR="0051640A">
        <w:rPr>
          <w:b/>
        </w:rPr>
        <w:br/>
      </w:r>
      <w:r w:rsidRPr="0051640A">
        <w:rPr>
          <w:b/>
        </w:rPr>
        <w:t>Damping devices</w:t>
      </w:r>
    </w:p>
    <w:p w14:paraId="7101FB22" w14:textId="6D9CC6A5" w:rsidR="00F67365" w:rsidRDefault="009F2135" w:rsidP="00F81233">
      <w:pPr>
        <w:pStyle w:val="SingleTxtG"/>
      </w:pPr>
      <w:r w:rsidRPr="009F2135">
        <w:t>1.</w:t>
      </w:r>
      <w:r w:rsidRPr="009F2135">
        <w:tab/>
        <w:t xml:space="preserve">The sensor system </w:t>
      </w:r>
      <w:proofErr w:type="gramStart"/>
      <w:r w:rsidRPr="009F2135">
        <w:t>shall be damped</w:t>
      </w:r>
      <w:proofErr w:type="gramEnd"/>
      <w:r w:rsidRPr="009F2135">
        <w:t xml:space="preserve"> for critical values. The damping constant (63 % of the limit value) shall not exceed 0</w:t>
      </w:r>
      <w:r w:rsidR="009D3F56">
        <w:t>.</w:t>
      </w:r>
      <w:r w:rsidRPr="009F2135">
        <w:t>4 seconds.</w:t>
      </w:r>
    </w:p>
    <w:p w14:paraId="5194E31E" w14:textId="66E16C3B" w:rsidR="009F2135" w:rsidRPr="009F2135" w:rsidRDefault="009F2135" w:rsidP="00F81233">
      <w:pPr>
        <w:pStyle w:val="SingleTxtG"/>
      </w:pPr>
      <w:r w:rsidRPr="009F2135">
        <w:t>2.</w:t>
      </w:r>
      <w:r w:rsidRPr="009F2135">
        <w:tab/>
        <w:t xml:space="preserve">The indicator </w:t>
      </w:r>
      <w:proofErr w:type="gramStart"/>
      <w:r w:rsidRPr="009F2135">
        <w:t>shall be damped</w:t>
      </w:r>
      <w:proofErr w:type="gramEnd"/>
      <w:r w:rsidRPr="009F2135">
        <w:t xml:space="preserve"> for critical values.</w:t>
      </w:r>
    </w:p>
    <w:p w14:paraId="57D9DB33" w14:textId="502F5F37" w:rsidR="009F2135" w:rsidRPr="009F2135" w:rsidRDefault="00324FC1" w:rsidP="00F81233">
      <w:pPr>
        <w:pStyle w:val="SingleTxtG"/>
      </w:pPr>
      <w:r>
        <w:tab/>
      </w:r>
      <w:r w:rsidR="009F2135" w:rsidRPr="009F2135">
        <w:t xml:space="preserve">Control units for increasing damping </w:t>
      </w:r>
      <w:proofErr w:type="gramStart"/>
      <w:r w:rsidR="009F2135" w:rsidRPr="009F2135">
        <w:t>shall be permitted</w:t>
      </w:r>
      <w:proofErr w:type="gramEnd"/>
      <w:r w:rsidR="009F2135" w:rsidRPr="009F2135">
        <w:t>.</w:t>
      </w:r>
    </w:p>
    <w:p w14:paraId="7BDAC145" w14:textId="4464B186" w:rsidR="00F67365" w:rsidRDefault="00324FC1" w:rsidP="00F81233">
      <w:pPr>
        <w:pStyle w:val="SingleTxtG"/>
      </w:pPr>
      <w:r>
        <w:tab/>
      </w:r>
      <w:r w:rsidR="009F2135" w:rsidRPr="009F2135">
        <w:t>Under no circumstances shall the damping constant exceed 5 seconds.</w:t>
      </w:r>
    </w:p>
    <w:p w14:paraId="3DA31BDF" w14:textId="76CA37ED" w:rsidR="00F67365" w:rsidRPr="0051640A" w:rsidRDefault="009F2135" w:rsidP="0051640A">
      <w:pPr>
        <w:pStyle w:val="SingleTxtG"/>
        <w:jc w:val="center"/>
        <w:rPr>
          <w:b/>
        </w:rPr>
      </w:pPr>
      <w:r w:rsidRPr="0051640A">
        <w:rPr>
          <w:b/>
        </w:rPr>
        <w:t>Article 4.03</w:t>
      </w:r>
      <w:r w:rsidR="0051640A">
        <w:rPr>
          <w:b/>
        </w:rPr>
        <w:br/>
      </w:r>
      <w:r w:rsidRPr="0051640A">
        <w:rPr>
          <w:b/>
        </w:rPr>
        <w:t>Connection of additional equipment</w:t>
      </w:r>
    </w:p>
    <w:p w14:paraId="4F16183A" w14:textId="3C601B06" w:rsidR="00F67365" w:rsidRDefault="00324FC1" w:rsidP="00F81233">
      <w:pPr>
        <w:pStyle w:val="SingleTxtG"/>
      </w:pPr>
      <w:r>
        <w:t>1.</w:t>
      </w:r>
      <w:r w:rsidR="009F2135" w:rsidRPr="009F2135">
        <w:tab/>
        <w:t xml:space="preserve">If the rate-of-turn indicator </w:t>
      </w:r>
      <w:proofErr w:type="gramStart"/>
      <w:r w:rsidR="009F2135" w:rsidRPr="009F2135">
        <w:t>can be connected</w:t>
      </w:r>
      <w:proofErr w:type="gramEnd"/>
      <w:r w:rsidR="009F2135" w:rsidRPr="009F2135">
        <w:t xml:space="preserve"> to slave indicators or similar equipment, the </w:t>
      </w:r>
      <w:proofErr w:type="spellStart"/>
      <w:r w:rsidR="009F2135" w:rsidRPr="009F2135">
        <w:t>rate­of­turn</w:t>
      </w:r>
      <w:proofErr w:type="spellEnd"/>
      <w:r w:rsidR="009F2135" w:rsidRPr="009F2135">
        <w:t xml:space="preserve"> indication shall remain usable as an analogue electric signal. In addition, the rate-of-turn indicator may possess a digital interface in accordance with (2).</w:t>
      </w:r>
    </w:p>
    <w:p w14:paraId="7667211B" w14:textId="65FB34C6" w:rsidR="00F67365" w:rsidRDefault="00324FC1" w:rsidP="00F81233">
      <w:pPr>
        <w:pStyle w:val="SingleTxtG"/>
      </w:pPr>
      <w:r>
        <w:tab/>
      </w:r>
      <w:r w:rsidR="009F2135" w:rsidRPr="009F2135">
        <w:t xml:space="preserve">The rate of turn shall continue to be indicated with galvanic earth insulation and the equivalent to an analogue voltage of 20 mV/°/min ± 5 % and a maximum internal resistance of </w:t>
      </w:r>
      <w:proofErr w:type="gramStart"/>
      <w:r w:rsidR="009F2135" w:rsidRPr="009F2135">
        <w:t>100</w:t>
      </w:r>
      <w:r w:rsidR="009F2135" w:rsidRPr="009F2135">
        <w:rPr>
          <w:rFonts w:eastAsia="TimesNewRoman"/>
        </w:rPr>
        <w:t xml:space="preserve"> </w:t>
      </w:r>
      <w:proofErr w:type="gramEnd"/>
      <w:r w:rsidR="009F2135" w:rsidRPr="009F2135">
        <w:rPr>
          <w:rFonts w:eastAsia="TimesNewRoman"/>
        </w:rPr>
        <w:sym w:font="Symbol" w:char="F057"/>
      </w:r>
      <w:r w:rsidR="009F2135" w:rsidRPr="009F2135">
        <w:t>.</w:t>
      </w:r>
    </w:p>
    <w:p w14:paraId="24FCEC5F" w14:textId="71247AA0" w:rsidR="00F67365" w:rsidRDefault="00324FC1" w:rsidP="00F81233">
      <w:pPr>
        <w:pStyle w:val="SingleTxtG"/>
      </w:pPr>
      <w:r>
        <w:tab/>
      </w:r>
      <w:r w:rsidR="009F2135" w:rsidRPr="009F2135">
        <w:t>Polarity shall be positive when the vessel is turning to starboard and negative when it is turning to port.</w:t>
      </w:r>
    </w:p>
    <w:p w14:paraId="4A232921" w14:textId="7188269A" w:rsidR="00F67365" w:rsidRDefault="00324FC1" w:rsidP="00F81233">
      <w:pPr>
        <w:pStyle w:val="SingleTxtG"/>
      </w:pPr>
      <w:r>
        <w:tab/>
      </w:r>
      <w:r w:rsidR="009F2135" w:rsidRPr="009F2135">
        <w:t>The operati</w:t>
      </w:r>
      <w:r>
        <w:t>ng threshold shall not exceed 0.</w:t>
      </w:r>
      <w:r w:rsidR="009F2135" w:rsidRPr="009F2135">
        <w:t>3°/min.</w:t>
      </w:r>
    </w:p>
    <w:p w14:paraId="572F807B" w14:textId="0F3DE42D" w:rsidR="00F67365" w:rsidRDefault="00324FC1" w:rsidP="00F81233">
      <w:pPr>
        <w:pStyle w:val="SingleTxtG"/>
      </w:pPr>
      <w:r>
        <w:lastRenderedPageBreak/>
        <w:tab/>
      </w:r>
      <w:r w:rsidR="009F2135" w:rsidRPr="009F2135">
        <w:t>Zero error shall not exceed 1°/min at temperatures from 0 °C to 40 °C.</w:t>
      </w:r>
    </w:p>
    <w:p w14:paraId="1F02597A" w14:textId="54673A22" w:rsidR="00F67365" w:rsidRDefault="00324FC1" w:rsidP="00F81233">
      <w:pPr>
        <w:pStyle w:val="SingleTxtG"/>
      </w:pPr>
      <w:r>
        <w:tab/>
      </w:r>
      <w:r w:rsidR="009F2135" w:rsidRPr="009F2135">
        <w:t>With the indicator switched on and the sensor not exposed to the effects of movement, the spurious voltage at the output signal measured with a 10 Hz pass-band low-pass filter shall not exceed 10 mV.</w:t>
      </w:r>
    </w:p>
    <w:p w14:paraId="0B88E4C8" w14:textId="172E1580" w:rsidR="00F67365" w:rsidRDefault="00324FC1" w:rsidP="00F81233">
      <w:pPr>
        <w:pStyle w:val="SingleTxtG"/>
      </w:pPr>
      <w:r>
        <w:tab/>
      </w:r>
      <w:r w:rsidR="009F2135" w:rsidRPr="009F2135">
        <w:t xml:space="preserve">The rate-of-turn signal </w:t>
      </w:r>
      <w:proofErr w:type="gramStart"/>
      <w:r w:rsidR="009F2135" w:rsidRPr="009F2135">
        <w:t>shall be received</w:t>
      </w:r>
      <w:proofErr w:type="gramEnd"/>
      <w:r w:rsidR="009F2135" w:rsidRPr="009F2135">
        <w:t xml:space="preserve"> without additional damping beyond the limits referred to in Article 4.02(1).</w:t>
      </w:r>
    </w:p>
    <w:p w14:paraId="0CF1871C" w14:textId="77777777" w:rsidR="00F67365" w:rsidRDefault="009F2135" w:rsidP="00F81233">
      <w:pPr>
        <w:pStyle w:val="SingleTxtG"/>
      </w:pPr>
      <w:r w:rsidRPr="009F2135">
        <w:t>2.</w:t>
      </w:r>
      <w:r w:rsidRPr="009F2135">
        <w:tab/>
        <w:t>A digital interface shall be designed pursuant to European Standards EN 61162-</w:t>
      </w:r>
      <w:proofErr w:type="gramStart"/>
      <w:r w:rsidRPr="009F2135">
        <w:t>1 :</w:t>
      </w:r>
      <w:proofErr w:type="gramEnd"/>
      <w:r w:rsidRPr="009F2135">
        <w:t> 2008, EN 61162-2 : 1998 and EN 61162-3 : 2008.</w:t>
      </w:r>
    </w:p>
    <w:p w14:paraId="257DE303" w14:textId="77777777" w:rsidR="00F67365" w:rsidRDefault="009F2135" w:rsidP="00F81233">
      <w:pPr>
        <w:pStyle w:val="SingleTxtG"/>
      </w:pPr>
      <w:r w:rsidRPr="009F2135">
        <w:t>3.</w:t>
      </w:r>
      <w:r w:rsidRPr="009F2135">
        <w:tab/>
        <w:t xml:space="preserve">An external alarm switch </w:t>
      </w:r>
      <w:proofErr w:type="gramStart"/>
      <w:r w:rsidRPr="009F2135">
        <w:t>shall be provided</w:t>
      </w:r>
      <w:proofErr w:type="gramEnd"/>
      <w:r w:rsidRPr="009F2135">
        <w:t xml:space="preserve">. The switch </w:t>
      </w:r>
      <w:proofErr w:type="gramStart"/>
      <w:r w:rsidRPr="009F2135">
        <w:t>shall be installed</w:t>
      </w:r>
      <w:proofErr w:type="gramEnd"/>
      <w:r w:rsidRPr="009F2135">
        <w:t xml:space="preserve"> as a galvanic insulation break-switch for the indicator.</w:t>
      </w:r>
    </w:p>
    <w:p w14:paraId="42932270" w14:textId="5DFB9F99" w:rsidR="009F2135" w:rsidRPr="009F2135" w:rsidRDefault="00324FC1" w:rsidP="00F81233">
      <w:pPr>
        <w:pStyle w:val="SingleTxtG"/>
      </w:pPr>
      <w:r>
        <w:tab/>
      </w:r>
      <w:r w:rsidR="009F2135" w:rsidRPr="009F2135">
        <w:t xml:space="preserve">The external alarm </w:t>
      </w:r>
      <w:proofErr w:type="gramStart"/>
      <w:r w:rsidR="009F2135" w:rsidRPr="009F2135">
        <w:t>shall be triggered</w:t>
      </w:r>
      <w:proofErr w:type="gramEnd"/>
      <w:r w:rsidR="009F2135" w:rsidRPr="009F2135">
        <w:t xml:space="preserve"> by contact closure:</w:t>
      </w:r>
    </w:p>
    <w:p w14:paraId="219CEC0B" w14:textId="5C2DD986" w:rsidR="009F2135" w:rsidRPr="009F2135" w:rsidRDefault="00324FC1" w:rsidP="00F81233">
      <w:pPr>
        <w:pStyle w:val="SingleTxtG"/>
      </w:pPr>
      <w:r>
        <w:tab/>
      </w:r>
      <w:r w:rsidR="00F57E0D">
        <w:t>(</w:t>
      </w:r>
      <w:r w:rsidR="009F2135" w:rsidRPr="009F2135">
        <w:t>a)</w:t>
      </w:r>
      <w:r w:rsidR="009F2135" w:rsidRPr="009F2135">
        <w:tab/>
      </w:r>
      <w:proofErr w:type="gramStart"/>
      <w:r w:rsidR="009F2135" w:rsidRPr="009F2135">
        <w:t>if</w:t>
      </w:r>
      <w:proofErr w:type="gramEnd"/>
      <w:r w:rsidR="009F2135" w:rsidRPr="009F2135">
        <w:t xml:space="preserve"> the rate-of-turn indicator is disconnected; or</w:t>
      </w:r>
    </w:p>
    <w:p w14:paraId="1C18352B" w14:textId="65FED904" w:rsidR="009F2135" w:rsidRPr="009F2135" w:rsidRDefault="00324FC1" w:rsidP="00F81233">
      <w:pPr>
        <w:pStyle w:val="SingleTxtG"/>
      </w:pPr>
      <w:r>
        <w:tab/>
      </w:r>
      <w:r w:rsidR="00F57E0D">
        <w:t>(</w:t>
      </w:r>
      <w:r w:rsidR="009F2135" w:rsidRPr="009F2135">
        <w:t>b)</w:t>
      </w:r>
      <w:r w:rsidR="009F2135" w:rsidRPr="009F2135">
        <w:tab/>
      </w:r>
      <w:proofErr w:type="gramStart"/>
      <w:r w:rsidR="009F2135" w:rsidRPr="009F2135">
        <w:t>if</w:t>
      </w:r>
      <w:proofErr w:type="gramEnd"/>
      <w:r w:rsidR="009F2135" w:rsidRPr="009F2135">
        <w:t xml:space="preserve"> the rate-of-turn indicator is not in operation; or</w:t>
      </w:r>
    </w:p>
    <w:p w14:paraId="4E77615D" w14:textId="7CD85866" w:rsidR="00F67365" w:rsidRDefault="00324FC1" w:rsidP="00F81233">
      <w:pPr>
        <w:pStyle w:val="SingleTxtG"/>
      </w:pPr>
      <w:r>
        <w:tab/>
      </w:r>
      <w:r w:rsidR="00F57E0D">
        <w:t>(</w:t>
      </w:r>
      <w:r w:rsidR="009F2135" w:rsidRPr="009F2135">
        <w:t>c)</w:t>
      </w:r>
      <w:r w:rsidR="009F2135" w:rsidRPr="009F2135">
        <w:tab/>
      </w:r>
      <w:proofErr w:type="gramStart"/>
      <w:r w:rsidR="009F2135" w:rsidRPr="009F2135">
        <w:t>if</w:t>
      </w:r>
      <w:proofErr w:type="gramEnd"/>
      <w:r w:rsidR="009F2135" w:rsidRPr="009F2135">
        <w:t xml:space="preserve"> the operating control has reacted follow</w:t>
      </w:r>
      <w:r w:rsidR="00530293">
        <w:t>ing an excessive error (Article </w:t>
      </w:r>
      <w:r w:rsidR="009F2135" w:rsidRPr="009F2135">
        <w:t>3.06).</w:t>
      </w:r>
    </w:p>
    <w:p w14:paraId="728E8F6E" w14:textId="69FD6FAD" w:rsidR="00F67365" w:rsidRPr="001156B8" w:rsidRDefault="00324FC1" w:rsidP="001156B8">
      <w:pPr>
        <w:pStyle w:val="SingleTxtG"/>
        <w:jc w:val="center"/>
        <w:rPr>
          <w:b/>
        </w:rPr>
      </w:pPr>
      <w:r w:rsidRPr="001156B8">
        <w:rPr>
          <w:b/>
        </w:rPr>
        <w:t>CHAPTER 5</w:t>
      </w:r>
      <w:r w:rsidR="001156B8">
        <w:rPr>
          <w:b/>
        </w:rPr>
        <w:br/>
      </w:r>
      <w:r w:rsidRPr="001156B8">
        <w:rPr>
          <w:b/>
        </w:rPr>
        <w:t>TEST CONDITIONS AND PROCEDURES FOR RATE-OF-TURN INDICATORS</w:t>
      </w:r>
    </w:p>
    <w:p w14:paraId="3681BDB7" w14:textId="4D869EDB" w:rsidR="00F67365" w:rsidRPr="001156B8" w:rsidRDefault="009F2135" w:rsidP="001156B8">
      <w:pPr>
        <w:pStyle w:val="SingleTxtG"/>
        <w:jc w:val="center"/>
        <w:rPr>
          <w:b/>
        </w:rPr>
      </w:pPr>
      <w:r w:rsidRPr="001156B8">
        <w:rPr>
          <w:b/>
        </w:rPr>
        <w:t>Article 5.01</w:t>
      </w:r>
      <w:r w:rsidR="001156B8">
        <w:rPr>
          <w:b/>
        </w:rPr>
        <w:br/>
      </w:r>
      <w:r w:rsidRPr="001156B8">
        <w:rPr>
          <w:b/>
        </w:rPr>
        <w:t>Safety, load capacity and electromagnetic compatibility</w:t>
      </w:r>
    </w:p>
    <w:p w14:paraId="0B4A5716" w14:textId="1557A22F" w:rsidR="00F67365" w:rsidRDefault="00324FC1" w:rsidP="00F81233">
      <w:pPr>
        <w:pStyle w:val="SingleTxtG"/>
      </w:pPr>
      <w:r>
        <w:tab/>
      </w:r>
      <w:r w:rsidR="009F2135" w:rsidRPr="009F2135">
        <w:t>Power supply, safety, mutual interference of ship borne equipment, compass safe distance, resistance to climatic influences, mechanical strength, environmental impact, audible noise emission and electromagnetic compatibility shall be tested in accordance with European Standard EN </w:t>
      </w:r>
      <w:proofErr w:type="gramStart"/>
      <w:r w:rsidR="009F2135" w:rsidRPr="009F2135">
        <w:t>60945 :</w:t>
      </w:r>
      <w:proofErr w:type="gramEnd"/>
      <w:r w:rsidR="009F2135" w:rsidRPr="009F2135">
        <w:t xml:space="preserve"> 2002. </w:t>
      </w:r>
    </w:p>
    <w:p w14:paraId="08C7DA2D" w14:textId="29A178C9" w:rsidR="00F67365" w:rsidRPr="00161A2A" w:rsidRDefault="009F2135" w:rsidP="00161A2A">
      <w:pPr>
        <w:pStyle w:val="SingleTxtG"/>
        <w:jc w:val="center"/>
        <w:rPr>
          <w:b/>
        </w:rPr>
      </w:pPr>
      <w:r w:rsidRPr="00161A2A">
        <w:rPr>
          <w:b/>
        </w:rPr>
        <w:t>Article 5.02</w:t>
      </w:r>
      <w:r w:rsidR="00161A2A">
        <w:rPr>
          <w:b/>
        </w:rPr>
        <w:br/>
      </w:r>
      <w:r w:rsidRPr="00161A2A">
        <w:rPr>
          <w:b/>
        </w:rPr>
        <w:t>Spurious emissions</w:t>
      </w:r>
    </w:p>
    <w:p w14:paraId="6D936827" w14:textId="5DF5A044" w:rsidR="00F67365" w:rsidRDefault="00324FC1" w:rsidP="00F81233">
      <w:pPr>
        <w:pStyle w:val="SingleTxtG"/>
      </w:pPr>
      <w:r>
        <w:tab/>
      </w:r>
      <w:r w:rsidR="009F2135" w:rsidRPr="009F2135">
        <w:t>Spurious emissions shall be measured in accordance with European Standard EN </w:t>
      </w:r>
      <w:proofErr w:type="gramStart"/>
      <w:r w:rsidR="009F2135" w:rsidRPr="009F2135">
        <w:t>60945 :</w:t>
      </w:r>
      <w:proofErr w:type="gramEnd"/>
      <w:r w:rsidR="009F2135" w:rsidRPr="009F2135">
        <w:t> 2002 in the frequency range of 30 to 2000 </w:t>
      </w:r>
      <w:proofErr w:type="spellStart"/>
      <w:r w:rsidR="009F2135" w:rsidRPr="009F2135">
        <w:t>MHz.</w:t>
      </w:r>
      <w:proofErr w:type="spellEnd"/>
      <w:r w:rsidR="009F2135" w:rsidRPr="009F2135">
        <w:t xml:space="preserve"> </w:t>
      </w:r>
    </w:p>
    <w:p w14:paraId="76D7F0FB" w14:textId="33124914" w:rsidR="00F67365" w:rsidRDefault="00324FC1" w:rsidP="00F81233">
      <w:pPr>
        <w:pStyle w:val="SingleTxtG"/>
      </w:pPr>
      <w:r>
        <w:tab/>
      </w:r>
      <w:r w:rsidR="009F2135" w:rsidRPr="009F2135">
        <w:t xml:space="preserve">The requirements of Article 2.02(2) </w:t>
      </w:r>
      <w:proofErr w:type="gramStart"/>
      <w:r w:rsidR="009F2135" w:rsidRPr="009F2135">
        <w:t>shall be met</w:t>
      </w:r>
      <w:proofErr w:type="gramEnd"/>
      <w:r w:rsidR="009F2135" w:rsidRPr="009F2135">
        <w:t>.</w:t>
      </w:r>
    </w:p>
    <w:p w14:paraId="3ED949E4" w14:textId="467DAAAA" w:rsidR="00F67365" w:rsidRPr="00161A2A" w:rsidRDefault="009F2135" w:rsidP="00161A2A">
      <w:pPr>
        <w:pStyle w:val="SingleTxtG"/>
        <w:jc w:val="center"/>
        <w:rPr>
          <w:b/>
        </w:rPr>
      </w:pPr>
      <w:r w:rsidRPr="00161A2A">
        <w:rPr>
          <w:b/>
        </w:rPr>
        <w:t>Article 5.03</w:t>
      </w:r>
      <w:r w:rsidR="00161A2A">
        <w:rPr>
          <w:b/>
        </w:rPr>
        <w:br/>
      </w:r>
      <w:r w:rsidRPr="00161A2A">
        <w:rPr>
          <w:b/>
        </w:rPr>
        <w:t>Test procedure</w:t>
      </w:r>
    </w:p>
    <w:p w14:paraId="2F919F76" w14:textId="77777777" w:rsidR="00F67365" w:rsidRDefault="009F2135" w:rsidP="00F81233">
      <w:pPr>
        <w:pStyle w:val="SingleTxtG"/>
      </w:pPr>
      <w:r w:rsidRPr="009F2135">
        <w:t>1.</w:t>
      </w:r>
      <w:r w:rsidRPr="009F2135">
        <w:tab/>
        <w:t xml:space="preserve">Rate-of-turn indicators </w:t>
      </w:r>
      <w:proofErr w:type="gramStart"/>
      <w:r w:rsidRPr="009F2135">
        <w:t>shall be tested</w:t>
      </w:r>
      <w:proofErr w:type="gramEnd"/>
      <w:r w:rsidRPr="009F2135">
        <w:t xml:space="preserve"> under nominal and boundary conditions. In this regard, the influence of the operating voltage and of the ambient temperature </w:t>
      </w:r>
      <w:proofErr w:type="gramStart"/>
      <w:r w:rsidRPr="009F2135">
        <w:t>shall be tested</w:t>
      </w:r>
      <w:proofErr w:type="gramEnd"/>
      <w:r w:rsidRPr="009F2135">
        <w:t xml:space="preserve"> as far as the prescribed limit value.</w:t>
      </w:r>
    </w:p>
    <w:p w14:paraId="49D6142A" w14:textId="5F8A4381" w:rsidR="00F67365" w:rsidRDefault="00324FC1" w:rsidP="00F81233">
      <w:pPr>
        <w:pStyle w:val="SingleTxtG"/>
      </w:pPr>
      <w:r>
        <w:tab/>
      </w:r>
      <w:r w:rsidR="009F2135" w:rsidRPr="009F2135">
        <w:t xml:space="preserve">In addition, radio transmitters shall be used to set up the maximum magnetic fields </w:t>
      </w:r>
      <w:proofErr w:type="gramStart"/>
      <w:r w:rsidR="009F2135" w:rsidRPr="009F2135">
        <w:t>in the vicinity of</w:t>
      </w:r>
      <w:proofErr w:type="gramEnd"/>
      <w:r w:rsidR="009F2135" w:rsidRPr="009F2135">
        <w:t xml:space="preserve"> the indicators.</w:t>
      </w:r>
    </w:p>
    <w:p w14:paraId="38B2CBAE" w14:textId="1E0C2A22" w:rsidR="00F67365" w:rsidRDefault="009F2135" w:rsidP="00F81233">
      <w:pPr>
        <w:pStyle w:val="SingleTxtG"/>
      </w:pPr>
      <w:r w:rsidRPr="009F2135">
        <w:t>2.</w:t>
      </w:r>
      <w:r w:rsidRPr="009F2135">
        <w:tab/>
        <w:t>Under the conditions described in (1), indicator errors shall remain within the tolerances indicated in the Appendix.</w:t>
      </w:r>
    </w:p>
    <w:p w14:paraId="3908BBBD" w14:textId="564C9164" w:rsidR="00F67365" w:rsidRDefault="00324FC1" w:rsidP="00F81233">
      <w:pPr>
        <w:pStyle w:val="SingleTxtG"/>
      </w:pPr>
      <w:r>
        <w:tab/>
      </w:r>
      <w:r w:rsidR="009F2135" w:rsidRPr="009F2135">
        <w:t xml:space="preserve">All minimum requirements of Chapters 2 to </w:t>
      </w:r>
      <w:proofErr w:type="gramStart"/>
      <w:r w:rsidR="009F2135" w:rsidRPr="009F2135">
        <w:t>4</w:t>
      </w:r>
      <w:proofErr w:type="gramEnd"/>
      <w:r w:rsidR="009F2135" w:rsidRPr="009F2135">
        <w:t xml:space="preserve"> shall be met.</w:t>
      </w:r>
    </w:p>
    <w:p w14:paraId="0B6588F1" w14:textId="1970A276" w:rsidR="009F2135" w:rsidRPr="00E85FD0" w:rsidRDefault="009F2135" w:rsidP="008A70EA">
      <w:pPr>
        <w:pStyle w:val="SingleTxtG"/>
        <w:keepNext/>
        <w:keepLines/>
        <w:jc w:val="center"/>
        <w:rPr>
          <w:b/>
        </w:rPr>
      </w:pPr>
      <w:bookmarkStart w:id="9" w:name="_Toc436115264"/>
      <w:r w:rsidRPr="00E85FD0">
        <w:rPr>
          <w:b/>
        </w:rPr>
        <w:lastRenderedPageBreak/>
        <w:t>Section III</w:t>
      </w:r>
      <w:bookmarkEnd w:id="9"/>
    </w:p>
    <w:p w14:paraId="1FA289DB" w14:textId="77777777" w:rsidR="00F67365" w:rsidRPr="00E85FD0" w:rsidRDefault="009F2135" w:rsidP="008A70EA">
      <w:pPr>
        <w:pStyle w:val="SingleTxtG"/>
        <w:keepNext/>
        <w:keepLines/>
        <w:jc w:val="center"/>
        <w:rPr>
          <w:b/>
        </w:rPr>
      </w:pPr>
      <w:bookmarkStart w:id="10" w:name="_Toc436115265"/>
      <w:r w:rsidRPr="00E85FD0">
        <w:rPr>
          <w:b/>
        </w:rPr>
        <w:t xml:space="preserve">Requirements for installation and performance tests for navigational radar installations and </w:t>
      </w:r>
      <w:proofErr w:type="spellStart"/>
      <w:r w:rsidRPr="00E85FD0">
        <w:rPr>
          <w:b/>
        </w:rPr>
        <w:t>rate­of­turn</w:t>
      </w:r>
      <w:proofErr w:type="spellEnd"/>
      <w:r w:rsidRPr="00E85FD0">
        <w:rPr>
          <w:b/>
        </w:rPr>
        <w:t xml:space="preserve"> indicators in inland navigation</w:t>
      </w:r>
      <w:bookmarkEnd w:id="10"/>
    </w:p>
    <w:p w14:paraId="48C1D0D2" w14:textId="70F9C99A" w:rsidR="00F67365" w:rsidRPr="00B659F7" w:rsidRDefault="009F2135" w:rsidP="00B659F7">
      <w:pPr>
        <w:pStyle w:val="SingleTxtG"/>
        <w:jc w:val="center"/>
        <w:rPr>
          <w:b/>
        </w:rPr>
      </w:pPr>
      <w:r w:rsidRPr="00B659F7">
        <w:rPr>
          <w:b/>
        </w:rPr>
        <w:t>Article 1</w:t>
      </w:r>
      <w:r w:rsidR="00B659F7">
        <w:rPr>
          <w:b/>
        </w:rPr>
        <w:br/>
      </w:r>
      <w:r w:rsidRPr="00B659F7">
        <w:rPr>
          <w:b/>
        </w:rPr>
        <w:t>General</w:t>
      </w:r>
    </w:p>
    <w:p w14:paraId="764A4FB1" w14:textId="77777777" w:rsidR="00F67365" w:rsidRDefault="009F2135" w:rsidP="00F81233">
      <w:pPr>
        <w:pStyle w:val="SingleTxtG"/>
      </w:pPr>
      <w:r w:rsidRPr="009F2135">
        <w:t>1.</w:t>
      </w:r>
      <w:r w:rsidRPr="009F2135">
        <w:tab/>
        <w:t>Installation and performance tests of navigational radar installations and rate-of-turn indicator systems must take place according to the following provisions.</w:t>
      </w:r>
    </w:p>
    <w:p w14:paraId="1F6D459E" w14:textId="77777777" w:rsidR="00F67365" w:rsidRDefault="009F2135" w:rsidP="00F81233">
      <w:pPr>
        <w:pStyle w:val="SingleTxtG"/>
      </w:pPr>
      <w:r w:rsidRPr="009F2135">
        <w:t>2.</w:t>
      </w:r>
      <w:r w:rsidRPr="009F2135">
        <w:tab/>
        <w:t>Only equipment with a type approval according to Section I Article 6 or Section II Article </w:t>
      </w:r>
      <w:proofErr w:type="gramStart"/>
      <w:r w:rsidRPr="009F2135">
        <w:t>1.05,</w:t>
      </w:r>
      <w:proofErr w:type="gramEnd"/>
      <w:r w:rsidRPr="009F2135">
        <w:t xml:space="preserve"> or with a type approval recognised as equivalent shall be authorised for installation.</w:t>
      </w:r>
    </w:p>
    <w:p w14:paraId="627A2D57" w14:textId="658045FD" w:rsidR="00F67365" w:rsidRPr="006228D0" w:rsidRDefault="009F2135" w:rsidP="00517527">
      <w:pPr>
        <w:pStyle w:val="SingleTxtG"/>
        <w:keepNext/>
        <w:keepLines/>
        <w:jc w:val="center"/>
        <w:rPr>
          <w:b/>
        </w:rPr>
      </w:pPr>
      <w:r w:rsidRPr="006228D0">
        <w:rPr>
          <w:b/>
        </w:rPr>
        <w:t xml:space="preserve">Article </w:t>
      </w:r>
      <w:proofErr w:type="gramStart"/>
      <w:r w:rsidRPr="006228D0">
        <w:rPr>
          <w:b/>
        </w:rPr>
        <w:t>2</w:t>
      </w:r>
      <w:proofErr w:type="gramEnd"/>
      <w:r w:rsidR="006228D0">
        <w:rPr>
          <w:b/>
        </w:rPr>
        <w:br/>
      </w:r>
      <w:r w:rsidRPr="006228D0">
        <w:rPr>
          <w:b/>
        </w:rPr>
        <w:t>Approved specialist firms</w:t>
      </w:r>
    </w:p>
    <w:p w14:paraId="67CA4021" w14:textId="77777777" w:rsidR="00F67365" w:rsidRDefault="009F2135" w:rsidP="00F81233">
      <w:pPr>
        <w:pStyle w:val="SingleTxtG"/>
      </w:pPr>
      <w:proofErr w:type="gramStart"/>
      <w:r w:rsidRPr="009F2135">
        <w:t>1.</w:t>
      </w:r>
      <w:r w:rsidRPr="009F2135">
        <w:tab/>
        <w:t>The installation, replacement, repair or maintenance of navigational radar installations and rate-of-turn indicators shall be carried out only by specialist firms approved by the competent authority</w:t>
      </w:r>
      <w:proofErr w:type="gramEnd"/>
      <w:r w:rsidRPr="009F2135">
        <w:t xml:space="preserve">. </w:t>
      </w:r>
    </w:p>
    <w:p w14:paraId="35DC5C72" w14:textId="77777777" w:rsidR="00F67365" w:rsidRDefault="009F2135" w:rsidP="00F81233">
      <w:pPr>
        <w:pStyle w:val="SingleTxtG"/>
      </w:pPr>
      <w:proofErr w:type="gramStart"/>
      <w:r w:rsidRPr="009F2135">
        <w:t>2.</w:t>
      </w:r>
      <w:r w:rsidRPr="009F2135">
        <w:tab/>
        <w:t>Approval may be withdrawn by the competent authority</w:t>
      </w:r>
      <w:proofErr w:type="gramEnd"/>
      <w:r w:rsidRPr="009F2135">
        <w:t>.</w:t>
      </w:r>
    </w:p>
    <w:p w14:paraId="31B89BAF" w14:textId="70918D83" w:rsidR="00F67365" w:rsidRPr="00453085" w:rsidRDefault="009F2135" w:rsidP="00453085">
      <w:pPr>
        <w:pStyle w:val="SingleTxtG"/>
        <w:jc w:val="center"/>
        <w:rPr>
          <w:b/>
        </w:rPr>
      </w:pPr>
      <w:r w:rsidRPr="00453085">
        <w:rPr>
          <w:b/>
        </w:rPr>
        <w:t xml:space="preserve">Article </w:t>
      </w:r>
      <w:proofErr w:type="gramStart"/>
      <w:r w:rsidRPr="00453085">
        <w:rPr>
          <w:b/>
        </w:rPr>
        <w:t>3</w:t>
      </w:r>
      <w:proofErr w:type="gramEnd"/>
      <w:r w:rsidR="00453085">
        <w:rPr>
          <w:b/>
        </w:rPr>
        <w:br/>
      </w:r>
      <w:r w:rsidRPr="00453085">
        <w:rPr>
          <w:b/>
        </w:rPr>
        <w:t>Requirements for on-board power supply</w:t>
      </w:r>
    </w:p>
    <w:p w14:paraId="051B75E2" w14:textId="79C7B823" w:rsidR="00F67365" w:rsidRDefault="00A5028E" w:rsidP="00F81233">
      <w:pPr>
        <w:pStyle w:val="SingleTxtG"/>
      </w:pPr>
      <w:r>
        <w:tab/>
      </w:r>
      <w:r w:rsidR="009F2135" w:rsidRPr="009F2135">
        <w:t>All power supply leads for navigational radar installations and rate-of-turn indicators shall have their own separate safety device and, if possible, be fail-safe.</w:t>
      </w:r>
    </w:p>
    <w:p w14:paraId="4B503BA7" w14:textId="57D3B4EC" w:rsidR="00F67365" w:rsidRPr="00453085" w:rsidRDefault="009F2135" w:rsidP="00453085">
      <w:pPr>
        <w:pStyle w:val="SingleTxtG"/>
        <w:jc w:val="center"/>
        <w:rPr>
          <w:b/>
        </w:rPr>
      </w:pPr>
      <w:r w:rsidRPr="00453085">
        <w:rPr>
          <w:b/>
        </w:rPr>
        <w:t>Article 4</w:t>
      </w:r>
      <w:r w:rsidR="00453085">
        <w:rPr>
          <w:b/>
        </w:rPr>
        <w:br/>
      </w:r>
      <w:r w:rsidRPr="00453085">
        <w:rPr>
          <w:b/>
        </w:rPr>
        <w:t>Installation of the radar antenna</w:t>
      </w:r>
    </w:p>
    <w:p w14:paraId="78909B37" w14:textId="77777777" w:rsidR="00F67365" w:rsidRDefault="009F2135" w:rsidP="00F81233">
      <w:pPr>
        <w:pStyle w:val="SingleTxtG"/>
      </w:pPr>
      <w:r w:rsidRPr="009F2135">
        <w:t>1.</w:t>
      </w:r>
      <w:r w:rsidRPr="009F2135">
        <w:tab/>
        <w:t xml:space="preserve">The radar antenna </w:t>
      </w:r>
      <w:proofErr w:type="gramStart"/>
      <w:r w:rsidRPr="009F2135">
        <w:t>shall be installed</w:t>
      </w:r>
      <w:proofErr w:type="gramEnd"/>
      <w:r w:rsidRPr="009F2135">
        <w:t xml:space="preserve"> as close as possible to the fore-and-aft-line. There shall be no obstruction </w:t>
      </w:r>
      <w:proofErr w:type="gramStart"/>
      <w:r w:rsidRPr="009F2135">
        <w:t>in the vicinity of</w:t>
      </w:r>
      <w:proofErr w:type="gramEnd"/>
      <w:r w:rsidRPr="009F2135">
        <w:t xml:space="preserve"> the antenna causing false echoes or unwanted shadows; if necessary, the antenna shall be mounted on the forecastle. The mounting and attachment of the radar antenna in its operational position shall be sufficiently stable to enable the navigational radar installation to perform within the required accuracy limits.</w:t>
      </w:r>
    </w:p>
    <w:p w14:paraId="18DE9EA3" w14:textId="77777777" w:rsidR="00F67365" w:rsidRDefault="009F2135" w:rsidP="00F81233">
      <w:pPr>
        <w:pStyle w:val="SingleTxtG"/>
      </w:pPr>
      <w:r w:rsidRPr="009F2135">
        <w:t>2.</w:t>
      </w:r>
      <w:r w:rsidRPr="009F2135">
        <w:tab/>
        <w:t xml:space="preserve">After the angular error in the mounting </w:t>
      </w:r>
      <w:proofErr w:type="gramStart"/>
      <w:r w:rsidRPr="009F2135">
        <w:t>has been corrected</w:t>
      </w:r>
      <w:proofErr w:type="gramEnd"/>
      <w:r w:rsidRPr="009F2135">
        <w:t xml:space="preserve"> and the equipment has been switched on, the difference between lubber line and fore-and-aft-line shall not be greater than 1°.</w:t>
      </w:r>
    </w:p>
    <w:p w14:paraId="0026DABD" w14:textId="5B613663" w:rsidR="00F67365" w:rsidRPr="00241C00" w:rsidRDefault="009F2135" w:rsidP="00241C00">
      <w:pPr>
        <w:pStyle w:val="SingleTxtG"/>
        <w:jc w:val="center"/>
        <w:rPr>
          <w:b/>
        </w:rPr>
      </w:pPr>
      <w:r w:rsidRPr="00241C00">
        <w:rPr>
          <w:b/>
        </w:rPr>
        <w:t>Article 5</w:t>
      </w:r>
      <w:r w:rsidR="00241C00">
        <w:rPr>
          <w:b/>
        </w:rPr>
        <w:br/>
      </w:r>
      <w:r w:rsidRPr="00241C00">
        <w:rPr>
          <w:b/>
        </w:rPr>
        <w:t>Installation of the display unit and the control unit</w:t>
      </w:r>
    </w:p>
    <w:p w14:paraId="038FA58C" w14:textId="77777777" w:rsidR="00F67365" w:rsidRDefault="009F2135" w:rsidP="00F81233">
      <w:pPr>
        <w:pStyle w:val="SingleTxtG"/>
      </w:pPr>
      <w:r w:rsidRPr="009F2135">
        <w:t>1.</w:t>
      </w:r>
      <w:r w:rsidRPr="009F2135">
        <w:tab/>
        <w:t xml:space="preserve">The display unit and control unit </w:t>
      </w:r>
      <w:proofErr w:type="gramStart"/>
      <w:r w:rsidRPr="009F2135">
        <w:t>shall be installed</w:t>
      </w:r>
      <w:proofErr w:type="gramEnd"/>
      <w:r w:rsidRPr="009F2135">
        <w:t xml:space="preserve"> in the wheelhouse in such a way that the evaluation of the radar image and the operation of the navigational radar installation present no difficulty. The azimuthal orientation of the radar image shall be in accordance with the normal situation of the surroundings. Holders and adjustable consoles </w:t>
      </w:r>
      <w:proofErr w:type="gramStart"/>
      <w:r w:rsidRPr="009F2135">
        <w:t>shall be constructed</w:t>
      </w:r>
      <w:proofErr w:type="gramEnd"/>
      <w:r w:rsidRPr="009F2135">
        <w:t xml:space="preserve"> in a way that they can be fixed in each position free of vibration.</w:t>
      </w:r>
    </w:p>
    <w:p w14:paraId="69C377E9" w14:textId="77777777" w:rsidR="00F67365" w:rsidRDefault="009F2135" w:rsidP="00F81233">
      <w:pPr>
        <w:pStyle w:val="SingleTxtG"/>
      </w:pPr>
      <w:r w:rsidRPr="009F2135">
        <w:t>2.</w:t>
      </w:r>
      <w:r w:rsidRPr="009F2135">
        <w:tab/>
        <w:t xml:space="preserve">During radar navigation, artificial lighting </w:t>
      </w:r>
      <w:proofErr w:type="gramStart"/>
      <w:r w:rsidRPr="009F2135">
        <w:t>shall not be reflected</w:t>
      </w:r>
      <w:proofErr w:type="gramEnd"/>
      <w:r w:rsidRPr="009F2135">
        <w:t xml:space="preserve"> in the direction of the radar operator.</w:t>
      </w:r>
    </w:p>
    <w:p w14:paraId="3A938848" w14:textId="77777777" w:rsidR="00F67365" w:rsidRDefault="009F2135" w:rsidP="00F81233">
      <w:pPr>
        <w:pStyle w:val="SingleTxtG"/>
      </w:pPr>
      <w:r w:rsidRPr="009F2135">
        <w:t>3.</w:t>
      </w:r>
      <w:r w:rsidRPr="009F2135">
        <w:tab/>
        <w:t xml:space="preserve">When the control unit is not part of the display unit, it shall be located in housing within 1 metre of the display unit. Cordless remote controls </w:t>
      </w:r>
      <w:proofErr w:type="gramStart"/>
      <w:r w:rsidRPr="009F2135">
        <w:t>shall not be permitted</w:t>
      </w:r>
      <w:proofErr w:type="gramEnd"/>
      <w:r w:rsidRPr="009F2135">
        <w:t>.</w:t>
      </w:r>
    </w:p>
    <w:p w14:paraId="0E30291A" w14:textId="77777777" w:rsidR="00F67365" w:rsidRDefault="009F2135" w:rsidP="00F81233">
      <w:pPr>
        <w:pStyle w:val="SingleTxtG"/>
      </w:pPr>
      <w:r w:rsidRPr="009F2135">
        <w:t>4.</w:t>
      </w:r>
      <w:r w:rsidRPr="009F2135">
        <w:tab/>
        <w:t xml:space="preserve">If slave indicators are installed, they shall satisfy the </w:t>
      </w:r>
      <w:proofErr w:type="gramStart"/>
      <w:r w:rsidRPr="009F2135">
        <w:t>requirements which</w:t>
      </w:r>
      <w:proofErr w:type="gramEnd"/>
      <w:r w:rsidRPr="009F2135">
        <w:t xml:space="preserve"> apply to navigational radar installations.</w:t>
      </w:r>
    </w:p>
    <w:p w14:paraId="370EC976" w14:textId="5DECEEF0" w:rsidR="00F67365" w:rsidRPr="00241C00" w:rsidRDefault="009F2135" w:rsidP="00241C00">
      <w:pPr>
        <w:pStyle w:val="SingleTxtG"/>
        <w:jc w:val="center"/>
        <w:rPr>
          <w:b/>
        </w:rPr>
      </w:pPr>
      <w:r w:rsidRPr="00241C00">
        <w:rPr>
          <w:b/>
        </w:rPr>
        <w:lastRenderedPageBreak/>
        <w:t>Article 6</w:t>
      </w:r>
      <w:r w:rsidR="00241C00">
        <w:rPr>
          <w:b/>
        </w:rPr>
        <w:br/>
      </w:r>
      <w:r w:rsidRPr="00241C00">
        <w:rPr>
          <w:b/>
        </w:rPr>
        <w:t>Installation of the rate-of-turn indicator</w:t>
      </w:r>
    </w:p>
    <w:p w14:paraId="18CF31AC" w14:textId="77777777" w:rsidR="00F67365" w:rsidRDefault="009F2135" w:rsidP="00F81233">
      <w:pPr>
        <w:pStyle w:val="SingleTxtG"/>
      </w:pPr>
      <w:r w:rsidRPr="009F2135">
        <w:t>1.</w:t>
      </w:r>
      <w:r w:rsidRPr="009F2135">
        <w:tab/>
        <w:t>The rate-of-turn indicator shall be located ahead of the helmsman and within their field of vision.</w:t>
      </w:r>
    </w:p>
    <w:p w14:paraId="2F01DCC8" w14:textId="77777777" w:rsidR="00F67365" w:rsidRDefault="009F2135" w:rsidP="00F81233">
      <w:pPr>
        <w:pStyle w:val="SingleTxtG"/>
      </w:pPr>
      <w:r w:rsidRPr="009F2135">
        <w:t>2.</w:t>
      </w:r>
      <w:r w:rsidRPr="009F2135">
        <w:tab/>
        <w:t xml:space="preserve">The sensor system </w:t>
      </w:r>
      <w:proofErr w:type="gramStart"/>
      <w:r w:rsidRPr="009F2135">
        <w:t>shall be installed as far as possible amidships, horizontal and aligned with the ship's fore-and aft-line</w:t>
      </w:r>
      <w:proofErr w:type="gramEnd"/>
      <w:r w:rsidRPr="009F2135">
        <w:t xml:space="preserve">. The installation site shall </w:t>
      </w:r>
      <w:proofErr w:type="gramStart"/>
      <w:r w:rsidRPr="009F2135">
        <w:t>as far as possible be free of vibration and be liable only to modest temperature variations</w:t>
      </w:r>
      <w:proofErr w:type="gramEnd"/>
      <w:r w:rsidRPr="009F2135">
        <w:t xml:space="preserve">. The indicator unit </w:t>
      </w:r>
      <w:proofErr w:type="gramStart"/>
      <w:r w:rsidRPr="009F2135">
        <w:t>shall if possible be installed</w:t>
      </w:r>
      <w:proofErr w:type="gramEnd"/>
      <w:r w:rsidRPr="009F2135">
        <w:t xml:space="preserve"> directly above the radar display.</w:t>
      </w:r>
    </w:p>
    <w:p w14:paraId="31EAA0BE" w14:textId="77777777" w:rsidR="00F67365" w:rsidRDefault="009F2135" w:rsidP="00F81233">
      <w:pPr>
        <w:pStyle w:val="SingleTxtG"/>
      </w:pPr>
      <w:r w:rsidRPr="009F2135">
        <w:t>3.</w:t>
      </w:r>
      <w:r w:rsidRPr="009F2135">
        <w:tab/>
        <w:t xml:space="preserve">If slave indicators are installed, they shall satisfy the </w:t>
      </w:r>
      <w:proofErr w:type="gramStart"/>
      <w:r w:rsidRPr="009F2135">
        <w:t>requirements which</w:t>
      </w:r>
      <w:proofErr w:type="gramEnd"/>
      <w:r w:rsidRPr="009F2135">
        <w:t xml:space="preserve"> apply to rate-of-turn indicators.</w:t>
      </w:r>
    </w:p>
    <w:p w14:paraId="669D944D" w14:textId="1711EDAB" w:rsidR="00F67365" w:rsidRPr="00241C00" w:rsidRDefault="009F2135" w:rsidP="00AE5576">
      <w:pPr>
        <w:pStyle w:val="SingleTxtG"/>
        <w:keepNext/>
        <w:keepLines/>
        <w:jc w:val="center"/>
        <w:rPr>
          <w:b/>
        </w:rPr>
      </w:pPr>
      <w:r w:rsidRPr="00241C00">
        <w:rPr>
          <w:b/>
        </w:rPr>
        <w:t>Article 7</w:t>
      </w:r>
      <w:r w:rsidR="00241C00">
        <w:rPr>
          <w:b/>
        </w:rPr>
        <w:br/>
      </w:r>
      <w:r w:rsidRPr="00241C00">
        <w:rPr>
          <w:b/>
        </w:rPr>
        <w:t>Installation of the position sensor</w:t>
      </w:r>
    </w:p>
    <w:p w14:paraId="60DA6650" w14:textId="55476F25" w:rsidR="00F67365" w:rsidRDefault="00A5028E" w:rsidP="00F81233">
      <w:pPr>
        <w:pStyle w:val="SingleTxtG"/>
      </w:pPr>
      <w:r>
        <w:tab/>
      </w:r>
      <w:r w:rsidR="009F2135" w:rsidRPr="009F2135">
        <w:t xml:space="preserve">For inland ECDIS </w:t>
      </w:r>
      <w:proofErr w:type="gramStart"/>
      <w:r w:rsidR="009F2135" w:rsidRPr="009F2135">
        <w:t>equipment which is operated in navigation mode, the position sensor (e.g. DGPS antenna)</w:t>
      </w:r>
      <w:proofErr w:type="gramEnd"/>
      <w:r w:rsidR="009F2135" w:rsidRPr="009F2135">
        <w:t xml:space="preserve"> must be installed in such a way as to ensure that it operates with the greatest possible degree of accuracy and is not adversely affected by superstructures and transmitting equipment on board ship.</w:t>
      </w:r>
    </w:p>
    <w:p w14:paraId="0D66298F" w14:textId="0C9440AB" w:rsidR="00F67365" w:rsidRPr="00AB16F9" w:rsidRDefault="009F2135" w:rsidP="00AB16F9">
      <w:pPr>
        <w:pStyle w:val="SingleTxtG"/>
        <w:jc w:val="center"/>
        <w:rPr>
          <w:b/>
        </w:rPr>
      </w:pPr>
      <w:r w:rsidRPr="00AB16F9">
        <w:rPr>
          <w:b/>
        </w:rPr>
        <w:t>Article 8</w:t>
      </w:r>
      <w:r w:rsidR="00AB16F9">
        <w:rPr>
          <w:b/>
        </w:rPr>
        <w:br/>
      </w:r>
      <w:r w:rsidRPr="00AB16F9">
        <w:rPr>
          <w:b/>
        </w:rPr>
        <w:t>Installation and performance test</w:t>
      </w:r>
    </w:p>
    <w:p w14:paraId="759BB711" w14:textId="3300F2FB" w:rsidR="009F2135" w:rsidRPr="009F2135" w:rsidRDefault="00A5028E" w:rsidP="00F81233">
      <w:pPr>
        <w:pStyle w:val="SingleTxtG"/>
      </w:pPr>
      <w:r>
        <w:tab/>
      </w:r>
      <w:proofErr w:type="gramStart"/>
      <w:r w:rsidR="009F2135" w:rsidRPr="009F2135">
        <w:t>Before the equipment is switched on for the first time after installation, in case of periodical inspection in order to extend the validity of the inland navigation certificate, as well as after each modification of the vessel likely to affect the operating conditions of the equipment, an installation and performance test shall be carried out by the competent authority or by a specialist firm authorised in accordance with Article 2.</w:t>
      </w:r>
      <w:proofErr w:type="gramEnd"/>
      <w:r w:rsidR="009F2135" w:rsidRPr="009F2135">
        <w:t xml:space="preserve"> For this purpose, the following conditions </w:t>
      </w:r>
      <w:proofErr w:type="gramStart"/>
      <w:r w:rsidR="009F2135" w:rsidRPr="009F2135">
        <w:t>shall be fulfilled</w:t>
      </w:r>
      <w:proofErr w:type="gramEnd"/>
      <w:r w:rsidR="009F2135" w:rsidRPr="009F2135">
        <w:t>:</w:t>
      </w:r>
    </w:p>
    <w:p w14:paraId="71CAFDB6" w14:textId="45D67787" w:rsidR="009F2135" w:rsidRPr="009F2135" w:rsidRDefault="00A5028E" w:rsidP="00F81233">
      <w:pPr>
        <w:pStyle w:val="SingleTxtG"/>
      </w:pPr>
      <w:r>
        <w:tab/>
      </w:r>
      <w:r w:rsidR="00CC4838">
        <w:t>(</w:t>
      </w:r>
      <w:r w:rsidR="009F2135" w:rsidRPr="009F2135">
        <w:t>a)</w:t>
      </w:r>
      <w:r w:rsidR="009F2135" w:rsidRPr="009F2135">
        <w:tab/>
      </w:r>
      <w:proofErr w:type="gramStart"/>
      <w:r w:rsidR="009F2135" w:rsidRPr="009F2135">
        <w:t>the</w:t>
      </w:r>
      <w:proofErr w:type="gramEnd"/>
      <w:r w:rsidR="009F2135" w:rsidRPr="009F2135">
        <w:t xml:space="preserve"> power supply shall have a separate safety device;</w:t>
      </w:r>
    </w:p>
    <w:p w14:paraId="0A8CAC5F" w14:textId="4FB44025" w:rsidR="00F67365" w:rsidRDefault="00A5028E" w:rsidP="00F81233">
      <w:pPr>
        <w:pStyle w:val="SingleTxtG"/>
      </w:pPr>
      <w:r>
        <w:tab/>
      </w:r>
      <w:r w:rsidR="00CC4838">
        <w:t>(</w:t>
      </w:r>
      <w:r w:rsidR="009F2135" w:rsidRPr="009F2135">
        <w:t>b)</w:t>
      </w:r>
      <w:r w:rsidR="009F2135" w:rsidRPr="009F2135">
        <w:tab/>
      </w:r>
      <w:proofErr w:type="gramStart"/>
      <w:r w:rsidR="009F2135" w:rsidRPr="009F2135">
        <w:t>the</w:t>
      </w:r>
      <w:proofErr w:type="gramEnd"/>
      <w:r w:rsidR="009F2135" w:rsidRPr="009F2135">
        <w:t xml:space="preserve"> operating voltage shall be within the tolerance;</w:t>
      </w:r>
    </w:p>
    <w:p w14:paraId="00F671FE" w14:textId="510DBDEE" w:rsidR="009F2135" w:rsidRPr="009F2135" w:rsidRDefault="00A5028E" w:rsidP="00F81233">
      <w:pPr>
        <w:pStyle w:val="SingleTxtG"/>
      </w:pPr>
      <w:r>
        <w:tab/>
      </w:r>
      <w:r w:rsidR="00CC4838">
        <w:t>(</w:t>
      </w:r>
      <w:r w:rsidR="009F2135" w:rsidRPr="009F2135">
        <w:t>c)</w:t>
      </w:r>
      <w:r w:rsidR="009F2135" w:rsidRPr="009F2135">
        <w:tab/>
      </w:r>
      <w:proofErr w:type="gramStart"/>
      <w:r w:rsidR="009F2135" w:rsidRPr="009F2135">
        <w:t>the</w:t>
      </w:r>
      <w:proofErr w:type="gramEnd"/>
      <w:r w:rsidR="009F2135" w:rsidRPr="009F2135">
        <w:t xml:space="preserve"> cabling and its installation shall satisfy the provisions of this Standard and, if applicable ADN; </w:t>
      </w:r>
    </w:p>
    <w:p w14:paraId="097FDF97" w14:textId="173C4248" w:rsidR="009F2135" w:rsidRPr="009F2135" w:rsidRDefault="00A5028E" w:rsidP="00F81233">
      <w:pPr>
        <w:pStyle w:val="SingleTxtG"/>
      </w:pPr>
      <w:r>
        <w:tab/>
      </w:r>
      <w:r w:rsidR="00CC4838">
        <w:t>(</w:t>
      </w:r>
      <w:r w:rsidR="009F2135" w:rsidRPr="009F2135">
        <w:t>d)</w:t>
      </w:r>
      <w:r w:rsidR="009F2135" w:rsidRPr="009F2135">
        <w:tab/>
      </w:r>
      <w:proofErr w:type="gramStart"/>
      <w:r w:rsidR="009F2135" w:rsidRPr="009F2135">
        <w:t>the</w:t>
      </w:r>
      <w:proofErr w:type="gramEnd"/>
      <w:r w:rsidR="009F2135" w:rsidRPr="009F2135">
        <w:t xml:space="preserve"> rate of antenna revolutions shall reach at least 24 rpm;</w:t>
      </w:r>
    </w:p>
    <w:p w14:paraId="09B14DD2" w14:textId="7DC7906E" w:rsidR="009F2135" w:rsidRPr="009F2135" w:rsidRDefault="00A5028E" w:rsidP="00F81233">
      <w:pPr>
        <w:pStyle w:val="SingleTxtG"/>
      </w:pPr>
      <w:r>
        <w:tab/>
      </w:r>
      <w:r w:rsidR="00CC4838">
        <w:t>(</w:t>
      </w:r>
      <w:r w:rsidR="009F2135" w:rsidRPr="009F2135">
        <w:t>e)</w:t>
      </w:r>
      <w:r w:rsidR="009F2135" w:rsidRPr="009F2135">
        <w:tab/>
      </w:r>
      <w:proofErr w:type="gramStart"/>
      <w:r w:rsidR="009F2135" w:rsidRPr="009F2135">
        <w:t>there</w:t>
      </w:r>
      <w:proofErr w:type="gramEnd"/>
      <w:r w:rsidR="009F2135" w:rsidRPr="009F2135">
        <w:t xml:space="preserve"> shall be no obstruction in the vicinity of the antenna which impairs navigation;</w:t>
      </w:r>
    </w:p>
    <w:p w14:paraId="72032579" w14:textId="6BFCC8B7" w:rsidR="009F2135" w:rsidRPr="009F2135" w:rsidRDefault="00A5028E" w:rsidP="00F81233">
      <w:pPr>
        <w:pStyle w:val="SingleTxtG"/>
      </w:pPr>
      <w:r>
        <w:tab/>
      </w:r>
      <w:r w:rsidR="00CC4838">
        <w:t>(</w:t>
      </w:r>
      <w:r w:rsidR="009F2135" w:rsidRPr="009F2135">
        <w:t>f)</w:t>
      </w:r>
      <w:r w:rsidR="009F2135" w:rsidRPr="009F2135">
        <w:tab/>
      </w:r>
      <w:proofErr w:type="gramStart"/>
      <w:r w:rsidR="009F2135" w:rsidRPr="009F2135">
        <w:t>the</w:t>
      </w:r>
      <w:proofErr w:type="gramEnd"/>
      <w:r w:rsidR="009F2135" w:rsidRPr="009F2135">
        <w:t xml:space="preserve"> safety switch of the antenna, if provided, shall be in good working order;</w:t>
      </w:r>
    </w:p>
    <w:p w14:paraId="7DC193A5" w14:textId="5BACFEF4" w:rsidR="009F2135" w:rsidRPr="009F2135" w:rsidRDefault="00A5028E" w:rsidP="00F81233">
      <w:pPr>
        <w:pStyle w:val="SingleTxtG"/>
      </w:pPr>
      <w:r>
        <w:tab/>
      </w:r>
      <w:r w:rsidR="00CC4838">
        <w:t>(</w:t>
      </w:r>
      <w:r w:rsidR="009F2135" w:rsidRPr="009F2135">
        <w:t>g)</w:t>
      </w:r>
      <w:r w:rsidR="009F2135" w:rsidRPr="009F2135">
        <w:tab/>
      </w:r>
      <w:proofErr w:type="gramStart"/>
      <w:r w:rsidR="009F2135" w:rsidRPr="009F2135">
        <w:t>the</w:t>
      </w:r>
      <w:proofErr w:type="gramEnd"/>
      <w:r w:rsidR="009F2135" w:rsidRPr="009F2135">
        <w:t xml:space="preserve"> arrangement of display units, rate-of-turn indicators and control units shall be ergonomic and user-friendly;</w:t>
      </w:r>
    </w:p>
    <w:p w14:paraId="064A0CC4" w14:textId="16BDB4D4" w:rsidR="009F2135" w:rsidRPr="009F2135" w:rsidRDefault="00A5028E" w:rsidP="00F81233">
      <w:pPr>
        <w:pStyle w:val="SingleTxtG"/>
      </w:pPr>
      <w:r>
        <w:tab/>
      </w:r>
      <w:r w:rsidR="00CC4838">
        <w:t>(</w:t>
      </w:r>
      <w:r w:rsidR="009F2135" w:rsidRPr="009F2135">
        <w:t>h)</w:t>
      </w:r>
      <w:r w:rsidR="009F2135" w:rsidRPr="009F2135">
        <w:tab/>
      </w:r>
      <w:proofErr w:type="gramStart"/>
      <w:r w:rsidR="009F2135" w:rsidRPr="009F2135">
        <w:t>the</w:t>
      </w:r>
      <w:proofErr w:type="gramEnd"/>
      <w:r w:rsidR="009F2135" w:rsidRPr="009F2135">
        <w:t xml:space="preserve"> lubber line of the navigational radar installation shall not deviate from the ship's f</w:t>
      </w:r>
      <w:r w:rsidR="000E0A21">
        <w:t>ore-and-aft-line by more than 1</w:t>
      </w:r>
      <w:r w:rsidR="009F2135" w:rsidRPr="009F2135">
        <w:t>;</w:t>
      </w:r>
    </w:p>
    <w:p w14:paraId="61D87D5D" w14:textId="06CEE8DC" w:rsidR="009F2135" w:rsidRPr="009F2135" w:rsidRDefault="00A5028E" w:rsidP="00F81233">
      <w:pPr>
        <w:pStyle w:val="SingleTxtG"/>
      </w:pPr>
      <w:r>
        <w:tab/>
      </w:r>
      <w:r w:rsidR="00CC4838">
        <w:t>(</w:t>
      </w:r>
      <w:proofErr w:type="spellStart"/>
      <w:r w:rsidR="009F2135" w:rsidRPr="009F2135">
        <w:t>i</w:t>
      </w:r>
      <w:proofErr w:type="spellEnd"/>
      <w:r w:rsidR="009F2135" w:rsidRPr="009F2135">
        <w:t>)</w:t>
      </w:r>
      <w:r w:rsidR="009F2135" w:rsidRPr="009F2135">
        <w:tab/>
      </w:r>
      <w:proofErr w:type="gramStart"/>
      <w:r w:rsidR="009F2135" w:rsidRPr="009F2135">
        <w:t>the</w:t>
      </w:r>
      <w:proofErr w:type="gramEnd"/>
      <w:r w:rsidR="009F2135" w:rsidRPr="009F2135">
        <w:t xml:space="preserve"> accuracy of the range and azimuthal displays shall satisfy the requirements (measurements using known targets;</w:t>
      </w:r>
    </w:p>
    <w:p w14:paraId="494E4189" w14:textId="4AC7EA1B" w:rsidR="009F2135" w:rsidRPr="009F2135" w:rsidRDefault="00A5028E" w:rsidP="00F81233">
      <w:pPr>
        <w:pStyle w:val="SingleTxtG"/>
      </w:pPr>
      <w:r>
        <w:tab/>
      </w:r>
      <w:r w:rsidR="00CC4838">
        <w:t>(</w:t>
      </w:r>
      <w:r w:rsidR="009F2135" w:rsidRPr="009F2135">
        <w:t>j)</w:t>
      </w:r>
      <w:r w:rsidR="009F2135" w:rsidRPr="009F2135">
        <w:tab/>
      </w:r>
      <w:proofErr w:type="gramStart"/>
      <w:r w:rsidR="009F2135" w:rsidRPr="009F2135">
        <w:t>linearity</w:t>
      </w:r>
      <w:proofErr w:type="gramEnd"/>
      <w:r w:rsidR="009F2135" w:rsidRPr="009F2135">
        <w:t xml:space="preserve"> in short ranges shall be correct (pushing and pulling;</w:t>
      </w:r>
    </w:p>
    <w:p w14:paraId="5A34FC0F" w14:textId="726CF1C3" w:rsidR="009F2135" w:rsidRPr="009F2135" w:rsidRDefault="00A5028E" w:rsidP="00F81233">
      <w:pPr>
        <w:pStyle w:val="SingleTxtG"/>
      </w:pPr>
      <w:r>
        <w:tab/>
      </w:r>
      <w:r w:rsidR="00CC4838">
        <w:t>(</w:t>
      </w:r>
      <w:r w:rsidR="009F2135" w:rsidRPr="009F2135">
        <w:t>k)</w:t>
      </w:r>
      <w:r w:rsidR="009F2135" w:rsidRPr="009F2135">
        <w:tab/>
      </w:r>
      <w:proofErr w:type="gramStart"/>
      <w:r w:rsidR="009F2135" w:rsidRPr="009F2135">
        <w:t>the</w:t>
      </w:r>
      <w:proofErr w:type="gramEnd"/>
      <w:r w:rsidR="009F2135" w:rsidRPr="009F2135">
        <w:t xml:space="preserve"> displayed minimum range shall be 15 metres or less;</w:t>
      </w:r>
    </w:p>
    <w:p w14:paraId="3DB6BCBE" w14:textId="5883AB84" w:rsidR="009F2135" w:rsidRPr="009F2135" w:rsidRDefault="00A5028E" w:rsidP="00F81233">
      <w:pPr>
        <w:pStyle w:val="SingleTxtG"/>
      </w:pPr>
      <w:r>
        <w:tab/>
      </w:r>
      <w:r w:rsidR="00CC4838">
        <w:t>(</w:t>
      </w:r>
      <w:r w:rsidR="009F2135" w:rsidRPr="009F2135">
        <w:t>l)</w:t>
      </w:r>
      <w:r w:rsidR="009F2135" w:rsidRPr="009F2135">
        <w:tab/>
      </w:r>
      <w:proofErr w:type="gramStart"/>
      <w:r w:rsidR="009F2135" w:rsidRPr="009F2135">
        <w:t>the</w:t>
      </w:r>
      <w:proofErr w:type="gramEnd"/>
      <w:r w:rsidR="009F2135" w:rsidRPr="009F2135">
        <w:t xml:space="preserve"> centre of the picture shall be visible and its diameter shall not exceed 1 mm;</w:t>
      </w:r>
    </w:p>
    <w:p w14:paraId="26739114" w14:textId="4E57D386" w:rsidR="009F2135" w:rsidRPr="009F2135" w:rsidRDefault="00A5028E" w:rsidP="00F81233">
      <w:pPr>
        <w:pStyle w:val="SingleTxtG"/>
      </w:pPr>
      <w:r>
        <w:lastRenderedPageBreak/>
        <w:tab/>
      </w:r>
      <w:r w:rsidR="00CC4838">
        <w:t>(</w:t>
      </w:r>
      <w:r w:rsidR="009F2135" w:rsidRPr="009F2135">
        <w:t>m)</w:t>
      </w:r>
      <w:r w:rsidR="009F2135" w:rsidRPr="009F2135">
        <w:tab/>
      </w:r>
      <w:proofErr w:type="gramStart"/>
      <w:r w:rsidR="009F2135" w:rsidRPr="009F2135">
        <w:t>false</w:t>
      </w:r>
      <w:proofErr w:type="gramEnd"/>
      <w:r w:rsidR="009F2135" w:rsidRPr="009F2135">
        <w:t xml:space="preserve"> echoes caused by reflections and unwanted shadows on the lubber line shall not occur or shall not impair the safety of navigation;</w:t>
      </w:r>
    </w:p>
    <w:p w14:paraId="3A916DC1" w14:textId="1F05DB8D" w:rsidR="009F2135" w:rsidRPr="009F2135" w:rsidRDefault="00A5028E" w:rsidP="00F81233">
      <w:pPr>
        <w:pStyle w:val="SingleTxtG"/>
      </w:pPr>
      <w:r>
        <w:tab/>
      </w:r>
      <w:r w:rsidR="0059647B">
        <w:t>(</w:t>
      </w:r>
      <w:r w:rsidR="009F2135" w:rsidRPr="009F2135">
        <w:t>n)</w:t>
      </w:r>
      <w:r w:rsidR="009F2135" w:rsidRPr="009F2135">
        <w:tab/>
        <w:t xml:space="preserve">sea-clutter and rain-clutter suppressors (STC and FTC </w:t>
      </w:r>
      <w:proofErr w:type="spellStart"/>
      <w:r w:rsidR="009F2135" w:rsidRPr="009F2135">
        <w:t>preset</w:t>
      </w:r>
      <w:proofErr w:type="spellEnd"/>
      <w:r w:rsidR="009F2135" w:rsidRPr="009F2135">
        <w:t>) and the associated controls shall perform correctly</w:t>
      </w:r>
      <w:proofErr w:type="gramStart"/>
      <w:r w:rsidR="009F2135" w:rsidRPr="009F2135">
        <w:t>;</w:t>
      </w:r>
      <w:proofErr w:type="gramEnd"/>
    </w:p>
    <w:p w14:paraId="782C5582" w14:textId="3EC472AF" w:rsidR="009F2135" w:rsidRPr="009F2135" w:rsidRDefault="00A5028E" w:rsidP="00F81233">
      <w:pPr>
        <w:pStyle w:val="SingleTxtG"/>
      </w:pPr>
      <w:r>
        <w:tab/>
      </w:r>
      <w:r w:rsidR="0059647B">
        <w:t>(</w:t>
      </w:r>
      <w:r w:rsidR="009F2135" w:rsidRPr="009F2135">
        <w:t>o)</w:t>
      </w:r>
      <w:r w:rsidR="009F2135" w:rsidRPr="009F2135">
        <w:tab/>
      </w:r>
      <w:proofErr w:type="gramStart"/>
      <w:r w:rsidR="009F2135" w:rsidRPr="009F2135">
        <w:t>the</w:t>
      </w:r>
      <w:proofErr w:type="gramEnd"/>
      <w:r w:rsidR="009F2135" w:rsidRPr="009F2135">
        <w:t xml:space="preserve"> gain adjustment shall be in proper working order;</w:t>
      </w:r>
    </w:p>
    <w:p w14:paraId="57D9589B" w14:textId="117081D6" w:rsidR="009F2135" w:rsidRPr="009F2135" w:rsidRDefault="00A5028E" w:rsidP="00F81233">
      <w:pPr>
        <w:pStyle w:val="SingleTxtG"/>
      </w:pPr>
      <w:r>
        <w:tab/>
      </w:r>
      <w:r w:rsidR="0059647B">
        <w:t>(</w:t>
      </w:r>
      <w:r w:rsidR="009F2135" w:rsidRPr="009F2135">
        <w:t>p)</w:t>
      </w:r>
      <w:r w:rsidR="009F2135" w:rsidRPr="009F2135">
        <w:tab/>
      </w:r>
      <w:proofErr w:type="gramStart"/>
      <w:r w:rsidR="009F2135" w:rsidRPr="009F2135">
        <w:t>focus</w:t>
      </w:r>
      <w:proofErr w:type="gramEnd"/>
      <w:r w:rsidR="009F2135" w:rsidRPr="009F2135">
        <w:t xml:space="preserve"> and picture definition shall be correct;</w:t>
      </w:r>
    </w:p>
    <w:p w14:paraId="4829203A" w14:textId="2431B58D" w:rsidR="009F2135" w:rsidRPr="009F2135" w:rsidRDefault="00A5028E" w:rsidP="00F81233">
      <w:pPr>
        <w:pStyle w:val="SingleTxtG"/>
      </w:pPr>
      <w:r>
        <w:tab/>
      </w:r>
      <w:r w:rsidR="0059647B">
        <w:t>(</w:t>
      </w:r>
      <w:r w:rsidR="009F2135" w:rsidRPr="009F2135">
        <w:t>q)</w:t>
      </w:r>
      <w:r w:rsidR="009F2135" w:rsidRPr="009F2135">
        <w:tab/>
      </w:r>
      <w:proofErr w:type="gramStart"/>
      <w:r w:rsidR="009F2135" w:rsidRPr="009F2135">
        <w:t>the</w:t>
      </w:r>
      <w:proofErr w:type="gramEnd"/>
      <w:r w:rsidR="009F2135" w:rsidRPr="009F2135">
        <w:t xml:space="preserve"> ship's turning direction shall be as indicated on the rate-of-turn indicator and the zero position at dead ahead shall be correct;</w:t>
      </w:r>
    </w:p>
    <w:p w14:paraId="6CC63CD1" w14:textId="220EAEA7" w:rsidR="009F2135" w:rsidRPr="009F2135" w:rsidRDefault="00A5028E" w:rsidP="00F81233">
      <w:pPr>
        <w:pStyle w:val="SingleTxtG"/>
      </w:pPr>
      <w:r>
        <w:tab/>
      </w:r>
      <w:r w:rsidR="0059647B">
        <w:t>(</w:t>
      </w:r>
      <w:r w:rsidR="009F2135" w:rsidRPr="009F2135">
        <w:t>r)</w:t>
      </w:r>
      <w:r w:rsidR="009F2135" w:rsidRPr="009F2135">
        <w:tab/>
      </w:r>
      <w:proofErr w:type="gramStart"/>
      <w:r w:rsidR="009F2135" w:rsidRPr="009F2135">
        <w:t>the</w:t>
      </w:r>
      <w:proofErr w:type="gramEnd"/>
      <w:r w:rsidR="009F2135" w:rsidRPr="009F2135">
        <w:t xml:space="preserve"> navigational radar installation shall not be sensitive to transmissions by the ship's radio equipment or to interference from other on-board sources;</w:t>
      </w:r>
    </w:p>
    <w:p w14:paraId="0C17FF69" w14:textId="284EFAA3" w:rsidR="009F2135" w:rsidRPr="009F2135" w:rsidRDefault="00A5028E" w:rsidP="00F81233">
      <w:pPr>
        <w:pStyle w:val="SingleTxtG"/>
      </w:pPr>
      <w:r>
        <w:tab/>
      </w:r>
      <w:r w:rsidR="0059647B">
        <w:t>(</w:t>
      </w:r>
      <w:r w:rsidR="009F2135" w:rsidRPr="009F2135">
        <w:t>s)</w:t>
      </w:r>
      <w:r w:rsidR="009F2135" w:rsidRPr="009F2135">
        <w:tab/>
      </w:r>
      <w:proofErr w:type="gramStart"/>
      <w:r w:rsidR="009F2135" w:rsidRPr="009F2135">
        <w:t>the</w:t>
      </w:r>
      <w:proofErr w:type="gramEnd"/>
      <w:r w:rsidR="009F2135" w:rsidRPr="009F2135">
        <w:t xml:space="preserve"> navigational radar installation or rate-of-turn indicator shall not interfere with other on-board equipment.</w:t>
      </w:r>
    </w:p>
    <w:p w14:paraId="0FAE1EC3" w14:textId="51B54214" w:rsidR="009F2135" w:rsidRPr="009F2135" w:rsidRDefault="00A5028E" w:rsidP="00F81233">
      <w:pPr>
        <w:pStyle w:val="SingleTxtG"/>
      </w:pPr>
      <w:r>
        <w:tab/>
      </w:r>
      <w:r w:rsidR="009F2135" w:rsidRPr="009F2135">
        <w:t>Furthermore, in the case of inland ECDIS equipment:</w:t>
      </w:r>
    </w:p>
    <w:p w14:paraId="25DEDA7C" w14:textId="78F1FB01" w:rsidR="009F2135" w:rsidRPr="009F2135" w:rsidRDefault="00A5028E" w:rsidP="00F81233">
      <w:pPr>
        <w:pStyle w:val="SingleTxtG"/>
      </w:pPr>
      <w:r>
        <w:tab/>
      </w:r>
      <w:r w:rsidR="0059647B">
        <w:t>(</w:t>
      </w:r>
      <w:r w:rsidR="009F2135" w:rsidRPr="009F2135">
        <w:t>t)</w:t>
      </w:r>
      <w:r w:rsidR="009F2135" w:rsidRPr="009F2135">
        <w:tab/>
      </w:r>
      <w:proofErr w:type="gramStart"/>
      <w:r w:rsidR="009F2135" w:rsidRPr="009F2135">
        <w:t>the</w:t>
      </w:r>
      <w:proofErr w:type="gramEnd"/>
      <w:r w:rsidR="009F2135" w:rsidRPr="009F2135">
        <w:t xml:space="preserve"> statistical positional error affecting the chart shall not exceed 2 m;</w:t>
      </w:r>
    </w:p>
    <w:p w14:paraId="6B93F2B1" w14:textId="7637539D" w:rsidR="00F67365" w:rsidRDefault="00A5028E" w:rsidP="00F81233">
      <w:pPr>
        <w:pStyle w:val="SingleTxtG"/>
      </w:pPr>
      <w:r>
        <w:tab/>
      </w:r>
      <w:r w:rsidR="0059647B">
        <w:t>(</w:t>
      </w:r>
      <w:r w:rsidR="009F2135" w:rsidRPr="009F2135">
        <w:t>u)</w:t>
      </w:r>
      <w:r w:rsidR="009F2135" w:rsidRPr="009F2135">
        <w:tab/>
      </w:r>
      <w:proofErr w:type="gramStart"/>
      <w:r w:rsidR="009F2135" w:rsidRPr="009F2135">
        <w:t>the</w:t>
      </w:r>
      <w:proofErr w:type="gramEnd"/>
      <w:r w:rsidR="009F2135" w:rsidRPr="009F2135">
        <w:t xml:space="preserve"> statistical phase angle error affecting the chart shall not exceed 1°.</w:t>
      </w:r>
    </w:p>
    <w:p w14:paraId="27896D67" w14:textId="09C20094" w:rsidR="00F67365" w:rsidRPr="00674103" w:rsidRDefault="009F2135" w:rsidP="00674103">
      <w:pPr>
        <w:pStyle w:val="SingleTxtG"/>
        <w:jc w:val="center"/>
        <w:rPr>
          <w:b/>
        </w:rPr>
      </w:pPr>
      <w:r w:rsidRPr="00674103">
        <w:rPr>
          <w:b/>
        </w:rPr>
        <w:t>Article 9</w:t>
      </w:r>
      <w:r w:rsidR="00674103">
        <w:rPr>
          <w:b/>
        </w:rPr>
        <w:br/>
      </w:r>
      <w:r w:rsidRPr="00674103">
        <w:rPr>
          <w:b/>
        </w:rPr>
        <w:t>Installation and performance certificate</w:t>
      </w:r>
    </w:p>
    <w:p w14:paraId="7A705132" w14:textId="01EF6562" w:rsidR="00F67365" w:rsidRDefault="00A5028E" w:rsidP="00F81233">
      <w:pPr>
        <w:pStyle w:val="SingleTxtG"/>
      </w:pPr>
      <w:r>
        <w:tab/>
      </w:r>
      <w:r w:rsidR="009F2135" w:rsidRPr="009F2135">
        <w:t xml:space="preserve">After successful completion of a test in accordance with Article 8, the competent authority or the approved specialist firm shall issue a certificate based on the model according to Annex 5 Section V. This certificate </w:t>
      </w:r>
      <w:proofErr w:type="gramStart"/>
      <w:r w:rsidR="009F2135" w:rsidRPr="009F2135">
        <w:t>shall be kept</w:t>
      </w:r>
      <w:proofErr w:type="gramEnd"/>
      <w:r w:rsidR="009F2135" w:rsidRPr="009F2135">
        <w:t xml:space="preserve"> permanently on board.</w:t>
      </w:r>
    </w:p>
    <w:p w14:paraId="5C79E7F6" w14:textId="581122B0" w:rsidR="00F67365" w:rsidRDefault="00A5028E" w:rsidP="00F81233">
      <w:pPr>
        <w:pStyle w:val="SingleTxtG"/>
      </w:pPr>
      <w:r>
        <w:tab/>
      </w:r>
      <w:r w:rsidR="009F2135" w:rsidRPr="009F2135">
        <w:t xml:space="preserve">If the test conditions </w:t>
      </w:r>
      <w:proofErr w:type="gramStart"/>
      <w:r w:rsidR="009F2135" w:rsidRPr="009F2135">
        <w:t>have not been met</w:t>
      </w:r>
      <w:proofErr w:type="gramEnd"/>
      <w:r w:rsidR="009F2135" w:rsidRPr="009F2135">
        <w:t>, a list of defects shall be drawn up. Any existing certificate shall be withdrawn or sent to the competent authority or the approved firm.</w:t>
      </w:r>
    </w:p>
    <w:p w14:paraId="48AD4225" w14:textId="6CB0FA29" w:rsidR="009F2135" w:rsidRPr="00E85FD0" w:rsidRDefault="009F2135" w:rsidP="00E85FD0">
      <w:pPr>
        <w:pStyle w:val="SingleTxtG"/>
        <w:jc w:val="center"/>
        <w:rPr>
          <w:b/>
        </w:rPr>
      </w:pPr>
      <w:bookmarkStart w:id="11" w:name="_Toc436115266"/>
      <w:r w:rsidRPr="00E85FD0">
        <w:rPr>
          <w:b/>
        </w:rPr>
        <w:t>Section IV</w:t>
      </w:r>
      <w:bookmarkEnd w:id="11"/>
    </w:p>
    <w:p w14:paraId="3C33577E" w14:textId="77777777" w:rsidR="00F67365" w:rsidRPr="00E85FD0" w:rsidRDefault="009F2135" w:rsidP="00E85FD0">
      <w:pPr>
        <w:pStyle w:val="SingleTxtG"/>
        <w:jc w:val="center"/>
        <w:rPr>
          <w:b/>
        </w:rPr>
      </w:pPr>
      <w:bookmarkStart w:id="12" w:name="_Toc436115267"/>
      <w:r w:rsidRPr="00E85FD0">
        <w:rPr>
          <w:b/>
        </w:rPr>
        <w:t>Minimum requirements, requirements for installation and performance tests for Inland AIS equipment in inland navigation</w:t>
      </w:r>
      <w:bookmarkEnd w:id="12"/>
    </w:p>
    <w:p w14:paraId="200B8DC8" w14:textId="246C9BB9" w:rsidR="00F67365" w:rsidRDefault="00A5028E" w:rsidP="00F81233">
      <w:pPr>
        <w:pStyle w:val="SingleTxtG"/>
      </w:pPr>
      <w:r>
        <w:tab/>
      </w:r>
      <w:r w:rsidR="009F2135" w:rsidRPr="009F2135">
        <w:t>This part is only applicable in Zone R.</w:t>
      </w:r>
    </w:p>
    <w:p w14:paraId="1DDFB10A" w14:textId="0B461492" w:rsidR="00F67365" w:rsidRPr="00827872" w:rsidRDefault="009F2135" w:rsidP="00827872">
      <w:pPr>
        <w:pStyle w:val="SingleTxtG"/>
        <w:jc w:val="center"/>
        <w:rPr>
          <w:b/>
        </w:rPr>
      </w:pPr>
      <w:r w:rsidRPr="00827872">
        <w:rPr>
          <w:b/>
        </w:rPr>
        <w:t>Article 1</w:t>
      </w:r>
      <w:r w:rsidR="00827872">
        <w:rPr>
          <w:b/>
        </w:rPr>
        <w:br/>
      </w:r>
      <w:r w:rsidRPr="00827872">
        <w:rPr>
          <w:b/>
        </w:rPr>
        <w:t>Approval of Inland AIS equipment</w:t>
      </w:r>
    </w:p>
    <w:p w14:paraId="362D6E05" w14:textId="759ED442" w:rsidR="00F67365" w:rsidRDefault="00A5028E" w:rsidP="00F81233">
      <w:pPr>
        <w:pStyle w:val="SingleTxtG"/>
      </w:pPr>
      <w:r>
        <w:tab/>
      </w:r>
      <w:r w:rsidR="009F2135" w:rsidRPr="009F2135">
        <w:t xml:space="preserve">Inland AIS equipment must comply with the requirements of the Test Standard, edition 2.0, to </w:t>
      </w:r>
      <w:proofErr w:type="gramStart"/>
      <w:r w:rsidR="009F2135" w:rsidRPr="009F2135">
        <w:t>be found</w:t>
      </w:r>
      <w:proofErr w:type="gramEnd"/>
      <w:r w:rsidR="009F2135" w:rsidRPr="009F2135">
        <w:t xml:space="preserve"> in the CCNR resolution 2007-I-15. Compliance </w:t>
      </w:r>
      <w:proofErr w:type="gramStart"/>
      <w:r w:rsidR="009F2135" w:rsidRPr="009F2135">
        <w:t>is certified</w:t>
      </w:r>
      <w:proofErr w:type="gramEnd"/>
      <w:r w:rsidR="009F2135" w:rsidRPr="009F2135">
        <w:t xml:space="preserve"> by an examination of type approval by a competent authority.</w:t>
      </w:r>
    </w:p>
    <w:p w14:paraId="2BBD76D5" w14:textId="1C0D4AA5" w:rsidR="00F67365" w:rsidRPr="00827872" w:rsidRDefault="009F2135" w:rsidP="00827872">
      <w:pPr>
        <w:pStyle w:val="SingleTxtG"/>
        <w:jc w:val="center"/>
        <w:rPr>
          <w:b/>
        </w:rPr>
      </w:pPr>
      <w:r w:rsidRPr="00827872">
        <w:rPr>
          <w:b/>
        </w:rPr>
        <w:t xml:space="preserve">Article </w:t>
      </w:r>
      <w:proofErr w:type="gramStart"/>
      <w:r w:rsidRPr="00827872">
        <w:rPr>
          <w:b/>
        </w:rPr>
        <w:t>2</w:t>
      </w:r>
      <w:proofErr w:type="gramEnd"/>
      <w:r w:rsidR="00827872">
        <w:rPr>
          <w:b/>
        </w:rPr>
        <w:br/>
      </w:r>
      <w:r w:rsidRPr="00827872">
        <w:rPr>
          <w:b/>
        </w:rPr>
        <w:t>Installation and performance tests of shipborne Inland AIS equipment</w:t>
      </w:r>
    </w:p>
    <w:p w14:paraId="5EA20D9B" w14:textId="6941CFD3" w:rsidR="00F67365" w:rsidRDefault="00A5028E" w:rsidP="00F81233">
      <w:pPr>
        <w:pStyle w:val="SingleTxtG"/>
      </w:pPr>
      <w:r>
        <w:tab/>
      </w:r>
      <w:r w:rsidR="009F2135" w:rsidRPr="009F2135">
        <w:t xml:space="preserve">The following conditions are to </w:t>
      </w:r>
      <w:proofErr w:type="gramStart"/>
      <w:r w:rsidR="009F2135" w:rsidRPr="009F2135">
        <w:t>be complied</w:t>
      </w:r>
      <w:proofErr w:type="gramEnd"/>
      <w:r w:rsidR="009F2135" w:rsidRPr="009F2135">
        <w:t xml:space="preserve"> with when installing shipborne Inland AIS equipment:</w:t>
      </w:r>
    </w:p>
    <w:p w14:paraId="76513898" w14:textId="77777777" w:rsidR="00F67365" w:rsidRDefault="009F2135" w:rsidP="00F81233">
      <w:pPr>
        <w:pStyle w:val="SingleTxtG"/>
      </w:pPr>
      <w:proofErr w:type="gramStart"/>
      <w:r w:rsidRPr="009F2135">
        <w:t>1.</w:t>
      </w:r>
      <w:r w:rsidRPr="009F2135">
        <w:tab/>
        <w:t>Shipboard Inland AIS equipment can only be installed by specialist firms approved by the competent authority</w:t>
      </w:r>
      <w:proofErr w:type="gramEnd"/>
      <w:r w:rsidRPr="009F2135">
        <w:t xml:space="preserve">. </w:t>
      </w:r>
    </w:p>
    <w:p w14:paraId="696A537F" w14:textId="77777777" w:rsidR="00F67365" w:rsidRDefault="009F2135" w:rsidP="00F81233">
      <w:pPr>
        <w:pStyle w:val="SingleTxtG"/>
      </w:pPr>
      <w:r w:rsidRPr="009F2135">
        <w:t>2.</w:t>
      </w:r>
      <w:r w:rsidRPr="009F2135">
        <w:tab/>
        <w:t xml:space="preserve">The Inland AIS equipment </w:t>
      </w:r>
      <w:proofErr w:type="gramStart"/>
      <w:r w:rsidRPr="009F2135">
        <w:t>must be installed</w:t>
      </w:r>
      <w:proofErr w:type="gramEnd"/>
      <w:r w:rsidRPr="009F2135">
        <w:t xml:space="preserve"> in the wheelhouse or other readily accessible location.</w:t>
      </w:r>
    </w:p>
    <w:p w14:paraId="68080A44" w14:textId="77777777" w:rsidR="00F67365" w:rsidRDefault="009F2135" w:rsidP="003338BB">
      <w:pPr>
        <w:pStyle w:val="SingleTxtG"/>
        <w:keepNext/>
        <w:keepLines/>
      </w:pPr>
      <w:r w:rsidRPr="009F2135">
        <w:lastRenderedPageBreak/>
        <w:t>3.</w:t>
      </w:r>
      <w:r w:rsidRPr="009F2135">
        <w:tab/>
        <w:t>The functionality of an MKD (integrated capture and display device) must be accessible to the boatmaster. The warning and Inland AIS equipment status information must be located within the helmsman's direct field of view. Other devices used for navigation purposes may however take priority as regards their direct visibility. All warning indicator lights must remain visible after installation.</w:t>
      </w:r>
    </w:p>
    <w:p w14:paraId="7576D695" w14:textId="77777777" w:rsidR="00F67365" w:rsidRDefault="009F2135" w:rsidP="00F81233">
      <w:pPr>
        <w:pStyle w:val="SingleTxtG"/>
      </w:pPr>
      <w:r w:rsidRPr="009F2135">
        <w:t>4.</w:t>
      </w:r>
      <w:r w:rsidRPr="009F2135">
        <w:tab/>
        <w:t xml:space="preserve">It must be possible to establish visually whether the equipment is operating. The equipment </w:t>
      </w:r>
      <w:proofErr w:type="gramStart"/>
      <w:r w:rsidRPr="009F2135">
        <w:t>must be permanently supplied with electric power by means of an uninterrupted power supply circuit with its own fuse protection and connected directly to this power supply</w:t>
      </w:r>
      <w:proofErr w:type="gramEnd"/>
      <w:r w:rsidRPr="009F2135">
        <w:t>.</w:t>
      </w:r>
    </w:p>
    <w:p w14:paraId="543055B8" w14:textId="438AD9FC" w:rsidR="00766202" w:rsidRDefault="009F2135" w:rsidP="00F81233">
      <w:pPr>
        <w:pStyle w:val="SingleTxtG"/>
      </w:pPr>
      <w:r w:rsidRPr="009F2135">
        <w:t>5.</w:t>
      </w:r>
      <w:r w:rsidRPr="009F2135">
        <w:tab/>
        <w:t xml:space="preserve">Inland AIS equipment antennas must be installed and connected to the stations </w:t>
      </w:r>
      <w:proofErr w:type="gramStart"/>
      <w:r w:rsidRPr="009F2135">
        <w:t>so as to</w:t>
      </w:r>
      <w:proofErr w:type="gramEnd"/>
      <w:r w:rsidRPr="009F2135">
        <w:t xml:space="preserve"> ensure that these stations operate reliably under all normal conditions of use. Other equipment </w:t>
      </w:r>
      <w:proofErr w:type="gramStart"/>
      <w:r w:rsidRPr="009F2135">
        <w:t>may only be connected</w:t>
      </w:r>
      <w:proofErr w:type="gramEnd"/>
      <w:r w:rsidRPr="009F2135">
        <w:t xml:space="preserve"> if the interfaces of the two equipment are compatible.</w:t>
      </w:r>
    </w:p>
    <w:p w14:paraId="7EF345D8" w14:textId="5657800A" w:rsidR="009F2135" w:rsidRDefault="009F2135" w:rsidP="005B351B">
      <w:pPr>
        <w:pStyle w:val="SingleTxtG"/>
      </w:pPr>
      <w:r w:rsidRPr="009F2135">
        <w:t>6.</w:t>
      </w:r>
      <w:r w:rsidRPr="009F2135">
        <w:tab/>
        <w:t xml:space="preserve">All that </w:t>
      </w:r>
      <w:proofErr w:type="gramStart"/>
      <w:r w:rsidRPr="009F2135">
        <w:t>is permitted to be connected</w:t>
      </w:r>
      <w:proofErr w:type="gramEnd"/>
      <w:r w:rsidRPr="009F2135">
        <w:t xml:space="preserve"> to the Inland AIS equipment are type-approved external sensors. External sensors connected to the Inland AIS equipment must be type-approved in accordance with the following maritime Standards: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9F2135" w:rsidRPr="00A5028E" w14:paraId="4BF4E686" w14:textId="77777777" w:rsidTr="00A5028E">
        <w:trPr>
          <w:tblHeader/>
        </w:trPr>
        <w:tc>
          <w:tcPr>
            <w:tcW w:w="2456" w:type="dxa"/>
            <w:tcBorders>
              <w:top w:val="single" w:sz="4" w:space="0" w:color="auto"/>
              <w:bottom w:val="single" w:sz="12" w:space="0" w:color="auto"/>
            </w:tcBorders>
            <w:shd w:val="clear" w:color="auto" w:fill="auto"/>
            <w:vAlign w:val="bottom"/>
          </w:tcPr>
          <w:p w14:paraId="77CFF381" w14:textId="77777777" w:rsidR="009F2135" w:rsidRPr="00A5028E" w:rsidRDefault="009F2135" w:rsidP="00A5028E">
            <w:pPr>
              <w:pStyle w:val="SingleTxtG"/>
              <w:suppressAutoHyphens w:val="0"/>
              <w:spacing w:before="80" w:after="80" w:line="200" w:lineRule="exact"/>
              <w:ind w:left="0" w:right="113"/>
              <w:jc w:val="left"/>
              <w:rPr>
                <w:i/>
                <w:sz w:val="16"/>
              </w:rPr>
            </w:pPr>
            <w:r w:rsidRPr="00A5028E">
              <w:rPr>
                <w:i/>
                <w:sz w:val="16"/>
              </w:rPr>
              <w:t>Sensor</w:t>
            </w:r>
          </w:p>
        </w:tc>
        <w:tc>
          <w:tcPr>
            <w:tcW w:w="2457" w:type="dxa"/>
            <w:tcBorders>
              <w:top w:val="single" w:sz="4" w:space="0" w:color="auto"/>
              <w:bottom w:val="single" w:sz="12" w:space="0" w:color="auto"/>
            </w:tcBorders>
            <w:shd w:val="clear" w:color="auto" w:fill="auto"/>
            <w:vAlign w:val="bottom"/>
          </w:tcPr>
          <w:p w14:paraId="7FBD9DC9" w14:textId="77777777" w:rsidR="009F2135" w:rsidRPr="00A5028E" w:rsidRDefault="009F2135" w:rsidP="00A5028E">
            <w:pPr>
              <w:pStyle w:val="SingleTxtG"/>
              <w:suppressAutoHyphens w:val="0"/>
              <w:spacing w:before="80" w:after="80" w:line="200" w:lineRule="exact"/>
              <w:ind w:left="0" w:right="113"/>
              <w:jc w:val="right"/>
              <w:rPr>
                <w:i/>
                <w:sz w:val="16"/>
              </w:rPr>
            </w:pPr>
            <w:r w:rsidRPr="00A5028E">
              <w:rPr>
                <w:i/>
                <w:sz w:val="16"/>
              </w:rPr>
              <w:t>Minimum Performance Standard (IMO)</w:t>
            </w:r>
          </w:p>
        </w:tc>
        <w:tc>
          <w:tcPr>
            <w:tcW w:w="2457" w:type="dxa"/>
            <w:tcBorders>
              <w:top w:val="single" w:sz="4" w:space="0" w:color="auto"/>
              <w:bottom w:val="single" w:sz="12" w:space="0" w:color="auto"/>
            </w:tcBorders>
            <w:shd w:val="clear" w:color="auto" w:fill="auto"/>
            <w:vAlign w:val="bottom"/>
          </w:tcPr>
          <w:p w14:paraId="285B2706" w14:textId="77777777" w:rsidR="009F2135" w:rsidRPr="00A5028E" w:rsidRDefault="009F2135" w:rsidP="00A5028E">
            <w:pPr>
              <w:pStyle w:val="SingleTxtG"/>
              <w:suppressAutoHyphens w:val="0"/>
              <w:spacing w:before="80" w:after="80" w:line="200" w:lineRule="exact"/>
              <w:ind w:left="0" w:right="113"/>
              <w:jc w:val="right"/>
              <w:rPr>
                <w:i/>
                <w:sz w:val="16"/>
              </w:rPr>
            </w:pPr>
            <w:r w:rsidRPr="00A5028E">
              <w:rPr>
                <w:i/>
                <w:sz w:val="16"/>
              </w:rPr>
              <w:t>ISO/IEC Standard</w:t>
            </w:r>
          </w:p>
        </w:tc>
      </w:tr>
      <w:tr w:rsidR="009F2135" w:rsidRPr="00A5028E" w14:paraId="7B44B6A3" w14:textId="77777777" w:rsidTr="00A5028E">
        <w:tc>
          <w:tcPr>
            <w:tcW w:w="2456" w:type="dxa"/>
            <w:tcBorders>
              <w:top w:val="single" w:sz="12" w:space="0" w:color="auto"/>
            </w:tcBorders>
            <w:shd w:val="clear" w:color="auto" w:fill="auto"/>
          </w:tcPr>
          <w:p w14:paraId="0D3C7840" w14:textId="77777777" w:rsidR="009F2135" w:rsidRPr="00A5028E" w:rsidRDefault="009F2135" w:rsidP="00A5028E">
            <w:pPr>
              <w:pStyle w:val="SingleTxtG"/>
              <w:suppressAutoHyphens w:val="0"/>
              <w:spacing w:before="40" w:after="40" w:line="220" w:lineRule="exact"/>
              <w:ind w:left="0" w:right="113"/>
              <w:jc w:val="left"/>
              <w:rPr>
                <w:sz w:val="18"/>
              </w:rPr>
            </w:pPr>
            <w:r w:rsidRPr="00A5028E">
              <w:rPr>
                <w:sz w:val="18"/>
              </w:rPr>
              <w:t>GPS</w:t>
            </w:r>
          </w:p>
        </w:tc>
        <w:tc>
          <w:tcPr>
            <w:tcW w:w="2457" w:type="dxa"/>
            <w:tcBorders>
              <w:top w:val="single" w:sz="12" w:space="0" w:color="auto"/>
            </w:tcBorders>
            <w:shd w:val="clear" w:color="auto" w:fill="auto"/>
            <w:vAlign w:val="bottom"/>
          </w:tcPr>
          <w:p w14:paraId="63DDF35C" w14:textId="77777777" w:rsidR="009F2135" w:rsidRPr="00A5028E" w:rsidRDefault="009F2135" w:rsidP="00A5028E">
            <w:pPr>
              <w:pStyle w:val="SingleTxtG"/>
              <w:suppressAutoHyphens w:val="0"/>
              <w:spacing w:before="40" w:after="40" w:line="220" w:lineRule="exact"/>
              <w:ind w:left="0" w:right="113"/>
              <w:jc w:val="right"/>
              <w:rPr>
                <w:sz w:val="18"/>
              </w:rPr>
            </w:pPr>
            <w:r w:rsidRPr="00A5028E">
              <w:rPr>
                <w:sz w:val="18"/>
              </w:rPr>
              <w:t>MSC.112(73)</w:t>
            </w:r>
            <w:r w:rsidRPr="00A5028E">
              <w:rPr>
                <w:sz w:val="18"/>
                <w:vertAlign w:val="superscript"/>
              </w:rPr>
              <w:footnoteReference w:id="7"/>
            </w:r>
          </w:p>
        </w:tc>
        <w:tc>
          <w:tcPr>
            <w:tcW w:w="2457" w:type="dxa"/>
            <w:tcBorders>
              <w:top w:val="single" w:sz="12" w:space="0" w:color="auto"/>
            </w:tcBorders>
            <w:shd w:val="clear" w:color="auto" w:fill="auto"/>
            <w:vAlign w:val="bottom"/>
          </w:tcPr>
          <w:p w14:paraId="54CDEE88" w14:textId="77777777" w:rsidR="009F2135" w:rsidRPr="00A5028E" w:rsidRDefault="009F2135" w:rsidP="00A5028E">
            <w:pPr>
              <w:pStyle w:val="SingleTxtG"/>
              <w:suppressAutoHyphens w:val="0"/>
              <w:spacing w:before="40" w:after="40" w:line="220" w:lineRule="exact"/>
              <w:ind w:left="0" w:right="113"/>
              <w:jc w:val="right"/>
              <w:rPr>
                <w:sz w:val="18"/>
              </w:rPr>
            </w:pPr>
            <w:r w:rsidRPr="00A5028E">
              <w:rPr>
                <w:sz w:val="18"/>
              </w:rPr>
              <w:t>IEC 61108-1 : 2003</w:t>
            </w:r>
          </w:p>
        </w:tc>
      </w:tr>
      <w:tr w:rsidR="009F2135" w:rsidRPr="00A5028E" w14:paraId="4FE2C27B" w14:textId="77777777" w:rsidTr="00A5028E">
        <w:tc>
          <w:tcPr>
            <w:tcW w:w="2456" w:type="dxa"/>
            <w:shd w:val="clear" w:color="auto" w:fill="auto"/>
          </w:tcPr>
          <w:p w14:paraId="161F8640" w14:textId="77777777" w:rsidR="009F2135" w:rsidRPr="00A5028E" w:rsidRDefault="009F2135" w:rsidP="00A5028E">
            <w:pPr>
              <w:pStyle w:val="SingleTxtG"/>
              <w:suppressAutoHyphens w:val="0"/>
              <w:spacing w:before="40" w:after="40" w:line="220" w:lineRule="exact"/>
              <w:ind w:left="0" w:right="113"/>
              <w:jc w:val="left"/>
              <w:rPr>
                <w:sz w:val="18"/>
              </w:rPr>
            </w:pPr>
            <w:r w:rsidRPr="00A5028E">
              <w:rPr>
                <w:sz w:val="18"/>
              </w:rPr>
              <w:t>DGPS/DGLONASS</w:t>
            </w:r>
          </w:p>
        </w:tc>
        <w:tc>
          <w:tcPr>
            <w:tcW w:w="2457" w:type="dxa"/>
            <w:shd w:val="clear" w:color="auto" w:fill="auto"/>
            <w:vAlign w:val="bottom"/>
          </w:tcPr>
          <w:p w14:paraId="526E029E" w14:textId="77777777" w:rsidR="009F2135" w:rsidRPr="00A5028E" w:rsidRDefault="009F2135" w:rsidP="00A5028E">
            <w:pPr>
              <w:pStyle w:val="SingleTxtG"/>
              <w:suppressAutoHyphens w:val="0"/>
              <w:spacing w:before="40" w:after="40" w:line="220" w:lineRule="exact"/>
              <w:ind w:left="0" w:right="113"/>
              <w:jc w:val="right"/>
              <w:rPr>
                <w:sz w:val="18"/>
              </w:rPr>
            </w:pPr>
            <w:r w:rsidRPr="00A5028E">
              <w:rPr>
                <w:sz w:val="18"/>
              </w:rPr>
              <w:t>MSC.114(73)</w:t>
            </w:r>
            <w:r w:rsidRPr="00A5028E">
              <w:rPr>
                <w:sz w:val="18"/>
                <w:vertAlign w:val="superscript"/>
              </w:rPr>
              <w:footnoteReference w:id="8"/>
            </w:r>
          </w:p>
        </w:tc>
        <w:tc>
          <w:tcPr>
            <w:tcW w:w="2457" w:type="dxa"/>
            <w:shd w:val="clear" w:color="auto" w:fill="auto"/>
            <w:vAlign w:val="bottom"/>
          </w:tcPr>
          <w:p w14:paraId="6167382B" w14:textId="77777777" w:rsidR="009F2135" w:rsidRPr="00A5028E" w:rsidRDefault="009F2135" w:rsidP="00A5028E">
            <w:pPr>
              <w:pStyle w:val="SingleTxtG"/>
              <w:suppressAutoHyphens w:val="0"/>
              <w:spacing w:before="40" w:after="40" w:line="220" w:lineRule="exact"/>
              <w:ind w:left="0" w:right="113"/>
              <w:jc w:val="right"/>
              <w:rPr>
                <w:sz w:val="18"/>
              </w:rPr>
            </w:pPr>
            <w:r w:rsidRPr="00A5028E">
              <w:rPr>
                <w:sz w:val="18"/>
              </w:rPr>
              <w:t>IEC 61108-4 : 2004</w:t>
            </w:r>
          </w:p>
        </w:tc>
      </w:tr>
      <w:tr w:rsidR="009F2135" w:rsidRPr="00A5028E" w14:paraId="79FC86F2" w14:textId="77777777" w:rsidTr="00A5028E">
        <w:tc>
          <w:tcPr>
            <w:tcW w:w="2456" w:type="dxa"/>
            <w:shd w:val="clear" w:color="auto" w:fill="auto"/>
          </w:tcPr>
          <w:p w14:paraId="494BC1FF" w14:textId="77777777" w:rsidR="009F2135" w:rsidRPr="00A5028E" w:rsidRDefault="009F2135" w:rsidP="00A5028E">
            <w:pPr>
              <w:pStyle w:val="SingleTxtG"/>
              <w:suppressAutoHyphens w:val="0"/>
              <w:spacing w:before="40" w:after="40" w:line="220" w:lineRule="exact"/>
              <w:ind w:left="0" w:right="113"/>
              <w:jc w:val="left"/>
              <w:rPr>
                <w:sz w:val="18"/>
              </w:rPr>
            </w:pPr>
            <w:r w:rsidRPr="00A5028E">
              <w:rPr>
                <w:sz w:val="18"/>
              </w:rPr>
              <w:t>Galileo</w:t>
            </w:r>
          </w:p>
        </w:tc>
        <w:tc>
          <w:tcPr>
            <w:tcW w:w="2457" w:type="dxa"/>
            <w:shd w:val="clear" w:color="auto" w:fill="auto"/>
            <w:vAlign w:val="bottom"/>
          </w:tcPr>
          <w:p w14:paraId="7A5E4141" w14:textId="77777777" w:rsidR="009F2135" w:rsidRPr="00A5028E" w:rsidRDefault="009F2135" w:rsidP="00A5028E">
            <w:pPr>
              <w:pStyle w:val="SingleTxtG"/>
              <w:suppressAutoHyphens w:val="0"/>
              <w:spacing w:before="40" w:after="40" w:line="220" w:lineRule="exact"/>
              <w:ind w:left="0" w:right="113"/>
              <w:jc w:val="right"/>
              <w:rPr>
                <w:sz w:val="18"/>
              </w:rPr>
            </w:pPr>
            <w:r w:rsidRPr="00A5028E">
              <w:rPr>
                <w:sz w:val="18"/>
              </w:rPr>
              <w:t>MSC.233(82)</w:t>
            </w:r>
            <w:r w:rsidRPr="00A5028E">
              <w:rPr>
                <w:sz w:val="18"/>
                <w:vertAlign w:val="superscript"/>
              </w:rPr>
              <w:footnoteReference w:id="9"/>
            </w:r>
          </w:p>
        </w:tc>
        <w:tc>
          <w:tcPr>
            <w:tcW w:w="2457" w:type="dxa"/>
            <w:shd w:val="clear" w:color="auto" w:fill="auto"/>
            <w:vAlign w:val="bottom"/>
          </w:tcPr>
          <w:p w14:paraId="0CFA50DB" w14:textId="77777777" w:rsidR="009F2135" w:rsidRPr="00A5028E" w:rsidRDefault="009F2135" w:rsidP="00A5028E">
            <w:pPr>
              <w:pStyle w:val="SingleTxtG"/>
              <w:suppressAutoHyphens w:val="0"/>
              <w:spacing w:before="40" w:after="40" w:line="220" w:lineRule="exact"/>
              <w:ind w:left="0" w:right="113"/>
              <w:jc w:val="right"/>
              <w:rPr>
                <w:sz w:val="18"/>
              </w:rPr>
            </w:pPr>
            <w:r w:rsidRPr="00A5028E">
              <w:rPr>
                <w:sz w:val="18"/>
              </w:rPr>
              <w:t>IEC 61108-3 : 2010</w:t>
            </w:r>
          </w:p>
        </w:tc>
      </w:tr>
      <w:tr w:rsidR="009F2135" w:rsidRPr="00A5028E" w14:paraId="538F449B" w14:textId="77777777" w:rsidTr="00A5028E">
        <w:tc>
          <w:tcPr>
            <w:tcW w:w="2456" w:type="dxa"/>
            <w:shd w:val="clear" w:color="auto" w:fill="auto"/>
          </w:tcPr>
          <w:p w14:paraId="67D1E441" w14:textId="77777777" w:rsidR="009F2135" w:rsidRPr="00A5028E" w:rsidRDefault="009F2135" w:rsidP="00A5028E">
            <w:pPr>
              <w:pStyle w:val="SingleTxtG"/>
              <w:suppressAutoHyphens w:val="0"/>
              <w:spacing w:before="40" w:after="40" w:line="220" w:lineRule="exact"/>
              <w:ind w:left="0" w:right="113"/>
              <w:jc w:val="left"/>
              <w:rPr>
                <w:sz w:val="18"/>
              </w:rPr>
            </w:pPr>
            <w:r w:rsidRPr="00A5028E">
              <w:rPr>
                <w:sz w:val="18"/>
              </w:rPr>
              <w:t>Heading/GPS Compass</w:t>
            </w:r>
          </w:p>
        </w:tc>
        <w:tc>
          <w:tcPr>
            <w:tcW w:w="2457" w:type="dxa"/>
            <w:shd w:val="clear" w:color="auto" w:fill="auto"/>
            <w:vAlign w:val="bottom"/>
          </w:tcPr>
          <w:p w14:paraId="7A2E72A4" w14:textId="77777777" w:rsidR="009F2135" w:rsidRPr="00A5028E" w:rsidRDefault="009F2135" w:rsidP="00A5028E">
            <w:pPr>
              <w:pStyle w:val="SingleTxtG"/>
              <w:suppressAutoHyphens w:val="0"/>
              <w:spacing w:before="40" w:after="40" w:line="220" w:lineRule="exact"/>
              <w:ind w:left="0" w:right="113"/>
              <w:jc w:val="right"/>
              <w:rPr>
                <w:sz w:val="18"/>
              </w:rPr>
            </w:pPr>
            <w:r w:rsidRPr="00A5028E">
              <w:rPr>
                <w:sz w:val="18"/>
              </w:rPr>
              <w:t>MSC.116(73)</w:t>
            </w:r>
            <w:r w:rsidRPr="00A5028E">
              <w:rPr>
                <w:sz w:val="18"/>
                <w:vertAlign w:val="superscript"/>
              </w:rPr>
              <w:footnoteReference w:id="10"/>
            </w:r>
          </w:p>
        </w:tc>
        <w:tc>
          <w:tcPr>
            <w:tcW w:w="2457" w:type="dxa"/>
            <w:shd w:val="clear" w:color="auto" w:fill="auto"/>
            <w:vAlign w:val="bottom"/>
          </w:tcPr>
          <w:p w14:paraId="62F10665" w14:textId="77777777" w:rsidR="009F2135" w:rsidRPr="00A5028E" w:rsidRDefault="009F2135" w:rsidP="00A5028E">
            <w:pPr>
              <w:pStyle w:val="SingleTxtG"/>
              <w:suppressAutoHyphens w:val="0"/>
              <w:spacing w:before="40" w:after="40" w:line="220" w:lineRule="exact"/>
              <w:ind w:left="0" w:right="113"/>
              <w:jc w:val="right"/>
              <w:rPr>
                <w:sz w:val="18"/>
              </w:rPr>
            </w:pPr>
            <w:r w:rsidRPr="00A5028E">
              <w:rPr>
                <w:sz w:val="18"/>
              </w:rPr>
              <w:t>ISO 22090-3 : 2004</w:t>
            </w:r>
            <w:r w:rsidRPr="00A5028E">
              <w:rPr>
                <w:rFonts w:eastAsia="Batang"/>
                <w:sz w:val="18"/>
              </w:rPr>
              <w:br/>
            </w:r>
            <w:r w:rsidRPr="00A5028E">
              <w:rPr>
                <w:sz w:val="18"/>
              </w:rPr>
              <w:t>Part 3: GNSS principles</w:t>
            </w:r>
          </w:p>
        </w:tc>
      </w:tr>
    </w:tbl>
    <w:p w14:paraId="46C9D02B" w14:textId="77777777" w:rsidR="00F67365" w:rsidRDefault="009F2135" w:rsidP="00766202">
      <w:pPr>
        <w:pStyle w:val="SingleTxtG"/>
        <w:spacing w:before="120"/>
      </w:pPr>
      <w:r w:rsidRPr="009F2135">
        <w:t>7.</w:t>
      </w:r>
      <w:r w:rsidRPr="009F2135">
        <w:tab/>
        <w:t>Prior to post-installation commissioning, in the event of the inland navigation vessel certificate being renewed or extended and any conversion of the vessel likely to affect the conditions in which these equipment operate, a competent authority or approved specialist firm must undertake an installation check and operating test.</w:t>
      </w:r>
    </w:p>
    <w:p w14:paraId="11556EE5" w14:textId="77777777" w:rsidR="00F67365" w:rsidRDefault="009F2135" w:rsidP="00F81233">
      <w:pPr>
        <w:pStyle w:val="SingleTxtG"/>
      </w:pPr>
      <w:r w:rsidRPr="009F2135">
        <w:t>8.</w:t>
      </w:r>
      <w:r w:rsidRPr="009F2135">
        <w:tab/>
        <w:t>The approved specialist firm that has carried out the installation and operating test issues a certificate in accordance with Annex 5, Section VI, regarding the specific characteristics and correct operation of the Inland AIS equipment.</w:t>
      </w:r>
    </w:p>
    <w:p w14:paraId="38B445EB" w14:textId="77777777" w:rsidR="00F67365" w:rsidRDefault="009F2135" w:rsidP="00F81233">
      <w:pPr>
        <w:pStyle w:val="SingleTxtG"/>
      </w:pPr>
      <w:r w:rsidRPr="009F2135">
        <w:t>9.</w:t>
      </w:r>
      <w:r w:rsidRPr="009F2135">
        <w:tab/>
        <w:t xml:space="preserve">The certificate </w:t>
      </w:r>
      <w:proofErr w:type="gramStart"/>
      <w:r w:rsidRPr="009F2135">
        <w:t>must be permanently retained</w:t>
      </w:r>
      <w:proofErr w:type="gramEnd"/>
      <w:r w:rsidRPr="009F2135">
        <w:t xml:space="preserve"> </w:t>
      </w:r>
      <w:proofErr w:type="spellStart"/>
      <w:r w:rsidRPr="009F2135">
        <w:t>onboard</w:t>
      </w:r>
      <w:proofErr w:type="spellEnd"/>
      <w:r w:rsidRPr="009F2135">
        <w:t>.</w:t>
      </w:r>
    </w:p>
    <w:p w14:paraId="30075C6A" w14:textId="77777777" w:rsidR="00F67365" w:rsidRDefault="009F2135" w:rsidP="00F81233">
      <w:pPr>
        <w:pStyle w:val="SingleTxtG"/>
      </w:pPr>
      <w:r w:rsidRPr="009F2135">
        <w:t>10.</w:t>
      </w:r>
      <w:r w:rsidRPr="009F2135">
        <w:tab/>
        <w:t xml:space="preserve">User instructions </w:t>
      </w:r>
      <w:proofErr w:type="gramStart"/>
      <w:r w:rsidRPr="009F2135">
        <w:t>must be handed over</w:t>
      </w:r>
      <w:proofErr w:type="gramEnd"/>
      <w:r w:rsidRPr="009F2135">
        <w:t xml:space="preserve"> for retention on board. This </w:t>
      </w:r>
      <w:proofErr w:type="gramStart"/>
      <w:r w:rsidRPr="009F2135">
        <w:t>must be mentioned</w:t>
      </w:r>
      <w:proofErr w:type="gramEnd"/>
      <w:r w:rsidRPr="009F2135">
        <w:t xml:space="preserve"> on the shipboard installation certificate.</w:t>
      </w:r>
    </w:p>
    <w:p w14:paraId="1B5D3383" w14:textId="77777777" w:rsidR="00AC5AF5" w:rsidRDefault="00AC5AF5">
      <w:pPr>
        <w:suppressAutoHyphens w:val="0"/>
        <w:spacing w:line="240" w:lineRule="auto"/>
        <w:rPr>
          <w:b/>
        </w:rPr>
      </w:pPr>
      <w:bookmarkStart w:id="13" w:name="_Toc436115268"/>
      <w:r>
        <w:rPr>
          <w:b/>
        </w:rPr>
        <w:br w:type="page"/>
      </w:r>
    </w:p>
    <w:p w14:paraId="09FF5819" w14:textId="09263F75" w:rsidR="009F2135" w:rsidRPr="00E85FD0" w:rsidRDefault="009F2135" w:rsidP="00E85FD0">
      <w:pPr>
        <w:pStyle w:val="SingleTxtG"/>
        <w:jc w:val="center"/>
        <w:rPr>
          <w:b/>
        </w:rPr>
      </w:pPr>
      <w:r w:rsidRPr="00E85FD0">
        <w:rPr>
          <w:b/>
        </w:rPr>
        <w:lastRenderedPageBreak/>
        <w:t>Section V</w:t>
      </w:r>
      <w:bookmarkEnd w:id="13"/>
    </w:p>
    <w:p w14:paraId="297FE9B2" w14:textId="77777777" w:rsidR="00F67365" w:rsidRPr="00E85FD0" w:rsidRDefault="009F2135" w:rsidP="00E85FD0">
      <w:pPr>
        <w:pStyle w:val="SingleTxtG"/>
        <w:jc w:val="center"/>
        <w:rPr>
          <w:b/>
        </w:rPr>
      </w:pPr>
      <w:bookmarkStart w:id="14" w:name="_Toc436115269"/>
      <w:r w:rsidRPr="00E85FD0">
        <w:rPr>
          <w:b/>
        </w:rPr>
        <w:t>Minimum requirements, requirements for installation and performance tests for tachographs in inland navigation</w:t>
      </w:r>
      <w:bookmarkEnd w:id="14"/>
    </w:p>
    <w:p w14:paraId="31F543FC" w14:textId="43F12044" w:rsidR="00F67365" w:rsidRDefault="00A5028E" w:rsidP="00F81233">
      <w:pPr>
        <w:pStyle w:val="SingleTxtG"/>
      </w:pPr>
      <w:r>
        <w:tab/>
      </w:r>
      <w:r w:rsidR="009F2135" w:rsidRPr="009F2135">
        <w:t>This part is only applicable in Zone R.</w:t>
      </w:r>
    </w:p>
    <w:p w14:paraId="471A9F8E" w14:textId="26DC2615" w:rsidR="00F67365" w:rsidRPr="004E0AD2" w:rsidRDefault="009F2135" w:rsidP="004E0AD2">
      <w:pPr>
        <w:pStyle w:val="SingleTxtG"/>
        <w:jc w:val="center"/>
        <w:rPr>
          <w:b/>
        </w:rPr>
      </w:pPr>
      <w:r w:rsidRPr="004E0AD2">
        <w:rPr>
          <w:b/>
        </w:rPr>
        <w:t xml:space="preserve">Article </w:t>
      </w:r>
      <w:proofErr w:type="gramStart"/>
      <w:r w:rsidRPr="004E0AD2">
        <w:rPr>
          <w:b/>
        </w:rPr>
        <w:t>1</w:t>
      </w:r>
      <w:proofErr w:type="gramEnd"/>
      <w:r w:rsidR="004E0AD2">
        <w:rPr>
          <w:b/>
        </w:rPr>
        <w:br/>
      </w:r>
      <w:r w:rsidRPr="004E0AD2">
        <w:rPr>
          <w:b/>
        </w:rPr>
        <w:t>Requirements to be complied with by tachographs</w:t>
      </w:r>
    </w:p>
    <w:p w14:paraId="21011A4F" w14:textId="77777777" w:rsidR="00F67365" w:rsidRDefault="009F2135" w:rsidP="00F81233">
      <w:pPr>
        <w:pStyle w:val="SingleTxtG"/>
      </w:pPr>
      <w:r w:rsidRPr="009F2135">
        <w:t>1.</w:t>
      </w:r>
      <w:r w:rsidRPr="009F2135">
        <w:tab/>
        <w:t>Ascertaining the vessel's navigation time</w:t>
      </w:r>
    </w:p>
    <w:p w14:paraId="3BF5A911" w14:textId="49870795" w:rsidR="00766202" w:rsidRDefault="00A5028E" w:rsidP="00F81233">
      <w:pPr>
        <w:pStyle w:val="SingleTxtG"/>
      </w:pPr>
      <w:r>
        <w:tab/>
      </w:r>
      <w:r w:rsidR="009F2135" w:rsidRPr="009F2135">
        <w:t xml:space="preserve">To determine navigation according to the criterion yes/no, the rotation of the propeller </w:t>
      </w:r>
      <w:proofErr w:type="gramStart"/>
      <w:r w:rsidR="009F2135" w:rsidRPr="009F2135">
        <w:t>must</w:t>
      </w:r>
      <w:r w:rsidR="009F2135" w:rsidRPr="00D16FF2">
        <w:t xml:space="preserve"> </w:t>
      </w:r>
      <w:r w:rsidR="009F2135" w:rsidRPr="009F2135">
        <w:t>be measured</w:t>
      </w:r>
      <w:proofErr w:type="gramEnd"/>
      <w:r w:rsidR="009F2135" w:rsidRPr="009F2135">
        <w:t xml:space="preserve"> at an appropriate place. Where propulsion is other than by propeller, the vessel's movement </w:t>
      </w:r>
      <w:proofErr w:type="gramStart"/>
      <w:r w:rsidR="009F2135" w:rsidRPr="009F2135">
        <w:t>must be ascertained</w:t>
      </w:r>
      <w:proofErr w:type="gramEnd"/>
      <w:r w:rsidR="009F2135" w:rsidRPr="009F2135">
        <w:t xml:space="preserve"> in an equivalent manner at appropriate place. Where there are two or more propeller shafts, it </w:t>
      </w:r>
      <w:proofErr w:type="gramStart"/>
      <w:r w:rsidR="009F2135" w:rsidRPr="009F2135">
        <w:t>must be ensured</w:t>
      </w:r>
      <w:proofErr w:type="gramEnd"/>
      <w:r w:rsidR="009F2135" w:rsidRPr="009F2135">
        <w:t xml:space="preserve"> that recording will operate even if only one of the shafts is turning.</w:t>
      </w:r>
    </w:p>
    <w:p w14:paraId="3F81C05F" w14:textId="71A05760" w:rsidR="00F67365" w:rsidRDefault="009F2135" w:rsidP="00D16FF2">
      <w:pPr>
        <w:pStyle w:val="SingleTxtG"/>
      </w:pPr>
      <w:r w:rsidRPr="009F2135">
        <w:t>2.</w:t>
      </w:r>
      <w:r w:rsidRPr="009F2135">
        <w:tab/>
        <w:t>Vessel identification</w:t>
      </w:r>
    </w:p>
    <w:p w14:paraId="5DC16FCD" w14:textId="63753A31" w:rsidR="00F67365" w:rsidRDefault="00D16FF2" w:rsidP="00F81233">
      <w:pPr>
        <w:pStyle w:val="SingleTxtG"/>
      </w:pPr>
      <w:r>
        <w:tab/>
      </w:r>
      <w:r w:rsidR="009F2135" w:rsidRPr="009F2135">
        <w:t>The unique European vessel identification number or official vessel number must be indelibly recorded on the data medium and be readable from it.</w:t>
      </w:r>
    </w:p>
    <w:p w14:paraId="30D8E3CD" w14:textId="77777777" w:rsidR="00F67365" w:rsidRDefault="009F2135" w:rsidP="00F81233">
      <w:pPr>
        <w:pStyle w:val="SingleTxtG"/>
      </w:pPr>
      <w:r w:rsidRPr="009F2135">
        <w:t>3.</w:t>
      </w:r>
      <w:r w:rsidRPr="009F2135">
        <w:tab/>
        <w:t>Recording on the data medium</w:t>
      </w:r>
    </w:p>
    <w:p w14:paraId="473DE1F6" w14:textId="56946DBC" w:rsidR="00F67365" w:rsidRDefault="00A5028E" w:rsidP="00F81233">
      <w:pPr>
        <w:pStyle w:val="SingleTxtG"/>
      </w:pPr>
      <w:r>
        <w:tab/>
      </w:r>
      <w:r w:rsidR="009F2135" w:rsidRPr="009F2135">
        <w:t xml:space="preserve">The following items of information </w:t>
      </w:r>
      <w:proofErr w:type="gramStart"/>
      <w:r w:rsidR="009F2135" w:rsidRPr="009F2135">
        <w:t>must be recorded</w:t>
      </w:r>
      <w:proofErr w:type="gramEnd"/>
      <w:r w:rsidR="009F2135" w:rsidRPr="009F2135">
        <w:t xml:space="preserve"> on the data medium such as to be tamper-proof and readable from it: the vessel's operating mode, the date and time at which the tachograph was operating and ceased operating, the insertion and removal of the data medium and other actions performed on the device. The tachograph must automatically record the time, insertion and removal of the data medium, the opening and closure of the device as well as any interruption to its power supply.</w:t>
      </w:r>
    </w:p>
    <w:p w14:paraId="59E173DB" w14:textId="77777777" w:rsidR="00F67365" w:rsidRDefault="009F2135" w:rsidP="00F81233">
      <w:pPr>
        <w:pStyle w:val="SingleTxtG"/>
      </w:pPr>
      <w:r w:rsidRPr="009F2135">
        <w:t>4.</w:t>
      </w:r>
      <w:r w:rsidRPr="009F2135">
        <w:tab/>
        <w:t>Recording time per day</w:t>
      </w:r>
    </w:p>
    <w:p w14:paraId="1732945D" w14:textId="1742A85B" w:rsidR="00F67365" w:rsidRDefault="00A5028E" w:rsidP="00F81233">
      <w:pPr>
        <w:pStyle w:val="SingleTxtG"/>
      </w:pPr>
      <w:r>
        <w:tab/>
      </w:r>
      <w:r w:rsidR="009F2135" w:rsidRPr="009F2135">
        <w:t xml:space="preserve">The date and time at which the shaft starts and stops rotating </w:t>
      </w:r>
      <w:proofErr w:type="gramStart"/>
      <w:r w:rsidR="009F2135" w:rsidRPr="009F2135">
        <w:t>must be continuously recorded</w:t>
      </w:r>
      <w:proofErr w:type="gramEnd"/>
      <w:r w:rsidR="009F2135" w:rsidRPr="009F2135">
        <w:t xml:space="preserve"> daily between 00.00 and 24.00.</w:t>
      </w:r>
    </w:p>
    <w:p w14:paraId="60DC536D" w14:textId="77777777" w:rsidR="00F67365" w:rsidRDefault="009F2135" w:rsidP="00F81233">
      <w:pPr>
        <w:pStyle w:val="SingleTxtG"/>
      </w:pPr>
      <w:r w:rsidRPr="009F2135">
        <w:t>5.</w:t>
      </w:r>
      <w:r w:rsidRPr="009F2135">
        <w:tab/>
        <w:t>Reading the recording</w:t>
      </w:r>
    </w:p>
    <w:p w14:paraId="6EB08471" w14:textId="7341637A" w:rsidR="00F67365" w:rsidRDefault="00A5028E" w:rsidP="00F81233">
      <w:pPr>
        <w:pStyle w:val="SingleTxtG"/>
      </w:pPr>
      <w:r>
        <w:tab/>
      </w:r>
      <w:r w:rsidR="009F2135" w:rsidRPr="009F2135">
        <w:t>The recording must be unequivocal, easy to read and clearly comprehensible. It must be possible to read the recording at any moment without any special auxiliary devices.</w:t>
      </w:r>
    </w:p>
    <w:p w14:paraId="194BAB17" w14:textId="77777777" w:rsidR="00F67365" w:rsidRDefault="009F2135" w:rsidP="00F81233">
      <w:pPr>
        <w:pStyle w:val="SingleTxtG"/>
      </w:pPr>
      <w:r w:rsidRPr="009F2135">
        <w:t>6.</w:t>
      </w:r>
      <w:r w:rsidRPr="009F2135">
        <w:tab/>
        <w:t>Printing the recording</w:t>
      </w:r>
    </w:p>
    <w:p w14:paraId="2815E42D" w14:textId="2E9236E8" w:rsidR="00F67365" w:rsidRDefault="00A5028E" w:rsidP="00F81233">
      <w:pPr>
        <w:pStyle w:val="SingleTxtG"/>
      </w:pPr>
      <w:r>
        <w:tab/>
      </w:r>
      <w:r w:rsidR="009F2135" w:rsidRPr="009F2135">
        <w:t xml:space="preserve">It must be possible for the recordings to </w:t>
      </w:r>
      <w:proofErr w:type="gramStart"/>
      <w:r w:rsidR="009F2135" w:rsidRPr="009F2135">
        <w:t>be provided</w:t>
      </w:r>
      <w:proofErr w:type="gramEnd"/>
      <w:r w:rsidR="009F2135" w:rsidRPr="009F2135">
        <w:t xml:space="preserve"> at any time as a readily transparent printout.</w:t>
      </w:r>
    </w:p>
    <w:p w14:paraId="169FB220" w14:textId="77777777" w:rsidR="00F67365" w:rsidRDefault="009F2135" w:rsidP="00F81233">
      <w:pPr>
        <w:pStyle w:val="SingleTxtG"/>
      </w:pPr>
      <w:r w:rsidRPr="009F2135">
        <w:t>7.</w:t>
      </w:r>
      <w:r w:rsidRPr="009F2135">
        <w:tab/>
        <w:t>Security of the recording</w:t>
      </w:r>
    </w:p>
    <w:p w14:paraId="7FD0AA99" w14:textId="3A51383A" w:rsidR="00F67365" w:rsidRDefault="00A5028E" w:rsidP="00F81233">
      <w:pPr>
        <w:pStyle w:val="SingleTxtG"/>
      </w:pPr>
      <w:r>
        <w:tab/>
      </w:r>
      <w:r w:rsidR="009F2135" w:rsidRPr="009F2135">
        <w:t xml:space="preserve">The rotation of the propeller </w:t>
      </w:r>
      <w:proofErr w:type="gramStart"/>
      <w:r w:rsidR="009F2135" w:rsidRPr="009F2135">
        <w:t>must be recorded</w:t>
      </w:r>
      <w:proofErr w:type="gramEnd"/>
      <w:r w:rsidR="009F2135" w:rsidRPr="009F2135">
        <w:t xml:space="preserve"> in a way that cannot be tampered with.</w:t>
      </w:r>
    </w:p>
    <w:p w14:paraId="0ADA427A" w14:textId="77777777" w:rsidR="00F67365" w:rsidRDefault="009F2135" w:rsidP="00B47C77">
      <w:pPr>
        <w:pStyle w:val="SingleTxtG"/>
        <w:keepNext/>
      </w:pPr>
      <w:r w:rsidRPr="009F2135">
        <w:t>8.</w:t>
      </w:r>
      <w:r w:rsidRPr="009F2135">
        <w:tab/>
        <w:t>Accuracy of the recording</w:t>
      </w:r>
    </w:p>
    <w:p w14:paraId="47E60E3F" w14:textId="58E6C9A8" w:rsidR="00F67365" w:rsidRDefault="00A5028E" w:rsidP="00F81233">
      <w:pPr>
        <w:pStyle w:val="SingleTxtG"/>
      </w:pPr>
      <w:r>
        <w:tab/>
      </w:r>
      <w:r w:rsidR="009F2135" w:rsidRPr="009F2135">
        <w:t xml:space="preserve">The rotation of the propeller </w:t>
      </w:r>
      <w:proofErr w:type="gramStart"/>
      <w:r w:rsidR="009F2135" w:rsidRPr="009F2135">
        <w:t>must be recorded</w:t>
      </w:r>
      <w:proofErr w:type="gramEnd"/>
      <w:r w:rsidR="009F2135" w:rsidRPr="009F2135">
        <w:t xml:space="preserve"> in a way that is accurate in time. The recording must be readable with an accuracy of 5 minutes.</w:t>
      </w:r>
    </w:p>
    <w:p w14:paraId="6AA99D94" w14:textId="136FED0F" w:rsidR="00F67365" w:rsidRDefault="009F2135" w:rsidP="00F81233">
      <w:pPr>
        <w:pStyle w:val="SingleTxtG"/>
      </w:pPr>
      <w:r w:rsidRPr="009F2135">
        <w:t>9.</w:t>
      </w:r>
      <w:r w:rsidRPr="009F2135">
        <w:tab/>
        <w:t>Operating voltages</w:t>
      </w:r>
    </w:p>
    <w:p w14:paraId="4AD0B8DC" w14:textId="0E8B1DD2" w:rsidR="00F67365" w:rsidRDefault="00A5028E" w:rsidP="00F81233">
      <w:pPr>
        <w:pStyle w:val="SingleTxtG"/>
      </w:pPr>
      <w:r>
        <w:tab/>
      </w:r>
      <w:r w:rsidR="009F2135" w:rsidRPr="009F2135">
        <w:t xml:space="preserve">Voltage fluctuations of up to </w:t>
      </w:r>
      <w:r w:rsidR="009F2135" w:rsidRPr="009F2135">
        <w:sym w:font="Symbol" w:char="F0B1"/>
      </w:r>
      <w:r w:rsidR="009F2135" w:rsidRPr="009F2135">
        <w:t xml:space="preserve"> 10 % of the nominal value must not hinder the proper functioning of the device. Moreover, the installation must </w:t>
      </w:r>
      <w:r>
        <w:t>be capable of withstanding a 25</w:t>
      </w:r>
      <w:r w:rsidR="009F2135" w:rsidRPr="009F2135">
        <w:t>% increase in the supply voltage relative to the nominal voltage without its serviceability being impaired in any way.</w:t>
      </w:r>
    </w:p>
    <w:p w14:paraId="66E93FDC" w14:textId="77777777" w:rsidR="00F67365" w:rsidRDefault="009F2135" w:rsidP="00F81233">
      <w:pPr>
        <w:pStyle w:val="SingleTxtG"/>
      </w:pPr>
      <w:r w:rsidRPr="009F2135">
        <w:lastRenderedPageBreak/>
        <w:t>10.</w:t>
      </w:r>
      <w:r w:rsidRPr="009F2135">
        <w:tab/>
        <w:t>Operating conditions</w:t>
      </w:r>
    </w:p>
    <w:p w14:paraId="717D73B8" w14:textId="0A03CA93" w:rsidR="009F2135" w:rsidRPr="009F2135" w:rsidRDefault="00A5028E" w:rsidP="00F81233">
      <w:pPr>
        <w:pStyle w:val="SingleTxtG"/>
      </w:pPr>
      <w:r>
        <w:tab/>
      </w:r>
      <w:r w:rsidR="009F2135" w:rsidRPr="009F2135">
        <w:t>The devices or device components must operate faultlessly under the following conditions:</w:t>
      </w:r>
    </w:p>
    <w:p w14:paraId="74CD5B3E" w14:textId="6D97C281" w:rsidR="009F2135" w:rsidRPr="00263ECA" w:rsidRDefault="001A7FC9" w:rsidP="00263ECA">
      <w:pPr>
        <w:pStyle w:val="Bullet1G"/>
      </w:pPr>
      <w:r w:rsidRPr="00263ECA">
        <w:t xml:space="preserve">ambient temperature: </w:t>
      </w:r>
      <w:r w:rsidR="009F2135" w:rsidRPr="00263ECA">
        <w:t xml:space="preserve">0 </w:t>
      </w:r>
      <w:r w:rsidR="009F2135" w:rsidRPr="00263ECA">
        <w:sym w:font="Symbol" w:char="F0B0"/>
      </w:r>
      <w:r w:rsidR="009F2135" w:rsidRPr="00263ECA">
        <w:t xml:space="preserve">C to + 40 </w:t>
      </w:r>
      <w:r w:rsidR="009F2135" w:rsidRPr="00263ECA">
        <w:sym w:font="Symbol" w:char="F0B0"/>
      </w:r>
      <w:r w:rsidR="009F2135" w:rsidRPr="00263ECA">
        <w:t>C</w:t>
      </w:r>
      <w:r w:rsidR="004E0AD2" w:rsidRPr="00263ECA">
        <w:t>;</w:t>
      </w:r>
    </w:p>
    <w:p w14:paraId="05324E0A" w14:textId="28310033" w:rsidR="009F2135" w:rsidRPr="00263ECA" w:rsidRDefault="001A7FC9" w:rsidP="00263ECA">
      <w:pPr>
        <w:pStyle w:val="Bullet1G"/>
      </w:pPr>
      <w:r w:rsidRPr="00263ECA">
        <w:t xml:space="preserve">humidity: </w:t>
      </w:r>
      <w:r w:rsidR="009F2135" w:rsidRPr="00263ECA">
        <w:t>up to 85 % relative air humidity</w:t>
      </w:r>
      <w:r w:rsidR="004E0AD2" w:rsidRPr="00263ECA">
        <w:t>;</w:t>
      </w:r>
    </w:p>
    <w:p w14:paraId="75E89A7D" w14:textId="535F575C" w:rsidR="009F2135" w:rsidRPr="00263ECA" w:rsidRDefault="009F2135" w:rsidP="00263ECA">
      <w:pPr>
        <w:pStyle w:val="Bullet1G"/>
      </w:pPr>
      <w:r w:rsidRPr="00263ECA">
        <w:t>type of electrical protection:</w:t>
      </w:r>
      <w:r w:rsidRPr="00263ECA">
        <w:tab/>
        <w:t>IP 54 in accordance with</w:t>
      </w:r>
      <w:r w:rsidR="00B51414" w:rsidRPr="00263ECA">
        <w:t xml:space="preserve"> the International Standard IEC </w:t>
      </w:r>
      <w:r w:rsidRPr="00263ECA">
        <w:t>529</w:t>
      </w:r>
      <w:r w:rsidR="004E0AD2" w:rsidRPr="00263ECA">
        <w:t>;</w:t>
      </w:r>
    </w:p>
    <w:p w14:paraId="777BAAD6" w14:textId="0BA74E73" w:rsidR="009F2135" w:rsidRPr="00263ECA" w:rsidRDefault="009F2135" w:rsidP="00263ECA">
      <w:pPr>
        <w:pStyle w:val="Bullet1G"/>
      </w:pPr>
      <w:r w:rsidRPr="00263ECA">
        <w:t>oil resistance:</w:t>
      </w:r>
      <w:r w:rsidRPr="00263ECA">
        <w:tab/>
        <w:t>although intended to be installed in the engine room, the devices or device components must be oil resistant</w:t>
      </w:r>
      <w:r w:rsidR="004E0AD2" w:rsidRPr="00263ECA">
        <w:t>;</w:t>
      </w:r>
    </w:p>
    <w:p w14:paraId="5E55D6A4" w14:textId="2C794614" w:rsidR="009F2135" w:rsidRPr="00263ECA" w:rsidRDefault="009F2135" w:rsidP="00263ECA">
      <w:pPr>
        <w:pStyle w:val="Bullet1G"/>
      </w:pPr>
      <w:r w:rsidRPr="00263ECA">
        <w:t>permissible time recording</w:t>
      </w:r>
      <w:r w:rsidR="004E0AD2" w:rsidRPr="00263ECA">
        <w:t>;</w:t>
      </w:r>
    </w:p>
    <w:p w14:paraId="019BB592" w14:textId="47E0FFB5" w:rsidR="00F67365" w:rsidRPr="00263ECA" w:rsidRDefault="001A7FC9" w:rsidP="00263ECA">
      <w:pPr>
        <w:pStyle w:val="Bullet1G"/>
      </w:pPr>
      <w:proofErr w:type="gramStart"/>
      <w:r w:rsidRPr="00263ECA">
        <w:t>tolerances</w:t>
      </w:r>
      <w:proofErr w:type="gramEnd"/>
      <w:r w:rsidRPr="00263ECA">
        <w:t xml:space="preserve">: </w:t>
      </w:r>
      <w:r w:rsidR="009F2135" w:rsidRPr="00263ECA">
        <w:sym w:font="Symbol" w:char="F0B1"/>
      </w:r>
      <w:r w:rsidR="009F2135" w:rsidRPr="00263ECA">
        <w:t xml:space="preserve"> 2 minutes per 24 hours.</w:t>
      </w:r>
    </w:p>
    <w:p w14:paraId="7693F235" w14:textId="33F28ECD" w:rsidR="00F67365" w:rsidRPr="004E0AD2" w:rsidRDefault="009F2135" w:rsidP="004E0AD2">
      <w:pPr>
        <w:pStyle w:val="SingleTxtG"/>
        <w:keepNext/>
        <w:keepLines/>
        <w:jc w:val="center"/>
        <w:rPr>
          <w:b/>
        </w:rPr>
      </w:pPr>
      <w:r w:rsidRPr="004E0AD2">
        <w:rPr>
          <w:b/>
        </w:rPr>
        <w:t xml:space="preserve">Article </w:t>
      </w:r>
      <w:proofErr w:type="gramStart"/>
      <w:r w:rsidRPr="004E0AD2">
        <w:rPr>
          <w:b/>
        </w:rPr>
        <w:t>2</w:t>
      </w:r>
      <w:proofErr w:type="gramEnd"/>
      <w:r w:rsidR="004E0AD2">
        <w:rPr>
          <w:b/>
        </w:rPr>
        <w:br/>
      </w:r>
      <w:r w:rsidRPr="004E0AD2">
        <w:rPr>
          <w:b/>
        </w:rPr>
        <w:t>Requirements for installing shipboard tachographs</w:t>
      </w:r>
    </w:p>
    <w:p w14:paraId="6FDA033F" w14:textId="0E9C85D2" w:rsidR="00F67365" w:rsidRDefault="00A5028E" w:rsidP="004E0AD2">
      <w:pPr>
        <w:pStyle w:val="SingleTxtG"/>
        <w:keepNext/>
        <w:keepLines/>
      </w:pPr>
      <w:r>
        <w:tab/>
      </w:r>
      <w:r w:rsidR="009F2135" w:rsidRPr="009F2135">
        <w:t xml:space="preserve">The following conditions are to </w:t>
      </w:r>
      <w:proofErr w:type="gramStart"/>
      <w:r w:rsidR="009F2135" w:rsidRPr="009F2135">
        <w:t>be complied</w:t>
      </w:r>
      <w:proofErr w:type="gramEnd"/>
      <w:r w:rsidR="009F2135" w:rsidRPr="009F2135">
        <w:t xml:space="preserve"> with when installing shipboard tachographs:</w:t>
      </w:r>
    </w:p>
    <w:p w14:paraId="465E7A59" w14:textId="77777777" w:rsidR="00F67365" w:rsidRDefault="009F2135" w:rsidP="00F81233">
      <w:pPr>
        <w:pStyle w:val="SingleTxtG"/>
      </w:pPr>
      <w:proofErr w:type="gramStart"/>
      <w:r w:rsidRPr="009F2135">
        <w:t>1.</w:t>
      </w:r>
      <w:r w:rsidRPr="009F2135">
        <w:tab/>
        <w:t>Shipboard tachographs can only be installed by specialist firms approved by the competent authority</w:t>
      </w:r>
      <w:proofErr w:type="gramEnd"/>
      <w:r w:rsidRPr="009F2135">
        <w:t>.</w:t>
      </w:r>
    </w:p>
    <w:p w14:paraId="5B3ED771" w14:textId="77777777" w:rsidR="00F67365" w:rsidRDefault="009F2135" w:rsidP="00F81233">
      <w:pPr>
        <w:pStyle w:val="SingleTxtG"/>
      </w:pPr>
      <w:r w:rsidRPr="009F2135">
        <w:t>2.</w:t>
      </w:r>
      <w:r w:rsidRPr="009F2135">
        <w:tab/>
        <w:t xml:space="preserve">The tachograph </w:t>
      </w:r>
      <w:proofErr w:type="gramStart"/>
      <w:r w:rsidRPr="009F2135">
        <w:t>must be installed</w:t>
      </w:r>
      <w:proofErr w:type="gramEnd"/>
      <w:r w:rsidRPr="009F2135">
        <w:t xml:space="preserve"> in the wheelhouse or other readily accessible location.</w:t>
      </w:r>
    </w:p>
    <w:p w14:paraId="5532376F" w14:textId="77777777" w:rsidR="00F67365" w:rsidRDefault="009F2135" w:rsidP="00F81233">
      <w:pPr>
        <w:pStyle w:val="SingleTxtG"/>
      </w:pPr>
      <w:r w:rsidRPr="009F2135">
        <w:t>3.</w:t>
      </w:r>
      <w:r w:rsidRPr="009F2135">
        <w:tab/>
        <w:t xml:space="preserve">It must be possible to establish visually whether the device is operating. The device </w:t>
      </w:r>
      <w:proofErr w:type="gramStart"/>
      <w:r w:rsidRPr="009F2135">
        <w:t>must be permanently supplied with electric power by means of an uninterrupted power supply circuit with its own fuse protection and connected directly to this power supply</w:t>
      </w:r>
      <w:proofErr w:type="gramEnd"/>
      <w:r w:rsidRPr="009F2135">
        <w:t>.</w:t>
      </w:r>
    </w:p>
    <w:p w14:paraId="591ECB0D" w14:textId="77777777" w:rsidR="00F67365" w:rsidRDefault="009F2135" w:rsidP="00F81233">
      <w:pPr>
        <w:pStyle w:val="SingleTxtG"/>
      </w:pPr>
      <w:r w:rsidRPr="009F2135">
        <w:t>4.</w:t>
      </w:r>
      <w:r w:rsidRPr="009F2135">
        <w:tab/>
        <w:t xml:space="preserve">Information concerning the vessel's movement, namely whether the vessel is “underway” or “not underway” </w:t>
      </w:r>
      <w:proofErr w:type="gramStart"/>
      <w:r w:rsidRPr="009F2135">
        <w:t>is derived</w:t>
      </w:r>
      <w:proofErr w:type="gramEnd"/>
      <w:r w:rsidRPr="009F2135">
        <w:t xml:space="preserve"> from the movement of the propulsion system. The corresponding signal must originate from the rotation of the propeller, from the propeller shaft or from the operation of the propulsion machinery. In the case of different propulsion systems, an equivalent solution </w:t>
      </w:r>
      <w:proofErr w:type="gramStart"/>
      <w:r w:rsidRPr="009F2135">
        <w:t>must be achieved</w:t>
      </w:r>
      <w:proofErr w:type="gramEnd"/>
      <w:r w:rsidRPr="009F2135">
        <w:t>.</w:t>
      </w:r>
    </w:p>
    <w:p w14:paraId="3C5ECE70" w14:textId="77777777" w:rsidR="00F67365" w:rsidRDefault="009F2135" w:rsidP="00F81233">
      <w:pPr>
        <w:pStyle w:val="SingleTxtG"/>
      </w:pPr>
      <w:r w:rsidRPr="009F2135">
        <w:t>5.</w:t>
      </w:r>
      <w:r w:rsidRPr="009F2135">
        <w:tab/>
        <w:t xml:space="preserve">The technical equipment for capturing the movement of the vessel must be installed </w:t>
      </w:r>
      <w:proofErr w:type="gramStart"/>
      <w:r w:rsidRPr="009F2135">
        <w:t>so as to</w:t>
      </w:r>
      <w:proofErr w:type="gramEnd"/>
      <w:r w:rsidRPr="009F2135">
        <w:t xml:space="preserve"> be as operationally reliable as possible and immune from unauthorised interventions. To this end, the signal transmission circuit (including the signal generator and device inlet terminal), from the propulsion system to the device </w:t>
      </w:r>
      <w:proofErr w:type="gramStart"/>
      <w:r w:rsidRPr="009F2135">
        <w:t>must be protected</w:t>
      </w:r>
      <w:proofErr w:type="gramEnd"/>
      <w:r w:rsidRPr="009F2135">
        <w:t xml:space="preserve"> by appropriate means with monitoring to detect any interruption of the circuit. Appropriate for this purpose are for example seals bearing identification markings and visible cable runs or monitoring circuits.</w:t>
      </w:r>
    </w:p>
    <w:p w14:paraId="06246F32" w14:textId="54D51499" w:rsidR="00990676" w:rsidRDefault="009F2135" w:rsidP="00F81233">
      <w:pPr>
        <w:pStyle w:val="SingleTxtG"/>
      </w:pPr>
      <w:r w:rsidRPr="009F2135">
        <w:t>6.</w:t>
      </w:r>
      <w:r w:rsidRPr="009F2135">
        <w:tab/>
        <w:t xml:space="preserve">Upon completion of the installation, the specialist </w:t>
      </w:r>
      <w:proofErr w:type="gramStart"/>
      <w:r w:rsidRPr="009F2135">
        <w:t>firm which</w:t>
      </w:r>
      <w:proofErr w:type="gramEnd"/>
      <w:r w:rsidRPr="009F2135">
        <w:t xml:space="preserve"> has carried out or supervised the installation carries out an operating test. It issues a certificate attesting to the characteristics of the installation (in particular the location and type of seals and their markings, location and type of monitoring equipment) and that it is operating correctly; the certificate must also provide information on the type of approved device. A new operating test is required after any replacement, modification or repair; this test </w:t>
      </w:r>
      <w:proofErr w:type="gramStart"/>
      <w:r w:rsidRPr="009F2135">
        <w:t>must be referred</w:t>
      </w:r>
      <w:proofErr w:type="gramEnd"/>
      <w:r w:rsidRPr="009F2135">
        <w:t xml:space="preserve"> to on the certificate.</w:t>
      </w:r>
    </w:p>
    <w:p w14:paraId="13E5101B" w14:textId="25C68934" w:rsidR="009F2135" w:rsidRPr="009F2135" w:rsidRDefault="00A5028E" w:rsidP="00F81233">
      <w:pPr>
        <w:pStyle w:val="SingleTxtG"/>
      </w:pPr>
      <w:r>
        <w:tab/>
      </w:r>
      <w:r w:rsidR="009F2135" w:rsidRPr="009F2135">
        <w:t xml:space="preserve">The certificate </w:t>
      </w:r>
      <w:proofErr w:type="gramStart"/>
      <w:r w:rsidR="009F2135" w:rsidRPr="009F2135">
        <w:t>must at a minimum comprise</w:t>
      </w:r>
      <w:proofErr w:type="gramEnd"/>
      <w:r w:rsidR="009F2135" w:rsidRPr="009F2135">
        <w:t xml:space="preserve"> the following data:</w:t>
      </w:r>
    </w:p>
    <w:p w14:paraId="55A7A024" w14:textId="4D8ECD16" w:rsidR="009F2135" w:rsidRPr="009F2135" w:rsidRDefault="009F2135" w:rsidP="00A5028E">
      <w:pPr>
        <w:pStyle w:val="Bullet1G"/>
      </w:pPr>
      <w:r w:rsidRPr="009F2135">
        <w:t>name, address and unique reference of the approved specialist firm that has carried out or supervised the installation;</w:t>
      </w:r>
    </w:p>
    <w:p w14:paraId="1AB77818" w14:textId="4F69E4F5" w:rsidR="009F2135" w:rsidRPr="009F2135" w:rsidRDefault="009F2135" w:rsidP="00A5028E">
      <w:pPr>
        <w:pStyle w:val="Bullet1G"/>
      </w:pPr>
      <w:r w:rsidRPr="009F2135">
        <w:lastRenderedPageBreak/>
        <w:t>name, address and telephone number of the competent authority that approved the company;</w:t>
      </w:r>
    </w:p>
    <w:p w14:paraId="0B870398" w14:textId="65755D83" w:rsidR="009F2135" w:rsidRPr="009F2135" w:rsidRDefault="009F2135" w:rsidP="00A5028E">
      <w:pPr>
        <w:pStyle w:val="Bullet1G"/>
      </w:pPr>
      <w:r w:rsidRPr="009F2135">
        <w:t>unique European vessel identification number of the vessels or official number of the vessel;</w:t>
      </w:r>
    </w:p>
    <w:p w14:paraId="55A18DA6" w14:textId="1CCDFF73" w:rsidR="009F2135" w:rsidRPr="009F2135" w:rsidRDefault="009F2135" w:rsidP="00A5028E">
      <w:pPr>
        <w:pStyle w:val="Bullet1G"/>
      </w:pPr>
      <w:r w:rsidRPr="009F2135">
        <w:t>tachograph type and serial number;</w:t>
      </w:r>
    </w:p>
    <w:p w14:paraId="7CADDDF5" w14:textId="4FAC16B3" w:rsidR="00F67365" w:rsidRDefault="009F2135" w:rsidP="00A5028E">
      <w:pPr>
        <w:pStyle w:val="Bullet1G"/>
      </w:pPr>
      <w:proofErr w:type="gramStart"/>
      <w:r w:rsidRPr="009F2135">
        <w:t>date</w:t>
      </w:r>
      <w:proofErr w:type="gramEnd"/>
      <w:r w:rsidRPr="009F2135">
        <w:t xml:space="preserve"> of the operating test.</w:t>
      </w:r>
    </w:p>
    <w:p w14:paraId="02D40D97" w14:textId="17EFB330" w:rsidR="00F67365" w:rsidRDefault="00A5028E" w:rsidP="00F81233">
      <w:pPr>
        <w:pStyle w:val="SingleTxtG"/>
      </w:pPr>
      <w:r>
        <w:tab/>
      </w:r>
      <w:r w:rsidR="009F2135" w:rsidRPr="009F2135">
        <w:t>The certificate is valid for 5 years.</w:t>
      </w:r>
    </w:p>
    <w:p w14:paraId="30025618" w14:textId="61B9E9F7" w:rsidR="00F67365" w:rsidRDefault="00A5028E" w:rsidP="00F81233">
      <w:pPr>
        <w:pStyle w:val="SingleTxtG"/>
      </w:pPr>
      <w:r>
        <w:tab/>
      </w:r>
      <w:r w:rsidR="009F2135" w:rsidRPr="009F2135">
        <w:t>The purpose of the certificate is to prove that the device is approved, installed by an approved specialist firm and has been tested for correct operation.</w:t>
      </w:r>
    </w:p>
    <w:p w14:paraId="3D71EE26" w14:textId="7C1AA5C7" w:rsidR="0021268E" w:rsidRDefault="009F2135" w:rsidP="00F81233">
      <w:pPr>
        <w:pStyle w:val="SingleTxtG"/>
      </w:pPr>
      <w:proofErr w:type="gramStart"/>
      <w:r w:rsidRPr="009F2135">
        <w:t>7.</w:t>
      </w:r>
      <w:r w:rsidRPr="009F2135">
        <w:tab/>
        <w:t>The vessel's command must be trained in the use of the device by the approved company</w:t>
      </w:r>
      <w:proofErr w:type="gramEnd"/>
      <w:r w:rsidRPr="009F2135">
        <w:t xml:space="preserve"> and user instructions must be handed over for retention on board. This </w:t>
      </w:r>
      <w:proofErr w:type="gramStart"/>
      <w:r w:rsidRPr="009F2135">
        <w:t>must be mentioned</w:t>
      </w:r>
      <w:proofErr w:type="gramEnd"/>
      <w:r w:rsidRPr="009F2135">
        <w:t xml:space="preserve"> on the shipboard installation certificate.</w:t>
      </w:r>
    </w:p>
    <w:p w14:paraId="1D4580FC" w14:textId="0E720A6F" w:rsidR="00D403A3" w:rsidRDefault="00D403A3">
      <w:pPr>
        <w:suppressAutoHyphens w:val="0"/>
        <w:spacing w:line="240" w:lineRule="auto"/>
      </w:pPr>
      <w:r>
        <w:br w:type="page"/>
      </w:r>
    </w:p>
    <w:p w14:paraId="31ACA047" w14:textId="201C54FC" w:rsidR="009F2135" w:rsidRPr="00E85FD0" w:rsidRDefault="009F2135" w:rsidP="00E85FD0">
      <w:pPr>
        <w:pStyle w:val="SingleTxtG"/>
        <w:jc w:val="center"/>
        <w:rPr>
          <w:b/>
        </w:rPr>
      </w:pPr>
      <w:bookmarkStart w:id="15" w:name="_Toc436115270"/>
      <w:r w:rsidRPr="00E85FD0">
        <w:rPr>
          <w:b/>
        </w:rPr>
        <w:lastRenderedPageBreak/>
        <w:t>Section VI</w:t>
      </w:r>
      <w:bookmarkEnd w:id="15"/>
    </w:p>
    <w:p w14:paraId="468D8E7F" w14:textId="54551B68" w:rsidR="009F2135" w:rsidRPr="00E85FD0" w:rsidRDefault="009F2135" w:rsidP="00E85FD0">
      <w:pPr>
        <w:pStyle w:val="SingleTxtG"/>
        <w:jc w:val="center"/>
        <w:rPr>
          <w:b/>
        </w:rPr>
      </w:pPr>
      <w:bookmarkStart w:id="16" w:name="_Toc436115271"/>
      <w:r w:rsidRPr="00E85FD0">
        <w:rPr>
          <w:b/>
        </w:rPr>
        <w:t>Installation and performance certificate for navigational radar installations, rate-of-turn indicator</w:t>
      </w:r>
      <w:r w:rsidR="002D145F" w:rsidRPr="00E85FD0">
        <w:rPr>
          <w:b/>
        </w:rPr>
        <w:t>s, for Inland AIS equipment and</w:t>
      </w:r>
      <w:r w:rsidR="002D145F" w:rsidRPr="00E85FD0">
        <w:rPr>
          <w:b/>
        </w:rPr>
        <w:br/>
      </w:r>
      <w:r w:rsidRPr="00E85FD0">
        <w:rPr>
          <w:b/>
        </w:rPr>
        <w:t>for tachographs in inland navigation</w:t>
      </w:r>
      <w:bookmarkEnd w:id="16"/>
    </w:p>
    <w:p w14:paraId="517E5A1F" w14:textId="77777777" w:rsidR="00F67365" w:rsidRDefault="009F2135" w:rsidP="002D145F">
      <w:pPr>
        <w:pStyle w:val="SingleTxtG"/>
        <w:ind w:left="1701"/>
        <w:jc w:val="center"/>
        <w:rPr>
          <w:rFonts w:eastAsia="Calibri"/>
        </w:rPr>
      </w:pPr>
      <w:r w:rsidRPr="009F2135">
        <w:rPr>
          <w:rFonts w:eastAsia="Calibri"/>
        </w:rPr>
        <w:t>(Model)</w:t>
      </w:r>
    </w:p>
    <w:p w14:paraId="446696CE" w14:textId="06E26631" w:rsidR="009F2135" w:rsidRPr="009F2135" w:rsidRDefault="009F2135" w:rsidP="002D145F">
      <w:pPr>
        <w:pStyle w:val="SingleTxtG"/>
      </w:pPr>
      <w:r w:rsidRPr="009F2135">
        <w:t>Vessel name/type</w:t>
      </w:r>
      <w:proofErr w:type="gramStart"/>
      <w:r w:rsidRPr="009F2135">
        <w:t xml:space="preserve">: </w:t>
      </w:r>
      <w:r w:rsidRPr="009F2135">
        <w:tab/>
      </w:r>
      <w:r w:rsidR="002D145F">
        <w:t>…………………………………………………………………………</w:t>
      </w:r>
      <w:proofErr w:type="gramEnd"/>
    </w:p>
    <w:p w14:paraId="2EB43D6B" w14:textId="43E0D00E" w:rsidR="009F2135" w:rsidRPr="009F2135" w:rsidRDefault="009F2135" w:rsidP="00F81233">
      <w:pPr>
        <w:pStyle w:val="SingleTxtG"/>
      </w:pPr>
      <w:r w:rsidRPr="009F2135">
        <w:t>Unique European vessel identification number</w:t>
      </w:r>
      <w:proofErr w:type="gramStart"/>
      <w:r w:rsidRPr="009F2135">
        <w:t xml:space="preserve">: </w:t>
      </w:r>
      <w:r w:rsidRPr="009F2135">
        <w:tab/>
      </w:r>
      <w:r w:rsidR="002D145F">
        <w:t>…………………………………………...</w:t>
      </w:r>
      <w:proofErr w:type="gramEnd"/>
    </w:p>
    <w:p w14:paraId="53A510E1" w14:textId="77777777" w:rsidR="009F2135" w:rsidRPr="00A5028E" w:rsidRDefault="009F2135" w:rsidP="00F81233">
      <w:pPr>
        <w:pStyle w:val="SingleTxtG"/>
        <w:rPr>
          <w:b/>
        </w:rPr>
      </w:pPr>
      <w:r w:rsidRPr="00A5028E">
        <w:rPr>
          <w:b/>
        </w:rPr>
        <w:t xml:space="preserve">Vessel owner: </w:t>
      </w:r>
    </w:p>
    <w:p w14:paraId="7E856DDD" w14:textId="78AA38F4" w:rsidR="009F2135" w:rsidRPr="009F2135" w:rsidRDefault="009F2135" w:rsidP="00F81233">
      <w:pPr>
        <w:pStyle w:val="SingleTxtG"/>
      </w:pPr>
      <w:r w:rsidRPr="009F2135">
        <w:t>Name</w:t>
      </w:r>
      <w:proofErr w:type="gramStart"/>
      <w:r w:rsidRPr="009F2135">
        <w:t xml:space="preserve">: </w:t>
      </w:r>
      <w:r w:rsidRPr="009F2135">
        <w:tab/>
      </w:r>
      <w:r w:rsidR="002D145F">
        <w:t>…………………………………………………………………………………</w:t>
      </w:r>
      <w:proofErr w:type="gramEnd"/>
    </w:p>
    <w:p w14:paraId="5FD4A73A" w14:textId="26225EFB" w:rsidR="009F2135" w:rsidRPr="009F2135" w:rsidRDefault="009F2135" w:rsidP="00F81233">
      <w:pPr>
        <w:pStyle w:val="SingleTxtG"/>
      </w:pPr>
      <w:r w:rsidRPr="009F2135">
        <w:t>Address</w:t>
      </w:r>
      <w:proofErr w:type="gramStart"/>
      <w:r w:rsidRPr="009F2135">
        <w:t xml:space="preserve">: </w:t>
      </w:r>
      <w:r w:rsidRPr="009F2135">
        <w:tab/>
      </w:r>
      <w:r w:rsidR="002D145F">
        <w:t>…………………………………………………………………………………</w:t>
      </w:r>
      <w:proofErr w:type="gramEnd"/>
    </w:p>
    <w:p w14:paraId="75063771" w14:textId="11BCA69B" w:rsidR="00F67365" w:rsidRDefault="009F2135" w:rsidP="00F81233">
      <w:pPr>
        <w:pStyle w:val="SingleTxtG"/>
      </w:pPr>
      <w:r w:rsidRPr="009F2135">
        <w:t>Telephone</w:t>
      </w:r>
      <w:proofErr w:type="gramStart"/>
      <w:r w:rsidRPr="009F2135">
        <w:t xml:space="preserve">: </w:t>
      </w:r>
      <w:r w:rsidRPr="009F2135">
        <w:tab/>
      </w:r>
      <w:r w:rsidR="002D145F">
        <w:t>…………………………………………………………………………………</w:t>
      </w:r>
      <w:proofErr w:type="gramEnd"/>
    </w:p>
    <w:p w14:paraId="0D9250FA" w14:textId="0D662D9B" w:rsidR="009F2135" w:rsidRPr="00A5028E" w:rsidRDefault="009F2135" w:rsidP="00D403A3">
      <w:pPr>
        <w:pStyle w:val="SingleTxtG"/>
        <w:spacing w:line="216" w:lineRule="auto"/>
        <w:rPr>
          <w:b/>
        </w:rPr>
      </w:pPr>
      <w:r w:rsidRPr="00A5028E">
        <w:rPr>
          <w:b/>
        </w:rPr>
        <w:t>Navigational radar installations:</w:t>
      </w:r>
      <w:r w:rsidRPr="00A5028E">
        <w:rPr>
          <w:b/>
        </w:rPr>
        <w:tab/>
      </w:r>
      <w:r w:rsidR="00A5028E">
        <w:rPr>
          <w:b/>
        </w:rPr>
        <w:tab/>
      </w:r>
      <w:r w:rsidR="00A5028E">
        <w:rPr>
          <w:b/>
        </w:rPr>
        <w:tab/>
      </w:r>
      <w:r w:rsidR="00A5028E">
        <w:rPr>
          <w:b/>
        </w:rPr>
        <w:tab/>
      </w:r>
      <w:r w:rsidRPr="00A5028E">
        <w:t xml:space="preserve">Number: </w:t>
      </w:r>
      <w:r w:rsidRPr="00A5028E">
        <w:rPr>
          <w:b/>
        </w:rPr>
        <w:tab/>
      </w:r>
    </w:p>
    <w:tbl>
      <w:tblPr>
        <w:tblW w:w="737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474"/>
        <w:gridCol w:w="1305"/>
        <w:gridCol w:w="1843"/>
        <w:gridCol w:w="1274"/>
      </w:tblGrid>
      <w:tr w:rsidR="009F2135" w:rsidRPr="002D145F" w14:paraId="00AB74BB" w14:textId="77777777" w:rsidTr="002D145F">
        <w:trPr>
          <w:cantSplit/>
          <w:tblHeader/>
          <w:jc w:val="center"/>
        </w:trPr>
        <w:tc>
          <w:tcPr>
            <w:tcW w:w="1474" w:type="dxa"/>
            <w:shd w:val="clear" w:color="auto" w:fill="auto"/>
            <w:vAlign w:val="bottom"/>
          </w:tcPr>
          <w:p w14:paraId="4B224B6B" w14:textId="77777777" w:rsidR="009F2135" w:rsidRPr="002D145F" w:rsidRDefault="009F2135" w:rsidP="00D403A3">
            <w:pPr>
              <w:suppressAutoHyphens w:val="0"/>
              <w:spacing w:before="80" w:after="80" w:line="216" w:lineRule="auto"/>
              <w:ind w:right="113"/>
              <w:jc w:val="center"/>
              <w:rPr>
                <w:sz w:val="16"/>
                <w:szCs w:val="16"/>
              </w:rPr>
            </w:pPr>
            <w:r w:rsidRPr="002D145F">
              <w:rPr>
                <w:sz w:val="16"/>
                <w:szCs w:val="16"/>
              </w:rPr>
              <w:t>Item No</w:t>
            </w:r>
          </w:p>
        </w:tc>
        <w:tc>
          <w:tcPr>
            <w:tcW w:w="1474" w:type="dxa"/>
            <w:shd w:val="clear" w:color="auto" w:fill="auto"/>
            <w:vAlign w:val="bottom"/>
          </w:tcPr>
          <w:p w14:paraId="7DB4320B" w14:textId="77777777" w:rsidR="009F2135" w:rsidRPr="002D145F" w:rsidRDefault="009F2135" w:rsidP="00D403A3">
            <w:pPr>
              <w:suppressAutoHyphens w:val="0"/>
              <w:spacing w:before="80" w:after="80" w:line="216" w:lineRule="auto"/>
              <w:ind w:right="113"/>
              <w:jc w:val="center"/>
              <w:rPr>
                <w:sz w:val="16"/>
                <w:szCs w:val="16"/>
              </w:rPr>
            </w:pPr>
            <w:r w:rsidRPr="002D145F">
              <w:rPr>
                <w:sz w:val="16"/>
                <w:szCs w:val="16"/>
              </w:rPr>
              <w:t>Type</w:t>
            </w:r>
          </w:p>
        </w:tc>
        <w:tc>
          <w:tcPr>
            <w:tcW w:w="1305" w:type="dxa"/>
            <w:shd w:val="clear" w:color="auto" w:fill="auto"/>
            <w:vAlign w:val="bottom"/>
          </w:tcPr>
          <w:p w14:paraId="04F0B89A" w14:textId="77777777" w:rsidR="009F2135" w:rsidRPr="002D145F" w:rsidRDefault="009F2135" w:rsidP="00D403A3">
            <w:pPr>
              <w:suppressAutoHyphens w:val="0"/>
              <w:spacing w:before="80" w:after="80" w:line="216" w:lineRule="auto"/>
              <w:ind w:right="113"/>
              <w:jc w:val="center"/>
              <w:rPr>
                <w:sz w:val="16"/>
                <w:szCs w:val="16"/>
              </w:rPr>
            </w:pPr>
            <w:r w:rsidRPr="002D145F">
              <w:rPr>
                <w:sz w:val="16"/>
                <w:szCs w:val="16"/>
              </w:rPr>
              <w:t>Manufacturer</w:t>
            </w:r>
          </w:p>
        </w:tc>
        <w:tc>
          <w:tcPr>
            <w:tcW w:w="1843" w:type="dxa"/>
            <w:shd w:val="clear" w:color="auto" w:fill="auto"/>
            <w:vAlign w:val="bottom"/>
          </w:tcPr>
          <w:p w14:paraId="21E68EF0" w14:textId="77777777" w:rsidR="009F2135" w:rsidRPr="002D145F" w:rsidRDefault="009F2135" w:rsidP="00D403A3">
            <w:pPr>
              <w:suppressAutoHyphens w:val="0"/>
              <w:spacing w:before="80" w:after="80" w:line="216" w:lineRule="auto"/>
              <w:ind w:right="113"/>
              <w:jc w:val="center"/>
              <w:rPr>
                <w:sz w:val="16"/>
                <w:szCs w:val="16"/>
              </w:rPr>
            </w:pPr>
            <w:r w:rsidRPr="002D145F">
              <w:rPr>
                <w:sz w:val="16"/>
                <w:szCs w:val="16"/>
              </w:rPr>
              <w:t>Type-approval number</w:t>
            </w:r>
          </w:p>
        </w:tc>
        <w:tc>
          <w:tcPr>
            <w:tcW w:w="1274" w:type="dxa"/>
            <w:shd w:val="clear" w:color="auto" w:fill="auto"/>
            <w:vAlign w:val="bottom"/>
          </w:tcPr>
          <w:p w14:paraId="2506605C" w14:textId="77777777" w:rsidR="009F2135" w:rsidRPr="002D145F" w:rsidRDefault="009F2135" w:rsidP="00D403A3">
            <w:pPr>
              <w:suppressAutoHyphens w:val="0"/>
              <w:spacing w:before="80" w:after="80" w:line="216" w:lineRule="auto"/>
              <w:ind w:right="113"/>
              <w:jc w:val="center"/>
              <w:rPr>
                <w:sz w:val="16"/>
                <w:szCs w:val="16"/>
              </w:rPr>
            </w:pPr>
            <w:r w:rsidRPr="002D145F">
              <w:rPr>
                <w:sz w:val="16"/>
                <w:szCs w:val="16"/>
              </w:rPr>
              <w:t>Serial number</w:t>
            </w:r>
          </w:p>
        </w:tc>
      </w:tr>
      <w:tr w:rsidR="009F2135" w:rsidRPr="002D145F" w14:paraId="5FEA9AEC" w14:textId="77777777" w:rsidTr="002D145F">
        <w:trPr>
          <w:cantSplit/>
          <w:jc w:val="center"/>
        </w:trPr>
        <w:tc>
          <w:tcPr>
            <w:tcW w:w="1474" w:type="dxa"/>
            <w:shd w:val="clear" w:color="auto" w:fill="auto"/>
          </w:tcPr>
          <w:p w14:paraId="4CA9CC1A" w14:textId="77777777" w:rsidR="009F2135" w:rsidRPr="002D145F" w:rsidRDefault="009F2135" w:rsidP="00D403A3">
            <w:pPr>
              <w:suppressAutoHyphens w:val="0"/>
              <w:spacing w:before="40" w:after="120" w:line="216" w:lineRule="auto"/>
              <w:ind w:right="113"/>
              <w:rPr>
                <w:sz w:val="18"/>
                <w:szCs w:val="18"/>
              </w:rPr>
            </w:pPr>
          </w:p>
        </w:tc>
        <w:tc>
          <w:tcPr>
            <w:tcW w:w="1474" w:type="dxa"/>
            <w:shd w:val="clear" w:color="auto" w:fill="auto"/>
          </w:tcPr>
          <w:p w14:paraId="2907D4B2" w14:textId="77777777" w:rsidR="009F2135" w:rsidRPr="002D145F" w:rsidRDefault="009F2135" w:rsidP="00D403A3">
            <w:pPr>
              <w:suppressAutoHyphens w:val="0"/>
              <w:spacing w:before="40" w:after="120" w:line="216" w:lineRule="auto"/>
              <w:ind w:right="113"/>
              <w:rPr>
                <w:sz w:val="18"/>
                <w:szCs w:val="18"/>
              </w:rPr>
            </w:pPr>
          </w:p>
        </w:tc>
        <w:tc>
          <w:tcPr>
            <w:tcW w:w="1305" w:type="dxa"/>
            <w:shd w:val="clear" w:color="auto" w:fill="auto"/>
          </w:tcPr>
          <w:p w14:paraId="2C77680A" w14:textId="77777777" w:rsidR="009F2135" w:rsidRPr="002D145F" w:rsidRDefault="009F2135" w:rsidP="00D403A3">
            <w:pPr>
              <w:suppressAutoHyphens w:val="0"/>
              <w:spacing w:before="40" w:after="120" w:line="216" w:lineRule="auto"/>
              <w:ind w:right="113"/>
              <w:rPr>
                <w:sz w:val="18"/>
                <w:szCs w:val="18"/>
              </w:rPr>
            </w:pPr>
          </w:p>
        </w:tc>
        <w:tc>
          <w:tcPr>
            <w:tcW w:w="1843" w:type="dxa"/>
            <w:shd w:val="clear" w:color="auto" w:fill="auto"/>
          </w:tcPr>
          <w:p w14:paraId="7BDF0406" w14:textId="77777777" w:rsidR="009F2135" w:rsidRPr="002D145F" w:rsidRDefault="009F2135" w:rsidP="00D403A3">
            <w:pPr>
              <w:suppressAutoHyphens w:val="0"/>
              <w:spacing w:before="40" w:after="120" w:line="216" w:lineRule="auto"/>
              <w:ind w:right="113"/>
              <w:rPr>
                <w:sz w:val="18"/>
                <w:szCs w:val="18"/>
              </w:rPr>
            </w:pPr>
          </w:p>
        </w:tc>
        <w:tc>
          <w:tcPr>
            <w:tcW w:w="1274" w:type="dxa"/>
            <w:shd w:val="clear" w:color="auto" w:fill="auto"/>
          </w:tcPr>
          <w:p w14:paraId="35AA4374" w14:textId="77777777" w:rsidR="009F2135" w:rsidRPr="002D145F" w:rsidRDefault="009F2135" w:rsidP="00D403A3">
            <w:pPr>
              <w:suppressAutoHyphens w:val="0"/>
              <w:spacing w:before="40" w:after="120" w:line="216" w:lineRule="auto"/>
              <w:ind w:right="113"/>
              <w:rPr>
                <w:sz w:val="18"/>
                <w:szCs w:val="18"/>
              </w:rPr>
            </w:pPr>
          </w:p>
        </w:tc>
      </w:tr>
    </w:tbl>
    <w:p w14:paraId="0CF21B5D" w14:textId="1CE6936A" w:rsidR="009F2135" w:rsidRPr="009F2135" w:rsidRDefault="009F2135" w:rsidP="00D403A3">
      <w:pPr>
        <w:pStyle w:val="SingleTxtG"/>
        <w:spacing w:line="216" w:lineRule="auto"/>
      </w:pPr>
      <w:r w:rsidRPr="002D145F">
        <w:rPr>
          <w:b/>
        </w:rPr>
        <w:t>Rate-of-turn indicators:</w:t>
      </w:r>
      <w:r w:rsidRPr="009F2135">
        <w:tab/>
      </w:r>
      <w:r w:rsidR="002D145F">
        <w:tab/>
      </w:r>
      <w:r w:rsidR="002D145F">
        <w:tab/>
      </w:r>
      <w:r w:rsidR="002D145F">
        <w:tab/>
      </w:r>
      <w:r w:rsidR="002D145F">
        <w:tab/>
      </w:r>
      <w:r w:rsidRPr="009F2135">
        <w:t xml:space="preserve">Number: </w:t>
      </w:r>
      <w:r w:rsidRPr="009F2135">
        <w:tab/>
      </w:r>
    </w:p>
    <w:tbl>
      <w:tblPr>
        <w:tblW w:w="737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474"/>
        <w:gridCol w:w="1305"/>
        <w:gridCol w:w="1843"/>
        <w:gridCol w:w="1274"/>
      </w:tblGrid>
      <w:tr w:rsidR="002D145F" w:rsidRPr="002D145F" w14:paraId="668E897D" w14:textId="77777777" w:rsidTr="00A903A5">
        <w:trPr>
          <w:cantSplit/>
          <w:tblHeader/>
          <w:jc w:val="center"/>
        </w:trPr>
        <w:tc>
          <w:tcPr>
            <w:tcW w:w="1474" w:type="dxa"/>
            <w:shd w:val="clear" w:color="auto" w:fill="auto"/>
            <w:vAlign w:val="bottom"/>
          </w:tcPr>
          <w:p w14:paraId="75DA001B" w14:textId="77777777" w:rsidR="002D145F" w:rsidRPr="002D145F" w:rsidRDefault="002D145F" w:rsidP="00D403A3">
            <w:pPr>
              <w:suppressAutoHyphens w:val="0"/>
              <w:spacing w:before="80" w:after="80" w:line="216" w:lineRule="auto"/>
              <w:ind w:right="113"/>
              <w:jc w:val="center"/>
              <w:rPr>
                <w:sz w:val="16"/>
                <w:szCs w:val="16"/>
              </w:rPr>
            </w:pPr>
            <w:r w:rsidRPr="002D145F">
              <w:rPr>
                <w:sz w:val="16"/>
                <w:szCs w:val="16"/>
              </w:rPr>
              <w:t>Item No</w:t>
            </w:r>
          </w:p>
        </w:tc>
        <w:tc>
          <w:tcPr>
            <w:tcW w:w="1474" w:type="dxa"/>
            <w:shd w:val="clear" w:color="auto" w:fill="auto"/>
            <w:vAlign w:val="bottom"/>
          </w:tcPr>
          <w:p w14:paraId="4742F455" w14:textId="77777777" w:rsidR="002D145F" w:rsidRPr="002D145F" w:rsidRDefault="002D145F" w:rsidP="00D403A3">
            <w:pPr>
              <w:suppressAutoHyphens w:val="0"/>
              <w:spacing w:before="80" w:after="80" w:line="216" w:lineRule="auto"/>
              <w:ind w:right="113"/>
              <w:jc w:val="center"/>
              <w:rPr>
                <w:sz w:val="16"/>
                <w:szCs w:val="16"/>
              </w:rPr>
            </w:pPr>
            <w:r w:rsidRPr="002D145F">
              <w:rPr>
                <w:sz w:val="16"/>
                <w:szCs w:val="16"/>
              </w:rPr>
              <w:t>Type</w:t>
            </w:r>
          </w:p>
        </w:tc>
        <w:tc>
          <w:tcPr>
            <w:tcW w:w="1305" w:type="dxa"/>
            <w:shd w:val="clear" w:color="auto" w:fill="auto"/>
            <w:vAlign w:val="bottom"/>
          </w:tcPr>
          <w:p w14:paraId="6EA449B3" w14:textId="77777777" w:rsidR="002D145F" w:rsidRPr="002D145F" w:rsidRDefault="002D145F" w:rsidP="00D403A3">
            <w:pPr>
              <w:suppressAutoHyphens w:val="0"/>
              <w:spacing w:before="80" w:after="80" w:line="216" w:lineRule="auto"/>
              <w:ind w:right="113"/>
              <w:jc w:val="center"/>
              <w:rPr>
                <w:sz w:val="16"/>
                <w:szCs w:val="16"/>
              </w:rPr>
            </w:pPr>
            <w:r w:rsidRPr="002D145F">
              <w:rPr>
                <w:sz w:val="16"/>
                <w:szCs w:val="16"/>
              </w:rPr>
              <w:t>Manufacturer</w:t>
            </w:r>
          </w:p>
        </w:tc>
        <w:tc>
          <w:tcPr>
            <w:tcW w:w="1843" w:type="dxa"/>
            <w:shd w:val="clear" w:color="auto" w:fill="auto"/>
            <w:vAlign w:val="bottom"/>
          </w:tcPr>
          <w:p w14:paraId="2FAC5CA7" w14:textId="77777777" w:rsidR="002D145F" w:rsidRPr="002D145F" w:rsidRDefault="002D145F" w:rsidP="00D403A3">
            <w:pPr>
              <w:suppressAutoHyphens w:val="0"/>
              <w:spacing w:before="80" w:after="80" w:line="216" w:lineRule="auto"/>
              <w:ind w:right="113"/>
              <w:jc w:val="center"/>
              <w:rPr>
                <w:sz w:val="16"/>
                <w:szCs w:val="16"/>
              </w:rPr>
            </w:pPr>
            <w:r w:rsidRPr="002D145F">
              <w:rPr>
                <w:sz w:val="16"/>
                <w:szCs w:val="16"/>
              </w:rPr>
              <w:t>Type-approval number</w:t>
            </w:r>
          </w:p>
        </w:tc>
        <w:tc>
          <w:tcPr>
            <w:tcW w:w="1274" w:type="dxa"/>
            <w:shd w:val="clear" w:color="auto" w:fill="auto"/>
            <w:vAlign w:val="bottom"/>
          </w:tcPr>
          <w:p w14:paraId="026B39A1" w14:textId="77777777" w:rsidR="002D145F" w:rsidRPr="002D145F" w:rsidRDefault="002D145F" w:rsidP="00D403A3">
            <w:pPr>
              <w:suppressAutoHyphens w:val="0"/>
              <w:spacing w:before="80" w:after="80" w:line="216" w:lineRule="auto"/>
              <w:ind w:right="113"/>
              <w:jc w:val="center"/>
              <w:rPr>
                <w:sz w:val="16"/>
                <w:szCs w:val="16"/>
              </w:rPr>
            </w:pPr>
            <w:r w:rsidRPr="002D145F">
              <w:rPr>
                <w:sz w:val="16"/>
                <w:szCs w:val="16"/>
              </w:rPr>
              <w:t>Serial number</w:t>
            </w:r>
          </w:p>
        </w:tc>
      </w:tr>
      <w:tr w:rsidR="002D145F" w:rsidRPr="002D145F" w14:paraId="4BCD9FBB" w14:textId="77777777" w:rsidTr="00A903A5">
        <w:trPr>
          <w:cantSplit/>
          <w:jc w:val="center"/>
        </w:trPr>
        <w:tc>
          <w:tcPr>
            <w:tcW w:w="1474" w:type="dxa"/>
            <w:shd w:val="clear" w:color="auto" w:fill="auto"/>
          </w:tcPr>
          <w:p w14:paraId="053D5C81" w14:textId="77777777" w:rsidR="002D145F" w:rsidRPr="002D145F" w:rsidRDefault="002D145F" w:rsidP="00D403A3">
            <w:pPr>
              <w:suppressAutoHyphens w:val="0"/>
              <w:spacing w:before="40" w:after="120" w:line="216" w:lineRule="auto"/>
              <w:ind w:right="113"/>
              <w:rPr>
                <w:sz w:val="18"/>
                <w:szCs w:val="18"/>
              </w:rPr>
            </w:pPr>
          </w:p>
        </w:tc>
        <w:tc>
          <w:tcPr>
            <w:tcW w:w="1474" w:type="dxa"/>
            <w:shd w:val="clear" w:color="auto" w:fill="auto"/>
          </w:tcPr>
          <w:p w14:paraId="1E126E0C" w14:textId="77777777" w:rsidR="002D145F" w:rsidRPr="002D145F" w:rsidRDefault="002D145F" w:rsidP="00D403A3">
            <w:pPr>
              <w:suppressAutoHyphens w:val="0"/>
              <w:spacing w:before="40" w:after="120" w:line="216" w:lineRule="auto"/>
              <w:ind w:right="113"/>
              <w:rPr>
                <w:sz w:val="18"/>
                <w:szCs w:val="18"/>
              </w:rPr>
            </w:pPr>
          </w:p>
        </w:tc>
        <w:tc>
          <w:tcPr>
            <w:tcW w:w="1305" w:type="dxa"/>
            <w:shd w:val="clear" w:color="auto" w:fill="auto"/>
          </w:tcPr>
          <w:p w14:paraId="44148A24" w14:textId="77777777" w:rsidR="002D145F" w:rsidRPr="002D145F" w:rsidRDefault="002D145F" w:rsidP="00D403A3">
            <w:pPr>
              <w:suppressAutoHyphens w:val="0"/>
              <w:spacing w:before="40" w:after="120" w:line="216" w:lineRule="auto"/>
              <w:ind w:right="113"/>
              <w:rPr>
                <w:sz w:val="18"/>
                <w:szCs w:val="18"/>
              </w:rPr>
            </w:pPr>
          </w:p>
        </w:tc>
        <w:tc>
          <w:tcPr>
            <w:tcW w:w="1843" w:type="dxa"/>
            <w:shd w:val="clear" w:color="auto" w:fill="auto"/>
          </w:tcPr>
          <w:p w14:paraId="6304615D" w14:textId="77777777" w:rsidR="002D145F" w:rsidRPr="002D145F" w:rsidRDefault="002D145F" w:rsidP="00D403A3">
            <w:pPr>
              <w:suppressAutoHyphens w:val="0"/>
              <w:spacing w:before="40" w:after="120" w:line="216" w:lineRule="auto"/>
              <w:ind w:right="113"/>
              <w:rPr>
                <w:sz w:val="18"/>
                <w:szCs w:val="18"/>
              </w:rPr>
            </w:pPr>
          </w:p>
        </w:tc>
        <w:tc>
          <w:tcPr>
            <w:tcW w:w="1274" w:type="dxa"/>
            <w:shd w:val="clear" w:color="auto" w:fill="auto"/>
          </w:tcPr>
          <w:p w14:paraId="3A182845" w14:textId="77777777" w:rsidR="002D145F" w:rsidRPr="002D145F" w:rsidRDefault="002D145F" w:rsidP="00D403A3">
            <w:pPr>
              <w:suppressAutoHyphens w:val="0"/>
              <w:spacing w:before="40" w:after="120" w:line="216" w:lineRule="auto"/>
              <w:ind w:right="113"/>
              <w:rPr>
                <w:sz w:val="18"/>
                <w:szCs w:val="18"/>
              </w:rPr>
            </w:pPr>
          </w:p>
        </w:tc>
      </w:tr>
    </w:tbl>
    <w:p w14:paraId="3C9ABC79" w14:textId="77777777" w:rsidR="009F2135" w:rsidRPr="002D145F" w:rsidRDefault="009F2135" w:rsidP="00D403A3">
      <w:pPr>
        <w:pStyle w:val="SingleTxtG"/>
        <w:spacing w:line="216" w:lineRule="auto"/>
        <w:rPr>
          <w:b/>
        </w:rPr>
      </w:pPr>
      <w:r w:rsidRPr="002D145F">
        <w:rPr>
          <w:b/>
        </w:rPr>
        <w:t>Inland AIS equipment:</w:t>
      </w:r>
    </w:p>
    <w:tbl>
      <w:tblPr>
        <w:tblW w:w="737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474"/>
        <w:gridCol w:w="1305"/>
        <w:gridCol w:w="1843"/>
        <w:gridCol w:w="1274"/>
      </w:tblGrid>
      <w:tr w:rsidR="002D145F" w:rsidRPr="002D145F" w14:paraId="5BE70E0E" w14:textId="77777777" w:rsidTr="00A903A5">
        <w:trPr>
          <w:cantSplit/>
          <w:tblHeader/>
          <w:jc w:val="center"/>
        </w:trPr>
        <w:tc>
          <w:tcPr>
            <w:tcW w:w="1474" w:type="dxa"/>
            <w:shd w:val="clear" w:color="auto" w:fill="auto"/>
            <w:vAlign w:val="bottom"/>
          </w:tcPr>
          <w:p w14:paraId="7AFCE867" w14:textId="77777777" w:rsidR="002D145F" w:rsidRPr="002D145F" w:rsidRDefault="002D145F" w:rsidP="00D403A3">
            <w:pPr>
              <w:suppressAutoHyphens w:val="0"/>
              <w:spacing w:before="80" w:after="80" w:line="216" w:lineRule="auto"/>
              <w:ind w:right="113"/>
              <w:jc w:val="center"/>
              <w:rPr>
                <w:sz w:val="16"/>
                <w:szCs w:val="16"/>
              </w:rPr>
            </w:pPr>
            <w:r w:rsidRPr="002D145F">
              <w:rPr>
                <w:sz w:val="16"/>
                <w:szCs w:val="16"/>
              </w:rPr>
              <w:t>Item No</w:t>
            </w:r>
          </w:p>
        </w:tc>
        <w:tc>
          <w:tcPr>
            <w:tcW w:w="1474" w:type="dxa"/>
            <w:shd w:val="clear" w:color="auto" w:fill="auto"/>
            <w:vAlign w:val="bottom"/>
          </w:tcPr>
          <w:p w14:paraId="536CA6D6" w14:textId="77777777" w:rsidR="002D145F" w:rsidRPr="002D145F" w:rsidRDefault="002D145F" w:rsidP="00D403A3">
            <w:pPr>
              <w:suppressAutoHyphens w:val="0"/>
              <w:spacing w:before="80" w:after="80" w:line="216" w:lineRule="auto"/>
              <w:ind w:right="113"/>
              <w:jc w:val="center"/>
              <w:rPr>
                <w:sz w:val="16"/>
                <w:szCs w:val="16"/>
              </w:rPr>
            </w:pPr>
            <w:r w:rsidRPr="002D145F">
              <w:rPr>
                <w:sz w:val="16"/>
                <w:szCs w:val="16"/>
              </w:rPr>
              <w:t>Type</w:t>
            </w:r>
          </w:p>
        </w:tc>
        <w:tc>
          <w:tcPr>
            <w:tcW w:w="1305" w:type="dxa"/>
            <w:shd w:val="clear" w:color="auto" w:fill="auto"/>
            <w:vAlign w:val="bottom"/>
          </w:tcPr>
          <w:p w14:paraId="0A493D7B" w14:textId="77777777" w:rsidR="002D145F" w:rsidRPr="002D145F" w:rsidRDefault="002D145F" w:rsidP="00D403A3">
            <w:pPr>
              <w:suppressAutoHyphens w:val="0"/>
              <w:spacing w:before="80" w:after="80" w:line="216" w:lineRule="auto"/>
              <w:ind w:right="113"/>
              <w:jc w:val="center"/>
              <w:rPr>
                <w:sz w:val="16"/>
                <w:szCs w:val="16"/>
              </w:rPr>
            </w:pPr>
            <w:r w:rsidRPr="002D145F">
              <w:rPr>
                <w:sz w:val="16"/>
                <w:szCs w:val="16"/>
              </w:rPr>
              <w:t>Manufacturer</w:t>
            </w:r>
          </w:p>
        </w:tc>
        <w:tc>
          <w:tcPr>
            <w:tcW w:w="1843" w:type="dxa"/>
            <w:shd w:val="clear" w:color="auto" w:fill="auto"/>
            <w:vAlign w:val="bottom"/>
          </w:tcPr>
          <w:p w14:paraId="36C85414" w14:textId="77777777" w:rsidR="002D145F" w:rsidRPr="002D145F" w:rsidRDefault="002D145F" w:rsidP="00D403A3">
            <w:pPr>
              <w:suppressAutoHyphens w:val="0"/>
              <w:spacing w:before="80" w:after="80" w:line="216" w:lineRule="auto"/>
              <w:ind w:right="113"/>
              <w:jc w:val="center"/>
              <w:rPr>
                <w:sz w:val="16"/>
                <w:szCs w:val="16"/>
              </w:rPr>
            </w:pPr>
            <w:r w:rsidRPr="002D145F">
              <w:rPr>
                <w:sz w:val="16"/>
                <w:szCs w:val="16"/>
              </w:rPr>
              <w:t>Type-approval number</w:t>
            </w:r>
          </w:p>
        </w:tc>
        <w:tc>
          <w:tcPr>
            <w:tcW w:w="1274" w:type="dxa"/>
            <w:shd w:val="clear" w:color="auto" w:fill="auto"/>
            <w:vAlign w:val="bottom"/>
          </w:tcPr>
          <w:p w14:paraId="3E4E462D" w14:textId="77777777" w:rsidR="002D145F" w:rsidRPr="002D145F" w:rsidRDefault="002D145F" w:rsidP="00D403A3">
            <w:pPr>
              <w:suppressAutoHyphens w:val="0"/>
              <w:spacing w:before="80" w:after="80" w:line="216" w:lineRule="auto"/>
              <w:ind w:right="113"/>
              <w:jc w:val="center"/>
              <w:rPr>
                <w:sz w:val="16"/>
                <w:szCs w:val="16"/>
              </w:rPr>
            </w:pPr>
            <w:r w:rsidRPr="002D145F">
              <w:rPr>
                <w:sz w:val="16"/>
                <w:szCs w:val="16"/>
              </w:rPr>
              <w:t>Serial number</w:t>
            </w:r>
          </w:p>
        </w:tc>
      </w:tr>
      <w:tr w:rsidR="002D145F" w:rsidRPr="002D145F" w14:paraId="4CDC7327" w14:textId="77777777" w:rsidTr="00A903A5">
        <w:trPr>
          <w:cantSplit/>
          <w:jc w:val="center"/>
        </w:trPr>
        <w:tc>
          <w:tcPr>
            <w:tcW w:w="1474" w:type="dxa"/>
            <w:shd w:val="clear" w:color="auto" w:fill="auto"/>
          </w:tcPr>
          <w:p w14:paraId="4A130388" w14:textId="77777777" w:rsidR="002D145F" w:rsidRPr="002D145F" w:rsidRDefault="002D145F" w:rsidP="00D403A3">
            <w:pPr>
              <w:suppressAutoHyphens w:val="0"/>
              <w:spacing w:before="40" w:after="120" w:line="216" w:lineRule="auto"/>
              <w:ind w:right="113"/>
              <w:rPr>
                <w:sz w:val="18"/>
                <w:szCs w:val="18"/>
              </w:rPr>
            </w:pPr>
          </w:p>
        </w:tc>
        <w:tc>
          <w:tcPr>
            <w:tcW w:w="1474" w:type="dxa"/>
            <w:shd w:val="clear" w:color="auto" w:fill="auto"/>
          </w:tcPr>
          <w:p w14:paraId="567B4714" w14:textId="77777777" w:rsidR="002D145F" w:rsidRPr="002D145F" w:rsidRDefault="002D145F" w:rsidP="00D403A3">
            <w:pPr>
              <w:suppressAutoHyphens w:val="0"/>
              <w:spacing w:before="40" w:after="120" w:line="216" w:lineRule="auto"/>
              <w:ind w:right="113"/>
              <w:rPr>
                <w:sz w:val="18"/>
                <w:szCs w:val="18"/>
              </w:rPr>
            </w:pPr>
          </w:p>
        </w:tc>
        <w:tc>
          <w:tcPr>
            <w:tcW w:w="1305" w:type="dxa"/>
            <w:shd w:val="clear" w:color="auto" w:fill="auto"/>
          </w:tcPr>
          <w:p w14:paraId="5262BFD4" w14:textId="77777777" w:rsidR="002D145F" w:rsidRPr="002D145F" w:rsidRDefault="002D145F" w:rsidP="00D403A3">
            <w:pPr>
              <w:suppressAutoHyphens w:val="0"/>
              <w:spacing w:before="40" w:after="120" w:line="216" w:lineRule="auto"/>
              <w:ind w:right="113"/>
              <w:rPr>
                <w:sz w:val="18"/>
                <w:szCs w:val="18"/>
              </w:rPr>
            </w:pPr>
          </w:p>
        </w:tc>
        <w:tc>
          <w:tcPr>
            <w:tcW w:w="1843" w:type="dxa"/>
            <w:shd w:val="clear" w:color="auto" w:fill="auto"/>
          </w:tcPr>
          <w:p w14:paraId="316601A2" w14:textId="77777777" w:rsidR="002D145F" w:rsidRPr="002D145F" w:rsidRDefault="002D145F" w:rsidP="00D403A3">
            <w:pPr>
              <w:suppressAutoHyphens w:val="0"/>
              <w:spacing w:before="40" w:after="120" w:line="216" w:lineRule="auto"/>
              <w:ind w:right="113"/>
              <w:rPr>
                <w:sz w:val="18"/>
                <w:szCs w:val="18"/>
              </w:rPr>
            </w:pPr>
          </w:p>
        </w:tc>
        <w:tc>
          <w:tcPr>
            <w:tcW w:w="1274" w:type="dxa"/>
            <w:shd w:val="clear" w:color="auto" w:fill="auto"/>
          </w:tcPr>
          <w:p w14:paraId="3159609F" w14:textId="77777777" w:rsidR="002D145F" w:rsidRPr="002D145F" w:rsidRDefault="002D145F" w:rsidP="00D403A3">
            <w:pPr>
              <w:suppressAutoHyphens w:val="0"/>
              <w:spacing w:before="40" w:after="120" w:line="216" w:lineRule="auto"/>
              <w:ind w:right="113"/>
              <w:rPr>
                <w:sz w:val="18"/>
                <w:szCs w:val="18"/>
              </w:rPr>
            </w:pPr>
          </w:p>
        </w:tc>
      </w:tr>
    </w:tbl>
    <w:p w14:paraId="09B7D64B" w14:textId="77777777" w:rsidR="009F2135" w:rsidRPr="002D145F" w:rsidRDefault="009F2135" w:rsidP="00D403A3">
      <w:pPr>
        <w:pStyle w:val="SingleTxtG"/>
        <w:spacing w:line="216" w:lineRule="auto"/>
        <w:rPr>
          <w:b/>
        </w:rPr>
      </w:pPr>
      <w:r w:rsidRPr="002D145F">
        <w:rPr>
          <w:b/>
        </w:rPr>
        <w:t>Tachographs</w:t>
      </w:r>
    </w:p>
    <w:p w14:paraId="64D3350D" w14:textId="77777777" w:rsidR="00F67365" w:rsidRDefault="009F2135" w:rsidP="00A5028E">
      <w:pPr>
        <w:pStyle w:val="SingleTxtG"/>
      </w:pPr>
      <w:r w:rsidRPr="009F2135">
        <w:t>…</w:t>
      </w:r>
    </w:p>
    <w:p w14:paraId="497488CC" w14:textId="1F2D931A" w:rsidR="00F67365" w:rsidRDefault="009F2135" w:rsidP="00A5028E">
      <w:pPr>
        <w:pStyle w:val="SingleTxtG"/>
      </w:pPr>
      <w:r w:rsidRPr="009F2135">
        <w:t>It is hereby certified that the vessel's navigational radar installations, rate-of-turn indicators and Inland AIS equipment, referred to above, comply with the requirements of Annex 5 of the European Standard laying down technical requirements for inland navigation vessels (ES-TRIN) for the installation and performance testing</w:t>
      </w:r>
      <w:r w:rsidRPr="009F2135" w:rsidDel="00521221">
        <w:t xml:space="preserve"> </w:t>
      </w:r>
      <w:r w:rsidRPr="009F2135">
        <w:t>of navigational radar installations, rate-of-turn indicators and Inland AIS equipment for inland navigation.</w:t>
      </w:r>
    </w:p>
    <w:p w14:paraId="0DC06D6F" w14:textId="15A72CF6" w:rsidR="009F2135" w:rsidRPr="002D145F" w:rsidRDefault="009F2135" w:rsidP="00A5028E">
      <w:pPr>
        <w:pStyle w:val="SingleTxtG"/>
        <w:rPr>
          <w:b/>
        </w:rPr>
      </w:pPr>
      <w:r w:rsidRPr="002D145F">
        <w:rPr>
          <w:b/>
        </w:rPr>
        <w:t>Approved specialist firm</w:t>
      </w:r>
    </w:p>
    <w:p w14:paraId="2A32F133" w14:textId="18353B01" w:rsidR="009F2135" w:rsidRPr="009F2135" w:rsidRDefault="009F2135" w:rsidP="00A5028E">
      <w:pPr>
        <w:pStyle w:val="SingleTxtG"/>
      </w:pPr>
      <w:r w:rsidRPr="009F2135">
        <w:t>Name</w:t>
      </w:r>
      <w:proofErr w:type="gramStart"/>
      <w:r w:rsidRPr="009F2135">
        <w:t xml:space="preserve">: </w:t>
      </w:r>
      <w:r w:rsidRPr="009F2135">
        <w:tab/>
      </w:r>
      <w:r w:rsidR="002D145F">
        <w:t>…………………………………………………………………………………</w:t>
      </w:r>
      <w:proofErr w:type="gramEnd"/>
    </w:p>
    <w:p w14:paraId="7F5BFC01" w14:textId="0F10089F" w:rsidR="009F2135" w:rsidRPr="009F2135" w:rsidRDefault="009F2135" w:rsidP="00A5028E">
      <w:pPr>
        <w:pStyle w:val="SingleTxtG"/>
      </w:pPr>
      <w:r w:rsidRPr="009F2135">
        <w:t>Address</w:t>
      </w:r>
      <w:proofErr w:type="gramStart"/>
      <w:r w:rsidRPr="009F2135">
        <w:t xml:space="preserve">: </w:t>
      </w:r>
      <w:r w:rsidRPr="009F2135">
        <w:tab/>
      </w:r>
      <w:r w:rsidR="002D145F">
        <w:t>…………………………………………………………………………………</w:t>
      </w:r>
      <w:proofErr w:type="gramEnd"/>
    </w:p>
    <w:p w14:paraId="18A04460" w14:textId="77777777" w:rsidR="00F67365" w:rsidRDefault="009F2135" w:rsidP="00A5028E">
      <w:pPr>
        <w:pStyle w:val="SingleTxtG"/>
      </w:pPr>
      <w:r w:rsidRPr="009F2135">
        <w:t xml:space="preserve">Telephone: </w:t>
      </w:r>
      <w:r w:rsidRPr="009F2135">
        <w:tab/>
      </w:r>
    </w:p>
    <w:p w14:paraId="5E3B8ABD" w14:textId="1386ED9C" w:rsidR="009F2135" w:rsidRPr="009F2135" w:rsidRDefault="009F2135" w:rsidP="00A5028E">
      <w:pPr>
        <w:pStyle w:val="SingleTxtG"/>
      </w:pPr>
      <w:r w:rsidRPr="009F2135">
        <w:tab/>
        <w:t>Stamp</w:t>
      </w:r>
      <w:r w:rsidRPr="009F2135">
        <w:tab/>
      </w:r>
      <w:r w:rsidR="002D145F">
        <w:tab/>
      </w:r>
      <w:r w:rsidR="002D145F">
        <w:tab/>
      </w:r>
      <w:r w:rsidR="002D145F">
        <w:tab/>
      </w:r>
      <w:r w:rsidRPr="009F2135">
        <w:t xml:space="preserve">Place </w:t>
      </w:r>
      <w:r w:rsidRPr="009F2135">
        <w:tab/>
      </w:r>
      <w:r w:rsidR="002D145F">
        <w:t>…………………</w:t>
      </w:r>
      <w:r w:rsidRPr="009F2135">
        <w:tab/>
        <w:t xml:space="preserve">Date </w:t>
      </w:r>
      <w:r w:rsidRPr="009F2135">
        <w:tab/>
      </w:r>
      <w:r w:rsidR="002D145F">
        <w:t>…………………….</w:t>
      </w:r>
    </w:p>
    <w:p w14:paraId="3A562954" w14:textId="54BCC96B" w:rsidR="002D145F" w:rsidRDefault="009F2135" w:rsidP="00766202">
      <w:pPr>
        <w:pStyle w:val="SingleTxtG"/>
      </w:pPr>
      <w:r w:rsidRPr="009F2135">
        <w:tab/>
        <w:t>Signature</w:t>
      </w:r>
    </w:p>
    <w:p w14:paraId="2BE57C22" w14:textId="576BD0DE" w:rsidR="009F2135" w:rsidRPr="002D145F" w:rsidRDefault="009F2135" w:rsidP="00A5028E">
      <w:pPr>
        <w:pStyle w:val="SingleTxtG"/>
        <w:rPr>
          <w:b/>
        </w:rPr>
      </w:pPr>
      <w:r w:rsidRPr="002D145F">
        <w:rPr>
          <w:b/>
        </w:rPr>
        <w:t>Competent authority for the approval of the specialist firm</w:t>
      </w:r>
    </w:p>
    <w:p w14:paraId="1DD7E7DD" w14:textId="3421DDCB" w:rsidR="009F2135" w:rsidRPr="009F2135" w:rsidRDefault="009F2135" w:rsidP="00A5028E">
      <w:pPr>
        <w:pStyle w:val="SingleTxtG"/>
      </w:pPr>
      <w:r w:rsidRPr="009F2135">
        <w:t>Name</w:t>
      </w:r>
      <w:proofErr w:type="gramStart"/>
      <w:r w:rsidRPr="009F2135">
        <w:t xml:space="preserve">: </w:t>
      </w:r>
      <w:r w:rsidRPr="009F2135">
        <w:tab/>
      </w:r>
      <w:r w:rsidR="002D145F">
        <w:t>…………………………………………………………………………………</w:t>
      </w:r>
      <w:proofErr w:type="gramEnd"/>
    </w:p>
    <w:p w14:paraId="7EE6D602" w14:textId="50D796EA" w:rsidR="009F2135" w:rsidRPr="009F2135" w:rsidRDefault="009F2135" w:rsidP="00A5028E">
      <w:pPr>
        <w:pStyle w:val="SingleTxtG"/>
      </w:pPr>
      <w:r w:rsidRPr="009F2135">
        <w:t>Address</w:t>
      </w:r>
      <w:proofErr w:type="gramStart"/>
      <w:r w:rsidRPr="009F2135">
        <w:t xml:space="preserve">: </w:t>
      </w:r>
      <w:r w:rsidRPr="009F2135">
        <w:tab/>
      </w:r>
      <w:r w:rsidR="002D145F">
        <w:t>…………………………………………………………………………………</w:t>
      </w:r>
      <w:proofErr w:type="gramEnd"/>
    </w:p>
    <w:p w14:paraId="69BE9CE9" w14:textId="42CE732F" w:rsidR="00F67365" w:rsidRDefault="009F2135" w:rsidP="00A5028E">
      <w:pPr>
        <w:pStyle w:val="SingleTxtG"/>
      </w:pPr>
      <w:r w:rsidRPr="009F2135">
        <w:t>Telephone</w:t>
      </w:r>
      <w:proofErr w:type="gramStart"/>
      <w:r w:rsidRPr="009F2135">
        <w:t xml:space="preserve">: </w:t>
      </w:r>
      <w:r w:rsidRPr="009F2135">
        <w:tab/>
      </w:r>
      <w:r w:rsidR="002D145F">
        <w:t>………………………………………….</w:t>
      </w:r>
      <w:proofErr w:type="gramEnd"/>
    </w:p>
    <w:p w14:paraId="3A218C23" w14:textId="3409F6E1" w:rsidR="0056083B" w:rsidRPr="0056083B" w:rsidRDefault="0056083B" w:rsidP="0056083B">
      <w:pPr>
        <w:spacing w:before="240"/>
        <w:ind w:left="1134" w:right="1134"/>
        <w:jc w:val="center"/>
        <w:rPr>
          <w:u w:val="single"/>
        </w:rPr>
      </w:pPr>
      <w:r>
        <w:rPr>
          <w:u w:val="single"/>
        </w:rPr>
        <w:tab/>
      </w:r>
      <w:r>
        <w:rPr>
          <w:u w:val="single"/>
        </w:rPr>
        <w:tab/>
      </w:r>
      <w:r>
        <w:rPr>
          <w:u w:val="single"/>
        </w:rPr>
        <w:tab/>
      </w:r>
    </w:p>
    <w:sectPr w:rsidR="0056083B" w:rsidRPr="0056083B" w:rsidSect="00317662">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36806" w15:done="0"/>
  <w15:commentEx w15:paraId="6A054DB8" w15:done="0"/>
  <w15:commentEx w15:paraId="2300E4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097DE" w14:textId="77777777" w:rsidR="00574628" w:rsidRDefault="00574628"/>
  </w:endnote>
  <w:endnote w:type="continuationSeparator" w:id="0">
    <w:p w14:paraId="6211AD13" w14:textId="77777777" w:rsidR="00574628" w:rsidRDefault="00574628"/>
  </w:endnote>
  <w:endnote w:type="continuationNotice" w:id="1">
    <w:p w14:paraId="649221CE" w14:textId="77777777" w:rsidR="00574628" w:rsidRDefault="00574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1D542" w14:textId="25A722D0" w:rsidR="00574628" w:rsidRPr="00190E8E" w:rsidRDefault="00574628" w:rsidP="00190E8E">
    <w:pPr>
      <w:pStyle w:val="Footer"/>
      <w:tabs>
        <w:tab w:val="right" w:pos="9638"/>
      </w:tabs>
      <w:rPr>
        <w:sz w:val="18"/>
      </w:rPr>
    </w:pPr>
    <w:r w:rsidRPr="00190E8E">
      <w:rPr>
        <w:b/>
        <w:sz w:val="18"/>
      </w:rPr>
      <w:fldChar w:fldCharType="begin"/>
    </w:r>
    <w:r w:rsidRPr="00190E8E">
      <w:rPr>
        <w:b/>
        <w:sz w:val="18"/>
      </w:rPr>
      <w:instrText xml:space="preserve"> PAGE  \* MERGEFORMAT </w:instrText>
    </w:r>
    <w:r w:rsidRPr="00190E8E">
      <w:rPr>
        <w:b/>
        <w:sz w:val="18"/>
      </w:rPr>
      <w:fldChar w:fldCharType="separate"/>
    </w:r>
    <w:r w:rsidR="00A37CC3">
      <w:rPr>
        <w:b/>
        <w:noProof/>
        <w:sz w:val="18"/>
      </w:rPr>
      <w:t>2</w:t>
    </w:r>
    <w:r w:rsidRPr="00190E8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1D34" w14:textId="5D22708E" w:rsidR="00574628" w:rsidRPr="00190E8E" w:rsidRDefault="00574628" w:rsidP="00190E8E">
    <w:pPr>
      <w:pStyle w:val="Footer"/>
      <w:tabs>
        <w:tab w:val="right" w:pos="9638"/>
      </w:tabs>
      <w:rPr>
        <w:b/>
        <w:sz w:val="18"/>
      </w:rPr>
    </w:pPr>
    <w:r>
      <w:tab/>
    </w:r>
    <w:r w:rsidRPr="00190E8E">
      <w:rPr>
        <w:b/>
        <w:sz w:val="18"/>
      </w:rPr>
      <w:fldChar w:fldCharType="begin"/>
    </w:r>
    <w:r w:rsidRPr="00190E8E">
      <w:rPr>
        <w:b/>
        <w:sz w:val="18"/>
      </w:rPr>
      <w:instrText xml:space="preserve"> PAGE  \* MERGEFORMAT </w:instrText>
    </w:r>
    <w:r w:rsidRPr="00190E8E">
      <w:rPr>
        <w:b/>
        <w:sz w:val="18"/>
      </w:rPr>
      <w:fldChar w:fldCharType="separate"/>
    </w:r>
    <w:r w:rsidR="00A37CC3">
      <w:rPr>
        <w:b/>
        <w:noProof/>
        <w:sz w:val="18"/>
      </w:rPr>
      <w:t>3</w:t>
    </w:r>
    <w:r w:rsidRPr="00190E8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8EEB1" w14:textId="77777777" w:rsidR="00574628" w:rsidRPr="000B175B" w:rsidRDefault="00574628" w:rsidP="000B175B">
      <w:pPr>
        <w:tabs>
          <w:tab w:val="right" w:pos="2155"/>
        </w:tabs>
        <w:spacing w:after="80"/>
        <w:ind w:left="680"/>
        <w:rPr>
          <w:u w:val="single"/>
        </w:rPr>
      </w:pPr>
      <w:r>
        <w:rPr>
          <w:u w:val="single"/>
        </w:rPr>
        <w:tab/>
      </w:r>
    </w:p>
  </w:footnote>
  <w:footnote w:type="continuationSeparator" w:id="0">
    <w:p w14:paraId="44B80052" w14:textId="77777777" w:rsidR="00574628" w:rsidRPr="00FC68B7" w:rsidRDefault="00574628" w:rsidP="00FC68B7">
      <w:pPr>
        <w:tabs>
          <w:tab w:val="left" w:pos="2155"/>
        </w:tabs>
        <w:spacing w:after="80"/>
        <w:ind w:left="680"/>
        <w:rPr>
          <w:u w:val="single"/>
        </w:rPr>
      </w:pPr>
      <w:r>
        <w:rPr>
          <w:u w:val="single"/>
        </w:rPr>
        <w:tab/>
      </w:r>
    </w:p>
  </w:footnote>
  <w:footnote w:type="continuationNotice" w:id="1">
    <w:p w14:paraId="78642684" w14:textId="77777777" w:rsidR="00574628" w:rsidRDefault="00574628"/>
  </w:footnote>
  <w:footnote w:id="2">
    <w:p w14:paraId="0FED3CA0" w14:textId="77777777" w:rsidR="00574628" w:rsidRDefault="00574628" w:rsidP="007B190C">
      <w:pPr>
        <w:pStyle w:val="FootnoteText"/>
      </w:pPr>
      <w:r>
        <w:tab/>
      </w:r>
      <w:r>
        <w:rPr>
          <w:rStyle w:val="FootnoteReference"/>
        </w:rPr>
        <w:footnoteRef/>
      </w:r>
      <w:r>
        <w:tab/>
      </w:r>
      <w:r w:rsidRPr="00602433">
        <w:t>www.cesni.eu/documents/es-trin/</w:t>
      </w:r>
    </w:p>
  </w:footnote>
  <w:footnote w:id="3">
    <w:p w14:paraId="05EC0D61" w14:textId="431E4796" w:rsidR="00574628" w:rsidRDefault="00574628">
      <w:pPr>
        <w:pStyle w:val="FootnoteText"/>
      </w:pPr>
      <w:r>
        <w:tab/>
      </w:r>
      <w:r>
        <w:rPr>
          <w:rStyle w:val="FootnoteReference"/>
        </w:rPr>
        <w:footnoteRef/>
      </w:r>
      <w:r>
        <w:tab/>
        <w:t xml:space="preserve">Note of the secretariat: Annex 5 is being currently under revision. Once adopted by CESNI, the update </w:t>
      </w:r>
      <w:proofErr w:type="gramStart"/>
      <w:r>
        <w:t>will be issued</w:t>
      </w:r>
      <w:proofErr w:type="gramEnd"/>
      <w:r>
        <w:t xml:space="preserve"> as a separate document.</w:t>
      </w:r>
    </w:p>
  </w:footnote>
  <w:footnote w:id="4">
    <w:p w14:paraId="35D6B5F7" w14:textId="4ADE274E" w:rsidR="00574628" w:rsidRDefault="00574628" w:rsidP="00D403A3">
      <w:pPr>
        <w:pStyle w:val="FootnoteText"/>
      </w:pPr>
      <w:r>
        <w:tab/>
      </w:r>
      <w:r>
        <w:rPr>
          <w:rStyle w:val="FootnoteReference"/>
        </w:rPr>
        <w:footnoteRef/>
      </w:r>
      <w:r>
        <w:tab/>
        <w:t xml:space="preserve">Note of the secretariat: Contents, Appendix to Chapter 5 and Section VII </w:t>
      </w:r>
      <w:proofErr w:type="gramStart"/>
      <w:r>
        <w:t>are not reproduced</w:t>
      </w:r>
      <w:proofErr w:type="gramEnd"/>
      <w:r>
        <w:t xml:space="preserve"> in this document.</w:t>
      </w:r>
    </w:p>
  </w:footnote>
  <w:footnote w:id="5">
    <w:p w14:paraId="7873F90A" w14:textId="78A5C235" w:rsidR="00574628" w:rsidRPr="00410C5D" w:rsidRDefault="00574628" w:rsidP="001F4A4D">
      <w:pPr>
        <w:pStyle w:val="FootnoteText"/>
        <w:rPr>
          <w:lang w:val="en-US"/>
        </w:rPr>
      </w:pPr>
      <w:r>
        <w:rPr>
          <w:lang w:val="en-US"/>
        </w:rPr>
        <w:tab/>
      </w:r>
      <w:r>
        <w:rPr>
          <w:rStyle w:val="FootnoteReference"/>
        </w:rPr>
        <w:footnoteRef/>
      </w:r>
      <w:r>
        <w:rPr>
          <w:lang w:val="en-US"/>
        </w:rPr>
        <w:tab/>
      </w:r>
      <w:r w:rsidRPr="00410C5D">
        <w:rPr>
          <w:noProof/>
          <w:lang w:val="en-US"/>
        </w:rPr>
        <w:t>Directive 1999/5/EC of the European Parliament and of the Council of 9 March 1999 on radio equipment and telecommunications terminal equipment and the mutual recognition of their conformity</w:t>
      </w:r>
      <w:r>
        <w:rPr>
          <w:noProof/>
          <w:lang w:val="en-US"/>
        </w:rPr>
        <w:t xml:space="preserve"> (</w:t>
      </w:r>
      <w:r w:rsidRPr="00410C5D">
        <w:rPr>
          <w:noProof/>
          <w:lang w:val="en-US"/>
        </w:rPr>
        <w:t>OJ L 91 of 7.4.1999</w:t>
      </w:r>
      <w:r>
        <w:rPr>
          <w:noProof/>
          <w:lang w:val="en-US"/>
        </w:rPr>
        <w:t>).</w:t>
      </w:r>
    </w:p>
  </w:footnote>
  <w:footnote w:id="6">
    <w:p w14:paraId="348A2841" w14:textId="0B990CF9" w:rsidR="00574628" w:rsidRPr="009F2135" w:rsidRDefault="00574628" w:rsidP="001F4A4D">
      <w:pPr>
        <w:pStyle w:val="FootnoteText"/>
      </w:pPr>
      <w:r>
        <w:rPr>
          <w:vertAlign w:val="superscript"/>
        </w:rPr>
        <w:tab/>
      </w:r>
      <w:r w:rsidRPr="00324FC1">
        <w:rPr>
          <w:vertAlign w:val="superscript"/>
        </w:rPr>
        <w:footnoteRef/>
      </w:r>
      <w:r w:rsidRPr="009F2135">
        <w:tab/>
        <w:t>Directive 2004/108/EC of the European Parliament and of the Council of 15 December 2004 on the approximation of the laws of the Member States relating to electromagnetic compatibility and repealing Directive 89/336/EEC (OJ L 390, 31.12.2004).</w:t>
      </w:r>
    </w:p>
  </w:footnote>
  <w:footnote w:id="7">
    <w:p w14:paraId="3337127E" w14:textId="1C80804C" w:rsidR="00574628" w:rsidRPr="002D145F" w:rsidRDefault="00574628" w:rsidP="001F4A4D">
      <w:pPr>
        <w:pStyle w:val="FootnoteText"/>
      </w:pPr>
      <w:r w:rsidRPr="002D145F">
        <w:rPr>
          <w:vertAlign w:val="superscript"/>
        </w:rPr>
        <w:tab/>
      </w:r>
      <w:r w:rsidRPr="002D145F">
        <w:rPr>
          <w:vertAlign w:val="superscript"/>
        </w:rPr>
        <w:footnoteRef/>
      </w:r>
      <w:r w:rsidRPr="002D145F">
        <w:rPr>
          <w:vertAlign w:val="superscript"/>
        </w:rPr>
        <w:t xml:space="preserve"> </w:t>
      </w:r>
      <w:r w:rsidRPr="002D145F">
        <w:tab/>
      </w:r>
      <w:proofErr w:type="gramStart"/>
      <w:r w:rsidRPr="002D145F">
        <w:t>MSC.112(</w:t>
      </w:r>
      <w:proofErr w:type="gramEnd"/>
      <w:r w:rsidRPr="002D145F">
        <w:t>73) adopted on 1 December 2000- Revised Performance Standards for Shipborne Global Positioning System (GPS) Receiver Equipment.</w:t>
      </w:r>
    </w:p>
  </w:footnote>
  <w:footnote w:id="8">
    <w:p w14:paraId="62CD2D2F" w14:textId="08C6AA58" w:rsidR="00574628" w:rsidRPr="002D145F" w:rsidRDefault="00574628" w:rsidP="001F4A4D">
      <w:pPr>
        <w:pStyle w:val="FootnoteText"/>
      </w:pPr>
      <w:r w:rsidRPr="002D145F">
        <w:tab/>
      </w:r>
      <w:r w:rsidRPr="002D145F">
        <w:rPr>
          <w:vertAlign w:val="superscript"/>
        </w:rPr>
        <w:footnoteRef/>
      </w:r>
      <w:r w:rsidRPr="002D145F">
        <w:t xml:space="preserve"> </w:t>
      </w:r>
      <w:r w:rsidRPr="002D145F">
        <w:tab/>
      </w:r>
      <w:proofErr w:type="gramStart"/>
      <w:r w:rsidRPr="002D145F">
        <w:t>MSC.114(</w:t>
      </w:r>
      <w:proofErr w:type="gramEnd"/>
      <w:r w:rsidRPr="002D145F">
        <w:t>73) adopted on 1 December 2000 - Revised Performance Standards for Shipborne DGPS and DGLONASS Maritime Radio Beacon Receiver Equipment.</w:t>
      </w:r>
    </w:p>
  </w:footnote>
  <w:footnote w:id="9">
    <w:p w14:paraId="744B53DD" w14:textId="4881B76D" w:rsidR="00574628" w:rsidRPr="002D145F" w:rsidRDefault="00574628" w:rsidP="001F4A4D">
      <w:pPr>
        <w:pStyle w:val="FootnoteText"/>
      </w:pPr>
      <w:r w:rsidRPr="002D145F">
        <w:rPr>
          <w:vertAlign w:val="superscript"/>
        </w:rPr>
        <w:tab/>
      </w:r>
      <w:r w:rsidRPr="002D145F">
        <w:rPr>
          <w:vertAlign w:val="superscript"/>
        </w:rPr>
        <w:footnoteRef/>
      </w:r>
      <w:r w:rsidRPr="002D145F">
        <w:rPr>
          <w:vertAlign w:val="superscript"/>
        </w:rPr>
        <w:t xml:space="preserve"> </w:t>
      </w:r>
      <w:r w:rsidRPr="002D145F">
        <w:tab/>
      </w:r>
      <w:proofErr w:type="gramStart"/>
      <w:r w:rsidRPr="002D145F">
        <w:t>MSC.233(</w:t>
      </w:r>
      <w:proofErr w:type="gramEnd"/>
      <w:r w:rsidRPr="002D145F">
        <w:t>82) adopted on 5 December 2006 - Performance Standards for Shipborne Galileo Receiver Equipment.</w:t>
      </w:r>
    </w:p>
  </w:footnote>
  <w:footnote w:id="10">
    <w:p w14:paraId="08DD45CA" w14:textId="3366B90C" w:rsidR="00574628" w:rsidRPr="002D145F" w:rsidRDefault="00574628" w:rsidP="001F4A4D">
      <w:pPr>
        <w:pStyle w:val="FootnoteText"/>
      </w:pPr>
      <w:r w:rsidRPr="002D145F">
        <w:rPr>
          <w:vertAlign w:val="superscript"/>
        </w:rPr>
        <w:tab/>
      </w:r>
      <w:r w:rsidRPr="002D145F">
        <w:rPr>
          <w:vertAlign w:val="superscript"/>
        </w:rPr>
        <w:footnoteRef/>
      </w:r>
      <w:r w:rsidRPr="002D145F">
        <w:rPr>
          <w:vertAlign w:val="superscript"/>
        </w:rPr>
        <w:t xml:space="preserve"> </w:t>
      </w:r>
      <w:r w:rsidRPr="002D145F">
        <w:tab/>
      </w:r>
      <w:proofErr w:type="gramStart"/>
      <w:r w:rsidRPr="002D145F">
        <w:t>MSC.116(</w:t>
      </w:r>
      <w:proofErr w:type="gramEnd"/>
      <w:r w:rsidRPr="002D145F">
        <w:t>73) adopted on 1 December 2000 - Performance Standards for marine transmitting heading devices (THDs).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C2FC" w14:textId="48BAA0C6" w:rsidR="00574628" w:rsidRPr="00190E8E" w:rsidRDefault="00574628">
    <w:pPr>
      <w:pStyle w:val="Header"/>
    </w:pPr>
    <w:r>
      <w:t>ECE/TRANS/SC.3/WP.3/2017/15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AFB9A" w14:textId="1BEDA2DB" w:rsidR="00574628" w:rsidRPr="00190E8E" w:rsidRDefault="00574628" w:rsidP="00190E8E">
    <w:pPr>
      <w:pStyle w:val="Header"/>
      <w:jc w:val="right"/>
    </w:pPr>
    <w:r>
      <w:t>ECE/TRANS/</w:t>
    </w:r>
    <w:r w:rsidRPr="007A4237">
      <w:t xml:space="preserve"> </w:t>
    </w:r>
    <w:r>
      <w:t>SC.3/WP.3/2017/15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79445F"/>
    <w:multiLevelType w:val="hybridMultilevel"/>
    <w:tmpl w:val="15607F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CC637E"/>
    <w:multiLevelType w:val="singleLevel"/>
    <w:tmpl w:val="FAF418E8"/>
    <w:lvl w:ilvl="0">
      <w:start w:val="1"/>
      <w:numFmt w:val="decimal"/>
      <w:pStyle w:val="ParaNo"/>
      <w:lvlText w:val="%1."/>
      <w:lvlJc w:val="left"/>
      <w:pPr>
        <w:tabs>
          <w:tab w:val="num" w:pos="360"/>
        </w:tabs>
        <w:ind w:left="0" w:firstLine="0"/>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7875225"/>
    <w:multiLevelType w:val="hybridMultilevel"/>
    <w:tmpl w:val="696E2300"/>
    <w:lvl w:ilvl="0" w:tplc="0AE8B0EE">
      <w:start w:val="1"/>
      <w:numFmt w:val="upperRoman"/>
      <w:lvlText w:val="%1."/>
      <w:lvlJc w:val="left"/>
      <w:pPr>
        <w:tabs>
          <w:tab w:val="num" w:pos="567"/>
        </w:tabs>
        <w:ind w:left="567" w:hanging="567"/>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866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D57B74"/>
    <w:multiLevelType w:val="hybridMultilevel"/>
    <w:tmpl w:val="DE5ABDC6"/>
    <w:lvl w:ilvl="0" w:tplc="1654E0B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A6647E"/>
    <w:multiLevelType w:val="hybridMultilevel"/>
    <w:tmpl w:val="51801EF4"/>
    <w:lvl w:ilvl="0" w:tplc="EB164B04">
      <w:start w:val="1"/>
      <w:numFmt w:val="lowerLetter"/>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F80000E"/>
    <w:multiLevelType w:val="hybridMultilevel"/>
    <w:tmpl w:val="E0D273CE"/>
    <w:lvl w:ilvl="0" w:tplc="778E0EF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96DAE"/>
    <w:multiLevelType w:val="hybridMultilevel"/>
    <w:tmpl w:val="01A0AF4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506B6B"/>
    <w:multiLevelType w:val="hybridMultilevel"/>
    <w:tmpl w:val="0F467124"/>
    <w:lvl w:ilvl="0" w:tplc="0409000F">
      <w:start w:val="1"/>
      <w:numFmt w:val="decimal"/>
      <w:lvlText w:val="%1."/>
      <w:lvlJc w:val="left"/>
      <w:pPr>
        <w:tabs>
          <w:tab w:val="num" w:pos="360"/>
        </w:tabs>
        <w:ind w:left="360" w:hanging="360"/>
      </w:pPr>
    </w:lvl>
    <w:lvl w:ilvl="1" w:tplc="ADF073B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FA18C9"/>
    <w:multiLevelType w:val="hybridMultilevel"/>
    <w:tmpl w:val="A6FA5D3C"/>
    <w:lvl w:ilvl="0" w:tplc="2384F3E2">
      <w:start w:val="1"/>
      <w:numFmt w:val="lowerLetter"/>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AD38F8"/>
    <w:multiLevelType w:val="hybridMultilevel"/>
    <w:tmpl w:val="7A56A2C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4729D5"/>
    <w:multiLevelType w:val="hybridMultilevel"/>
    <w:tmpl w:val="9D844B7A"/>
    <w:lvl w:ilvl="0" w:tplc="0F581F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144462"/>
    <w:multiLevelType w:val="hybridMultilevel"/>
    <w:tmpl w:val="265C0D28"/>
    <w:lvl w:ilvl="0" w:tplc="3CB8C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6773633"/>
    <w:multiLevelType w:val="hybridMultilevel"/>
    <w:tmpl w:val="F7422C5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AF72B6"/>
    <w:multiLevelType w:val="hybridMultilevel"/>
    <w:tmpl w:val="68F26688"/>
    <w:lvl w:ilvl="0" w:tplc="F8E2B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FB6C0A"/>
    <w:multiLevelType w:val="hybridMultilevel"/>
    <w:tmpl w:val="003A24A4"/>
    <w:lvl w:ilvl="0" w:tplc="3CB8C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0"/>
  </w:num>
  <w:num w:numId="14">
    <w:abstractNumId w:val="14"/>
  </w:num>
  <w:num w:numId="15">
    <w:abstractNumId w:val="22"/>
  </w:num>
  <w:num w:numId="16">
    <w:abstractNumId w:val="15"/>
  </w:num>
  <w:num w:numId="17">
    <w:abstractNumId w:val="28"/>
  </w:num>
  <w:num w:numId="18">
    <w:abstractNumId w:val="32"/>
  </w:num>
  <w:num w:numId="19">
    <w:abstractNumId w:val="12"/>
  </w:num>
  <w:num w:numId="20">
    <w:abstractNumId w:val="13"/>
  </w:num>
  <w:num w:numId="21">
    <w:abstractNumId w:val="23"/>
  </w:num>
  <w:num w:numId="22">
    <w:abstractNumId w:val="31"/>
  </w:num>
  <w:num w:numId="23">
    <w:abstractNumId w:val="29"/>
  </w:num>
  <w:num w:numId="24">
    <w:abstractNumId w:val="25"/>
  </w:num>
  <w:num w:numId="25">
    <w:abstractNumId w:val="20"/>
  </w:num>
  <w:num w:numId="26">
    <w:abstractNumId w:val="27"/>
  </w:num>
  <w:num w:numId="27">
    <w:abstractNumId w:val="17"/>
  </w:num>
  <w:num w:numId="28">
    <w:abstractNumId w:val="24"/>
  </w:num>
  <w:num w:numId="29">
    <w:abstractNumId w:val="19"/>
  </w:num>
  <w:num w:numId="30">
    <w:abstractNumId w:val="12"/>
  </w:num>
  <w:num w:numId="31">
    <w:abstractNumId w:val="12"/>
  </w:num>
  <w:num w:numId="32">
    <w:abstractNumId w:val="11"/>
  </w:num>
  <w:num w:numId="33">
    <w:abstractNumId w:val="26"/>
  </w:num>
  <w:num w:numId="34">
    <w:abstractNumId w:val="30"/>
  </w:num>
  <w:num w:numId="35">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co Dionori">
    <w15:presenceInfo w15:providerId="None" w15:userId="Francesco Diono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ru-RU" w:vendorID="64" w:dllVersion="131078" w:nlCheck="1" w:checkStyle="0"/>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60"/>
    <w:rsid w:val="00002A7D"/>
    <w:rsid w:val="000038A8"/>
    <w:rsid w:val="00006790"/>
    <w:rsid w:val="000167F3"/>
    <w:rsid w:val="00021FC6"/>
    <w:rsid w:val="00027624"/>
    <w:rsid w:val="000337E7"/>
    <w:rsid w:val="00034160"/>
    <w:rsid w:val="00050F6B"/>
    <w:rsid w:val="000561E9"/>
    <w:rsid w:val="0005624C"/>
    <w:rsid w:val="00061049"/>
    <w:rsid w:val="00062560"/>
    <w:rsid w:val="00065889"/>
    <w:rsid w:val="000678CD"/>
    <w:rsid w:val="00072C8C"/>
    <w:rsid w:val="00074389"/>
    <w:rsid w:val="00077207"/>
    <w:rsid w:val="00081CE0"/>
    <w:rsid w:val="00084D30"/>
    <w:rsid w:val="00085CF1"/>
    <w:rsid w:val="00090320"/>
    <w:rsid w:val="000931C0"/>
    <w:rsid w:val="000932EA"/>
    <w:rsid w:val="000A2E09"/>
    <w:rsid w:val="000B1224"/>
    <w:rsid w:val="000B175B"/>
    <w:rsid w:val="000B3A0F"/>
    <w:rsid w:val="000C579C"/>
    <w:rsid w:val="000D36BB"/>
    <w:rsid w:val="000D7309"/>
    <w:rsid w:val="000E0415"/>
    <w:rsid w:val="000E0A21"/>
    <w:rsid w:val="000E2304"/>
    <w:rsid w:val="000E3C4D"/>
    <w:rsid w:val="000F04A7"/>
    <w:rsid w:val="000F7715"/>
    <w:rsid w:val="001156B8"/>
    <w:rsid w:val="00117031"/>
    <w:rsid w:val="0011746A"/>
    <w:rsid w:val="001319A0"/>
    <w:rsid w:val="00156B99"/>
    <w:rsid w:val="00161A2A"/>
    <w:rsid w:val="00163379"/>
    <w:rsid w:val="00166124"/>
    <w:rsid w:val="00184DDA"/>
    <w:rsid w:val="00186E85"/>
    <w:rsid w:val="001900CD"/>
    <w:rsid w:val="00190E8E"/>
    <w:rsid w:val="001A0452"/>
    <w:rsid w:val="001A7FC9"/>
    <w:rsid w:val="001B2738"/>
    <w:rsid w:val="001B4B04"/>
    <w:rsid w:val="001B5875"/>
    <w:rsid w:val="001B620A"/>
    <w:rsid w:val="001C4B9C"/>
    <w:rsid w:val="001C6663"/>
    <w:rsid w:val="001C7895"/>
    <w:rsid w:val="001D26DF"/>
    <w:rsid w:val="001E5D6C"/>
    <w:rsid w:val="001E77F1"/>
    <w:rsid w:val="001F1599"/>
    <w:rsid w:val="001F19C4"/>
    <w:rsid w:val="001F4A4D"/>
    <w:rsid w:val="002043F0"/>
    <w:rsid w:val="00211E0B"/>
    <w:rsid w:val="0021268E"/>
    <w:rsid w:val="0022026D"/>
    <w:rsid w:val="0022760C"/>
    <w:rsid w:val="00232575"/>
    <w:rsid w:val="00241C00"/>
    <w:rsid w:val="00243BF6"/>
    <w:rsid w:val="00247258"/>
    <w:rsid w:val="00250A13"/>
    <w:rsid w:val="0025405A"/>
    <w:rsid w:val="00257CAC"/>
    <w:rsid w:val="00263ECA"/>
    <w:rsid w:val="0027237A"/>
    <w:rsid w:val="00272F04"/>
    <w:rsid w:val="002974E9"/>
    <w:rsid w:val="002A7F94"/>
    <w:rsid w:val="002B109A"/>
    <w:rsid w:val="002C6D45"/>
    <w:rsid w:val="002D145F"/>
    <w:rsid w:val="002D6E53"/>
    <w:rsid w:val="002D71F2"/>
    <w:rsid w:val="002E6F41"/>
    <w:rsid w:val="002F046D"/>
    <w:rsid w:val="002F7B1D"/>
    <w:rsid w:val="00301764"/>
    <w:rsid w:val="0030391F"/>
    <w:rsid w:val="003117D3"/>
    <w:rsid w:val="00317662"/>
    <w:rsid w:val="003229D8"/>
    <w:rsid w:val="00324FC1"/>
    <w:rsid w:val="003338BB"/>
    <w:rsid w:val="00333F21"/>
    <w:rsid w:val="00336C97"/>
    <w:rsid w:val="00337F88"/>
    <w:rsid w:val="00342432"/>
    <w:rsid w:val="00343B5D"/>
    <w:rsid w:val="00346ACB"/>
    <w:rsid w:val="00351105"/>
    <w:rsid w:val="0035223F"/>
    <w:rsid w:val="00352D4B"/>
    <w:rsid w:val="0035638C"/>
    <w:rsid w:val="003672C4"/>
    <w:rsid w:val="00374C5C"/>
    <w:rsid w:val="00375E63"/>
    <w:rsid w:val="00391E57"/>
    <w:rsid w:val="0039615D"/>
    <w:rsid w:val="003A1BF0"/>
    <w:rsid w:val="003A22B7"/>
    <w:rsid w:val="003A46BB"/>
    <w:rsid w:val="003A4EC7"/>
    <w:rsid w:val="003A7295"/>
    <w:rsid w:val="003B07C1"/>
    <w:rsid w:val="003B1F60"/>
    <w:rsid w:val="003B675D"/>
    <w:rsid w:val="003C2CC4"/>
    <w:rsid w:val="003C7F12"/>
    <w:rsid w:val="003D4B23"/>
    <w:rsid w:val="003D73DF"/>
    <w:rsid w:val="003E278A"/>
    <w:rsid w:val="003E304A"/>
    <w:rsid w:val="004045BC"/>
    <w:rsid w:val="00404917"/>
    <w:rsid w:val="0041159A"/>
    <w:rsid w:val="00413520"/>
    <w:rsid w:val="004325CB"/>
    <w:rsid w:val="00440A07"/>
    <w:rsid w:val="00453085"/>
    <w:rsid w:val="00462880"/>
    <w:rsid w:val="00474228"/>
    <w:rsid w:val="00475F1E"/>
    <w:rsid w:val="00476F24"/>
    <w:rsid w:val="004815C8"/>
    <w:rsid w:val="004A0A4E"/>
    <w:rsid w:val="004B2944"/>
    <w:rsid w:val="004B3BBD"/>
    <w:rsid w:val="004B74F4"/>
    <w:rsid w:val="004C5264"/>
    <w:rsid w:val="004C55B0"/>
    <w:rsid w:val="004C56B8"/>
    <w:rsid w:val="004D34B0"/>
    <w:rsid w:val="004E0AD2"/>
    <w:rsid w:val="004F6BA0"/>
    <w:rsid w:val="00503BEA"/>
    <w:rsid w:val="00504437"/>
    <w:rsid w:val="00511975"/>
    <w:rsid w:val="0051640A"/>
    <w:rsid w:val="00517527"/>
    <w:rsid w:val="005178C4"/>
    <w:rsid w:val="00517CCA"/>
    <w:rsid w:val="0052177D"/>
    <w:rsid w:val="00524A28"/>
    <w:rsid w:val="00525B9A"/>
    <w:rsid w:val="00530293"/>
    <w:rsid w:val="00533616"/>
    <w:rsid w:val="00535ABA"/>
    <w:rsid w:val="0053768B"/>
    <w:rsid w:val="005416C5"/>
    <w:rsid w:val="005420F2"/>
    <w:rsid w:val="0054285C"/>
    <w:rsid w:val="0056083B"/>
    <w:rsid w:val="00561A2E"/>
    <w:rsid w:val="00565302"/>
    <w:rsid w:val="00573C07"/>
    <w:rsid w:val="00574628"/>
    <w:rsid w:val="0057734F"/>
    <w:rsid w:val="00584173"/>
    <w:rsid w:val="00595520"/>
    <w:rsid w:val="00595FFA"/>
    <w:rsid w:val="0059647B"/>
    <w:rsid w:val="00597338"/>
    <w:rsid w:val="005A44B9"/>
    <w:rsid w:val="005B1BA0"/>
    <w:rsid w:val="005B351B"/>
    <w:rsid w:val="005B3DB3"/>
    <w:rsid w:val="005C2811"/>
    <w:rsid w:val="005D0038"/>
    <w:rsid w:val="005D15CA"/>
    <w:rsid w:val="005D18BB"/>
    <w:rsid w:val="005D7B13"/>
    <w:rsid w:val="005F3066"/>
    <w:rsid w:val="005F3E61"/>
    <w:rsid w:val="00604DDD"/>
    <w:rsid w:val="006115CC"/>
    <w:rsid w:val="006116FF"/>
    <w:rsid w:val="00611FC4"/>
    <w:rsid w:val="006176FB"/>
    <w:rsid w:val="006228D0"/>
    <w:rsid w:val="00630FCB"/>
    <w:rsid w:val="00640B26"/>
    <w:rsid w:val="00640BB2"/>
    <w:rsid w:val="00641BBA"/>
    <w:rsid w:val="0066619F"/>
    <w:rsid w:val="00671782"/>
    <w:rsid w:val="00674103"/>
    <w:rsid w:val="00675ACE"/>
    <w:rsid w:val="006770B2"/>
    <w:rsid w:val="00693FB1"/>
    <w:rsid w:val="006940E1"/>
    <w:rsid w:val="0069593E"/>
    <w:rsid w:val="00696194"/>
    <w:rsid w:val="006A3369"/>
    <w:rsid w:val="006A3C72"/>
    <w:rsid w:val="006A3EDE"/>
    <w:rsid w:val="006A7392"/>
    <w:rsid w:val="006B03A1"/>
    <w:rsid w:val="006B67D9"/>
    <w:rsid w:val="006C5535"/>
    <w:rsid w:val="006D0589"/>
    <w:rsid w:val="006D0E3B"/>
    <w:rsid w:val="006D42D0"/>
    <w:rsid w:val="006E000C"/>
    <w:rsid w:val="006E192A"/>
    <w:rsid w:val="006E564B"/>
    <w:rsid w:val="006E7154"/>
    <w:rsid w:val="007003CD"/>
    <w:rsid w:val="00704F0C"/>
    <w:rsid w:val="0070701E"/>
    <w:rsid w:val="007071A2"/>
    <w:rsid w:val="0072632A"/>
    <w:rsid w:val="007358E8"/>
    <w:rsid w:val="00736ECE"/>
    <w:rsid w:val="00744FC7"/>
    <w:rsid w:val="0074533B"/>
    <w:rsid w:val="007478E0"/>
    <w:rsid w:val="007537F2"/>
    <w:rsid w:val="007571E4"/>
    <w:rsid w:val="007643BC"/>
    <w:rsid w:val="00764F08"/>
    <w:rsid w:val="0076571E"/>
    <w:rsid w:val="00766202"/>
    <w:rsid w:val="0079186C"/>
    <w:rsid w:val="007959FE"/>
    <w:rsid w:val="007960C2"/>
    <w:rsid w:val="00796A06"/>
    <w:rsid w:val="00796DB6"/>
    <w:rsid w:val="0079765E"/>
    <w:rsid w:val="007A0CF1"/>
    <w:rsid w:val="007A4237"/>
    <w:rsid w:val="007B190C"/>
    <w:rsid w:val="007B6BA5"/>
    <w:rsid w:val="007C3390"/>
    <w:rsid w:val="007C42D8"/>
    <w:rsid w:val="007C4F4B"/>
    <w:rsid w:val="007C68DC"/>
    <w:rsid w:val="007D7362"/>
    <w:rsid w:val="007E449B"/>
    <w:rsid w:val="007E7A96"/>
    <w:rsid w:val="007F1043"/>
    <w:rsid w:val="007F3367"/>
    <w:rsid w:val="007F58E3"/>
    <w:rsid w:val="007F5CE2"/>
    <w:rsid w:val="007F6611"/>
    <w:rsid w:val="008063BB"/>
    <w:rsid w:val="00810BAC"/>
    <w:rsid w:val="008175E9"/>
    <w:rsid w:val="008242D7"/>
    <w:rsid w:val="0082577B"/>
    <w:rsid w:val="00825D0F"/>
    <w:rsid w:val="00827872"/>
    <w:rsid w:val="008341E4"/>
    <w:rsid w:val="00842DAE"/>
    <w:rsid w:val="00842F3D"/>
    <w:rsid w:val="00857770"/>
    <w:rsid w:val="00861DF2"/>
    <w:rsid w:val="00865428"/>
    <w:rsid w:val="00866893"/>
    <w:rsid w:val="00866F02"/>
    <w:rsid w:val="00867D18"/>
    <w:rsid w:val="00871F9A"/>
    <w:rsid w:val="00871FD5"/>
    <w:rsid w:val="0088172E"/>
    <w:rsid w:val="00881EFA"/>
    <w:rsid w:val="008879CB"/>
    <w:rsid w:val="0089051D"/>
    <w:rsid w:val="00891275"/>
    <w:rsid w:val="008913D8"/>
    <w:rsid w:val="008979B1"/>
    <w:rsid w:val="008A6B25"/>
    <w:rsid w:val="008A6C4F"/>
    <w:rsid w:val="008A70EA"/>
    <w:rsid w:val="008A7CC9"/>
    <w:rsid w:val="008B389E"/>
    <w:rsid w:val="008D045E"/>
    <w:rsid w:val="008D0E7C"/>
    <w:rsid w:val="008D3F25"/>
    <w:rsid w:val="008D4218"/>
    <w:rsid w:val="008D4D82"/>
    <w:rsid w:val="008E0E46"/>
    <w:rsid w:val="008E7116"/>
    <w:rsid w:val="008F143B"/>
    <w:rsid w:val="008F3882"/>
    <w:rsid w:val="008F4B7C"/>
    <w:rsid w:val="009024E7"/>
    <w:rsid w:val="0092682A"/>
    <w:rsid w:val="00926E47"/>
    <w:rsid w:val="00947162"/>
    <w:rsid w:val="009536D7"/>
    <w:rsid w:val="009610D0"/>
    <w:rsid w:val="0096375C"/>
    <w:rsid w:val="009662E6"/>
    <w:rsid w:val="0097095E"/>
    <w:rsid w:val="00980406"/>
    <w:rsid w:val="0098592B"/>
    <w:rsid w:val="00985FC4"/>
    <w:rsid w:val="00990676"/>
    <w:rsid w:val="00990766"/>
    <w:rsid w:val="00991261"/>
    <w:rsid w:val="00993697"/>
    <w:rsid w:val="009964C4"/>
    <w:rsid w:val="00997A97"/>
    <w:rsid w:val="009A7B81"/>
    <w:rsid w:val="009B6656"/>
    <w:rsid w:val="009D01C0"/>
    <w:rsid w:val="009D2468"/>
    <w:rsid w:val="009D2E05"/>
    <w:rsid w:val="009D30B9"/>
    <w:rsid w:val="009D3F56"/>
    <w:rsid w:val="009D6A08"/>
    <w:rsid w:val="009E0A16"/>
    <w:rsid w:val="009E6CB7"/>
    <w:rsid w:val="009E7970"/>
    <w:rsid w:val="009F2135"/>
    <w:rsid w:val="009F2EAC"/>
    <w:rsid w:val="009F57E3"/>
    <w:rsid w:val="009F7BD3"/>
    <w:rsid w:val="00A0695F"/>
    <w:rsid w:val="00A10ABC"/>
    <w:rsid w:val="00A10F4F"/>
    <w:rsid w:val="00A11067"/>
    <w:rsid w:val="00A1704A"/>
    <w:rsid w:val="00A23417"/>
    <w:rsid w:val="00A30153"/>
    <w:rsid w:val="00A30C7A"/>
    <w:rsid w:val="00A37CC3"/>
    <w:rsid w:val="00A40D43"/>
    <w:rsid w:val="00A425EB"/>
    <w:rsid w:val="00A46A3B"/>
    <w:rsid w:val="00A5028E"/>
    <w:rsid w:val="00A72F22"/>
    <w:rsid w:val="00A733BC"/>
    <w:rsid w:val="00A748A6"/>
    <w:rsid w:val="00A76A69"/>
    <w:rsid w:val="00A879A4"/>
    <w:rsid w:val="00A903A5"/>
    <w:rsid w:val="00AA0FF8"/>
    <w:rsid w:val="00AA3BD1"/>
    <w:rsid w:val="00AA4866"/>
    <w:rsid w:val="00AB16F9"/>
    <w:rsid w:val="00AC0F2C"/>
    <w:rsid w:val="00AC1518"/>
    <w:rsid w:val="00AC502A"/>
    <w:rsid w:val="00AC57E2"/>
    <w:rsid w:val="00AC5AF5"/>
    <w:rsid w:val="00AC72F5"/>
    <w:rsid w:val="00AD3E46"/>
    <w:rsid w:val="00AE5576"/>
    <w:rsid w:val="00AF1CA5"/>
    <w:rsid w:val="00AF58C1"/>
    <w:rsid w:val="00B0001E"/>
    <w:rsid w:val="00B04A3F"/>
    <w:rsid w:val="00B06643"/>
    <w:rsid w:val="00B14D7D"/>
    <w:rsid w:val="00B15055"/>
    <w:rsid w:val="00B30179"/>
    <w:rsid w:val="00B31131"/>
    <w:rsid w:val="00B34BEF"/>
    <w:rsid w:val="00B37B15"/>
    <w:rsid w:val="00B416CE"/>
    <w:rsid w:val="00B45C02"/>
    <w:rsid w:val="00B46B30"/>
    <w:rsid w:val="00B47C77"/>
    <w:rsid w:val="00B51414"/>
    <w:rsid w:val="00B659F7"/>
    <w:rsid w:val="00B721A7"/>
    <w:rsid w:val="00B72A1E"/>
    <w:rsid w:val="00B73A37"/>
    <w:rsid w:val="00B81E12"/>
    <w:rsid w:val="00B86BD5"/>
    <w:rsid w:val="00BA339B"/>
    <w:rsid w:val="00BB1AA4"/>
    <w:rsid w:val="00BB493E"/>
    <w:rsid w:val="00BC1E7E"/>
    <w:rsid w:val="00BC3C55"/>
    <w:rsid w:val="00BC74E9"/>
    <w:rsid w:val="00BC7F91"/>
    <w:rsid w:val="00BD4848"/>
    <w:rsid w:val="00BD594D"/>
    <w:rsid w:val="00BD6B9F"/>
    <w:rsid w:val="00BD7C11"/>
    <w:rsid w:val="00BE1D21"/>
    <w:rsid w:val="00BE23E5"/>
    <w:rsid w:val="00BE36A9"/>
    <w:rsid w:val="00BE50CF"/>
    <w:rsid w:val="00BE618E"/>
    <w:rsid w:val="00BE7BEC"/>
    <w:rsid w:val="00BF0A5A"/>
    <w:rsid w:val="00BF0E63"/>
    <w:rsid w:val="00BF12A3"/>
    <w:rsid w:val="00BF16D7"/>
    <w:rsid w:val="00BF2373"/>
    <w:rsid w:val="00C044E2"/>
    <w:rsid w:val="00C048CB"/>
    <w:rsid w:val="00C066F3"/>
    <w:rsid w:val="00C06BD7"/>
    <w:rsid w:val="00C12E1C"/>
    <w:rsid w:val="00C2093A"/>
    <w:rsid w:val="00C463DD"/>
    <w:rsid w:val="00C745C3"/>
    <w:rsid w:val="00C83F07"/>
    <w:rsid w:val="00CA24A4"/>
    <w:rsid w:val="00CA743F"/>
    <w:rsid w:val="00CB348D"/>
    <w:rsid w:val="00CC4838"/>
    <w:rsid w:val="00CD46F5"/>
    <w:rsid w:val="00CE4A8F"/>
    <w:rsid w:val="00CE5EB8"/>
    <w:rsid w:val="00CF06FE"/>
    <w:rsid w:val="00CF071D"/>
    <w:rsid w:val="00D117FE"/>
    <w:rsid w:val="00D15A43"/>
    <w:rsid w:val="00D15B04"/>
    <w:rsid w:val="00D16FF2"/>
    <w:rsid w:val="00D2031B"/>
    <w:rsid w:val="00D208F5"/>
    <w:rsid w:val="00D2387A"/>
    <w:rsid w:val="00D25FE2"/>
    <w:rsid w:val="00D34DF1"/>
    <w:rsid w:val="00D37DA9"/>
    <w:rsid w:val="00D403A3"/>
    <w:rsid w:val="00D40553"/>
    <w:rsid w:val="00D406A7"/>
    <w:rsid w:val="00D43252"/>
    <w:rsid w:val="00D44D86"/>
    <w:rsid w:val="00D50B7D"/>
    <w:rsid w:val="00D52012"/>
    <w:rsid w:val="00D704E5"/>
    <w:rsid w:val="00D71B8C"/>
    <w:rsid w:val="00D72727"/>
    <w:rsid w:val="00D736BD"/>
    <w:rsid w:val="00D77DBE"/>
    <w:rsid w:val="00D86B09"/>
    <w:rsid w:val="00D978C6"/>
    <w:rsid w:val="00DA0956"/>
    <w:rsid w:val="00DA357F"/>
    <w:rsid w:val="00DA3E12"/>
    <w:rsid w:val="00DB35EE"/>
    <w:rsid w:val="00DC18AD"/>
    <w:rsid w:val="00DE1434"/>
    <w:rsid w:val="00DF0AA9"/>
    <w:rsid w:val="00DF7CAE"/>
    <w:rsid w:val="00E0630F"/>
    <w:rsid w:val="00E1414F"/>
    <w:rsid w:val="00E25C5E"/>
    <w:rsid w:val="00E423C0"/>
    <w:rsid w:val="00E439C3"/>
    <w:rsid w:val="00E6414C"/>
    <w:rsid w:val="00E7260F"/>
    <w:rsid w:val="00E849EB"/>
    <w:rsid w:val="00E85FD0"/>
    <w:rsid w:val="00E8702D"/>
    <w:rsid w:val="00E916A9"/>
    <w:rsid w:val="00E916DE"/>
    <w:rsid w:val="00E925AD"/>
    <w:rsid w:val="00E96630"/>
    <w:rsid w:val="00EA5582"/>
    <w:rsid w:val="00EB42D5"/>
    <w:rsid w:val="00ED18DC"/>
    <w:rsid w:val="00ED50EC"/>
    <w:rsid w:val="00ED6201"/>
    <w:rsid w:val="00ED7A2A"/>
    <w:rsid w:val="00EE0910"/>
    <w:rsid w:val="00EF1D7F"/>
    <w:rsid w:val="00EF4C01"/>
    <w:rsid w:val="00F00084"/>
    <w:rsid w:val="00F0137E"/>
    <w:rsid w:val="00F21786"/>
    <w:rsid w:val="00F33D75"/>
    <w:rsid w:val="00F3742B"/>
    <w:rsid w:val="00F41FDB"/>
    <w:rsid w:val="00F50768"/>
    <w:rsid w:val="00F507EC"/>
    <w:rsid w:val="00F56D63"/>
    <w:rsid w:val="00F57E0D"/>
    <w:rsid w:val="00F609A9"/>
    <w:rsid w:val="00F67365"/>
    <w:rsid w:val="00F754A9"/>
    <w:rsid w:val="00F80C99"/>
    <w:rsid w:val="00F81233"/>
    <w:rsid w:val="00F867EC"/>
    <w:rsid w:val="00F87DB5"/>
    <w:rsid w:val="00F91B2B"/>
    <w:rsid w:val="00F96C23"/>
    <w:rsid w:val="00FA2D60"/>
    <w:rsid w:val="00FA5ECF"/>
    <w:rsid w:val="00FB106F"/>
    <w:rsid w:val="00FC03CD"/>
    <w:rsid w:val="00FC0646"/>
    <w:rsid w:val="00FC68B7"/>
    <w:rsid w:val="00FD3145"/>
    <w:rsid w:val="00FE6985"/>
    <w:rsid w:val="00FF4E94"/>
    <w:rsid w:val="00FF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63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ntext Zchn,Car Car Car Zchn,Car Car Car Car Car Car Car Car Car Zchn, Car Car Car Zchn, Car Car Car Car Car Car Car Car Car Zchn, Car Car Car, Car Car Car Car Car Car Car Car Car,Car Car Car,Car Car Car Car Car Car Car Car C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A2D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2D60"/>
    <w:rPr>
      <w:rFonts w:ascii="Tahoma" w:hAnsi="Tahoma" w:cs="Tahoma"/>
      <w:sz w:val="16"/>
      <w:szCs w:val="16"/>
      <w:lang w:eastAsia="en-US"/>
    </w:rPr>
  </w:style>
  <w:style w:type="character" w:customStyle="1" w:styleId="SingleTxtGChar">
    <w:name w:val="_ Single Txt_G Char"/>
    <w:link w:val="SingleTxtG"/>
    <w:rsid w:val="00A40D43"/>
    <w:rPr>
      <w:lang w:eastAsia="en-US"/>
    </w:rPr>
  </w:style>
  <w:style w:type="paragraph" w:customStyle="1" w:styleId="SingleTxtGR">
    <w:name w:val="_ Single Txt_GR"/>
    <w:basedOn w:val="Normal"/>
    <w:rsid w:val="00842F3D"/>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ParaNo">
    <w:name w:val="ParaNo."/>
    <w:basedOn w:val="Normal"/>
    <w:link w:val="ParaNoCharChar"/>
    <w:rsid w:val="003A22B7"/>
    <w:pPr>
      <w:numPr>
        <w:numId w:val="19"/>
      </w:numPr>
      <w:suppressAutoHyphens w:val="0"/>
      <w:spacing w:after="200" w:line="240" w:lineRule="auto"/>
      <w:jc w:val="both"/>
    </w:pPr>
    <w:rPr>
      <w:snapToGrid w:val="0"/>
      <w:sz w:val="24"/>
    </w:rPr>
  </w:style>
  <w:style w:type="character" w:customStyle="1" w:styleId="ParaNoCharChar">
    <w:name w:val="ParaNo. Char Char"/>
    <w:link w:val="ParaNo"/>
    <w:rsid w:val="003A22B7"/>
    <w:rPr>
      <w:snapToGrid w:val="0"/>
      <w:sz w:val="24"/>
      <w:lang w:eastAsia="en-US"/>
    </w:rPr>
  </w:style>
  <w:style w:type="paragraph" w:customStyle="1" w:styleId="Paraa">
    <w:name w:val="Para a)"/>
    <w:basedOn w:val="ParaNo"/>
    <w:rsid w:val="00675ACE"/>
    <w:pPr>
      <w:numPr>
        <w:numId w:val="0"/>
      </w:numPr>
      <w:spacing w:after="140" w:line="264" w:lineRule="auto"/>
      <w:ind w:left="1134" w:hanging="567"/>
    </w:pPr>
    <w:rPr>
      <w:rFonts w:ascii="Verdana" w:hAnsi="Verdana"/>
      <w:sz w:val="21"/>
    </w:rPr>
  </w:style>
  <w:style w:type="paragraph" w:styleId="CommentText">
    <w:name w:val="annotation text"/>
    <w:basedOn w:val="Normal"/>
    <w:link w:val="CommentTextChar"/>
    <w:rsid w:val="00675ACE"/>
    <w:pPr>
      <w:suppressAutoHyphens w:val="0"/>
      <w:spacing w:line="240" w:lineRule="auto"/>
    </w:pPr>
    <w:rPr>
      <w:rFonts w:ascii="Verdana" w:hAnsi="Verdana"/>
    </w:rPr>
  </w:style>
  <w:style w:type="character" w:customStyle="1" w:styleId="CommentTextChar">
    <w:name w:val="Comment Text Char"/>
    <w:basedOn w:val="DefaultParagraphFont"/>
    <w:link w:val="CommentText"/>
    <w:rsid w:val="00675ACE"/>
    <w:rPr>
      <w:rFonts w:ascii="Verdana" w:hAnsi="Verdana"/>
      <w:lang w:eastAsia="en-US"/>
    </w:rPr>
  </w:style>
  <w:style w:type="character" w:styleId="CommentReference">
    <w:name w:val="annotation reference"/>
    <w:rsid w:val="00675ACE"/>
    <w:rPr>
      <w:sz w:val="16"/>
      <w:szCs w:val="16"/>
    </w:rPr>
  </w:style>
  <w:style w:type="character" w:customStyle="1" w:styleId="HeaderChar">
    <w:name w:val="Header Char"/>
    <w:aliases w:val="6_G Char"/>
    <w:link w:val="Header"/>
    <w:rsid w:val="00675ACE"/>
    <w:rPr>
      <w:b/>
      <w:sz w:val="18"/>
      <w:lang w:eastAsia="en-US"/>
    </w:rPr>
  </w:style>
  <w:style w:type="paragraph" w:customStyle="1" w:styleId="Default">
    <w:name w:val="Default"/>
    <w:rsid w:val="008A7CC9"/>
    <w:pPr>
      <w:autoSpaceDE w:val="0"/>
      <w:autoSpaceDN w:val="0"/>
      <w:adjustRightInd w:val="0"/>
    </w:pPr>
    <w:rPr>
      <w:color w:val="000000"/>
      <w:sz w:val="24"/>
      <w:szCs w:val="24"/>
    </w:rPr>
  </w:style>
  <w:style w:type="paragraph" w:customStyle="1" w:styleId="Para">
    <w:name w:val="Para"/>
    <w:basedOn w:val="Normal"/>
    <w:rsid w:val="0057734F"/>
    <w:pPr>
      <w:suppressAutoHyphens w:val="0"/>
      <w:spacing w:after="180" w:line="264" w:lineRule="auto"/>
      <w:ind w:firstLine="567"/>
      <w:jc w:val="both"/>
    </w:pPr>
    <w:rPr>
      <w:rFonts w:ascii="Verdana" w:hAnsi="Verdana"/>
      <w:sz w:val="21"/>
      <w:szCs w:val="24"/>
    </w:rPr>
  </w:style>
  <w:style w:type="paragraph" w:styleId="ListParagraph">
    <w:name w:val="List Paragraph"/>
    <w:basedOn w:val="Normal"/>
    <w:uiPriority w:val="34"/>
    <w:qFormat/>
    <w:rsid w:val="00034160"/>
    <w:pPr>
      <w:ind w:left="720"/>
      <w:contextualSpacing/>
    </w:pPr>
  </w:style>
  <w:style w:type="character" w:styleId="Strong">
    <w:name w:val="Strong"/>
    <w:basedOn w:val="DefaultParagraphFont"/>
    <w:uiPriority w:val="22"/>
    <w:qFormat/>
    <w:rsid w:val="00796A06"/>
    <w:rPr>
      <w:b/>
      <w:bCs/>
    </w:rPr>
  </w:style>
  <w:style w:type="paragraph" w:customStyle="1" w:styleId="ES-Titre3">
    <w:name w:val="ES-Titre 3"/>
    <w:basedOn w:val="Normal"/>
    <w:link w:val="ES-Titre3Car"/>
    <w:qFormat/>
    <w:rsid w:val="001B620A"/>
    <w:pPr>
      <w:suppressAutoHyphens w:val="0"/>
      <w:overflowPunct w:val="0"/>
      <w:autoSpaceDE w:val="0"/>
      <w:autoSpaceDN w:val="0"/>
      <w:adjustRightInd w:val="0"/>
      <w:spacing w:line="240" w:lineRule="exact"/>
      <w:jc w:val="center"/>
      <w:textAlignment w:val="baseline"/>
    </w:pPr>
    <w:rPr>
      <w:rFonts w:ascii="Arial" w:eastAsia="Calibri" w:hAnsi="Arial"/>
      <w:b/>
      <w:sz w:val="22"/>
      <w:szCs w:val="22"/>
      <w:lang w:val="fr-FR"/>
    </w:rPr>
  </w:style>
  <w:style w:type="character" w:customStyle="1" w:styleId="ES-Titre3Car">
    <w:name w:val="ES-Titre 3 Car"/>
    <w:link w:val="ES-Titre3"/>
    <w:rsid w:val="001B620A"/>
    <w:rPr>
      <w:rFonts w:ascii="Arial" w:eastAsia="Calibri" w:hAnsi="Arial"/>
      <w:b/>
      <w:sz w:val="22"/>
      <w:szCs w:val="22"/>
      <w:lang w:val="fr-FR" w:eastAsia="en-US"/>
    </w:rPr>
  </w:style>
  <w:style w:type="paragraph" w:customStyle="1" w:styleId="ESch">
    <w:name w:val="ES_ch"/>
    <w:basedOn w:val="Normal"/>
    <w:qFormat/>
    <w:rsid w:val="001B620A"/>
    <w:pPr>
      <w:suppressAutoHyphens w:val="0"/>
      <w:autoSpaceDE w:val="0"/>
      <w:autoSpaceDN w:val="0"/>
      <w:ind w:left="567" w:hanging="567"/>
      <w:jc w:val="both"/>
    </w:pPr>
    <w:rPr>
      <w:rFonts w:ascii="Arial" w:hAnsi="Arial"/>
      <w:szCs w:val="24"/>
      <w:lang w:val="fr-FR" w:eastAsia="fr-FR"/>
    </w:rPr>
  </w:style>
  <w:style w:type="paragraph" w:customStyle="1" w:styleId="ESlet">
    <w:name w:val="ES_let"/>
    <w:basedOn w:val="Normal"/>
    <w:qFormat/>
    <w:rsid w:val="001B620A"/>
    <w:pPr>
      <w:suppressAutoHyphens w:val="0"/>
      <w:autoSpaceDE w:val="0"/>
      <w:autoSpaceDN w:val="0"/>
      <w:spacing w:before="60"/>
      <w:ind w:left="992" w:hanging="425"/>
      <w:jc w:val="both"/>
    </w:pPr>
    <w:rPr>
      <w:rFonts w:ascii="Arial" w:hAnsi="Arial"/>
      <w:szCs w:val="24"/>
      <w:lang w:val="fr-FR" w:eastAsia="fr-FR"/>
    </w:rPr>
  </w:style>
  <w:style w:type="paragraph" w:customStyle="1" w:styleId="ESletpar">
    <w:name w:val="ES_let_par"/>
    <w:basedOn w:val="Normal"/>
    <w:qFormat/>
    <w:rsid w:val="001B620A"/>
    <w:pPr>
      <w:suppressAutoHyphens w:val="0"/>
      <w:autoSpaceDE w:val="0"/>
      <w:autoSpaceDN w:val="0"/>
      <w:spacing w:before="60"/>
      <w:ind w:left="992"/>
      <w:jc w:val="both"/>
    </w:pPr>
    <w:rPr>
      <w:rFonts w:ascii="Arial" w:hAnsi="Arial"/>
      <w:szCs w:val="24"/>
      <w:lang w:val="fr-FR" w:eastAsia="de-DE"/>
    </w:rPr>
  </w:style>
  <w:style w:type="paragraph" w:customStyle="1" w:styleId="ESchpar">
    <w:name w:val="ES_ch_par"/>
    <w:basedOn w:val="Normal"/>
    <w:qFormat/>
    <w:rsid w:val="001B620A"/>
    <w:pPr>
      <w:suppressAutoHyphens w:val="0"/>
      <w:autoSpaceDE w:val="0"/>
      <w:autoSpaceDN w:val="0"/>
      <w:ind w:left="567"/>
      <w:jc w:val="both"/>
    </w:pPr>
    <w:rPr>
      <w:rFonts w:ascii="Arial" w:hAnsi="Arial"/>
      <w:szCs w:val="24"/>
      <w:lang w:val="fr-FR" w:eastAsia="fr-FR"/>
    </w:rPr>
  </w:style>
  <w:style w:type="paragraph" w:customStyle="1" w:styleId="ES-Titre2">
    <w:name w:val="ES-Titre2"/>
    <w:basedOn w:val="Normal"/>
    <w:link w:val="ES-Titre2Car"/>
    <w:qFormat/>
    <w:rsid w:val="001B620A"/>
    <w:pPr>
      <w:pageBreakBefore/>
      <w:suppressAutoHyphens w:val="0"/>
      <w:overflowPunct w:val="0"/>
      <w:autoSpaceDE w:val="0"/>
      <w:autoSpaceDN w:val="0"/>
      <w:adjustRightInd w:val="0"/>
      <w:jc w:val="center"/>
      <w:textAlignment w:val="baseline"/>
    </w:pPr>
    <w:rPr>
      <w:rFonts w:ascii="Arial" w:eastAsia="Calibri" w:hAnsi="Arial" w:cs="Arial"/>
      <w:b/>
      <w:i/>
      <w:caps/>
      <w:sz w:val="24"/>
      <w:szCs w:val="28"/>
      <w:lang w:val="en-US"/>
    </w:rPr>
  </w:style>
  <w:style w:type="character" w:customStyle="1" w:styleId="ES-Titre2Car">
    <w:name w:val="ES-Titre2 Car"/>
    <w:link w:val="ES-Titre2"/>
    <w:rsid w:val="001B620A"/>
    <w:rPr>
      <w:rFonts w:ascii="Arial" w:eastAsia="Calibri" w:hAnsi="Arial" w:cs="Arial"/>
      <w:b/>
      <w:i/>
      <w:caps/>
      <w:sz w:val="24"/>
      <w:szCs w:val="28"/>
      <w:lang w:val="en-US" w:eastAsia="en-US"/>
    </w:rPr>
  </w:style>
  <w:style w:type="character" w:customStyle="1" w:styleId="FootnoteTextChar">
    <w:name w:val="Footnote Text Char"/>
    <w:aliases w:val="5_G Char,Fußnotentext Zchn Char,Car Car Car Zchn Char,Car Car Car Car Car Car Car Car Car Zchn Char, Car Car Car Zchn Char, Car Car Car Car Car Car Car Car Car Zchn Char, Car Car Car Char, Car Car Car Car Car Car Car Car Car Char"/>
    <w:link w:val="FootnoteText"/>
    <w:rsid w:val="00C2093A"/>
    <w:rPr>
      <w:sz w:val="18"/>
      <w:lang w:eastAsia="en-US"/>
    </w:rPr>
  </w:style>
  <w:style w:type="paragraph" w:customStyle="1" w:styleId="ESTitre3a">
    <w:name w:val="ES_Titre 3a"/>
    <w:basedOn w:val="ES-Titre3"/>
    <w:qFormat/>
    <w:rsid w:val="009F2135"/>
    <w:rPr>
      <w:i/>
    </w:rPr>
  </w:style>
  <w:style w:type="paragraph" w:styleId="CommentSubject">
    <w:name w:val="annotation subject"/>
    <w:basedOn w:val="CommentText"/>
    <w:next w:val="CommentText"/>
    <w:link w:val="CommentSubjectChar"/>
    <w:semiHidden/>
    <w:unhideWhenUsed/>
    <w:rsid w:val="00524A28"/>
    <w:pPr>
      <w:suppressAutoHyphens/>
    </w:pPr>
    <w:rPr>
      <w:rFonts w:ascii="Times New Roman" w:hAnsi="Times New Roman"/>
      <w:b/>
      <w:bCs/>
    </w:rPr>
  </w:style>
  <w:style w:type="character" w:customStyle="1" w:styleId="CommentSubjectChar">
    <w:name w:val="Comment Subject Char"/>
    <w:basedOn w:val="CommentTextChar"/>
    <w:link w:val="CommentSubject"/>
    <w:semiHidden/>
    <w:rsid w:val="00524A28"/>
    <w:rPr>
      <w:rFonts w:ascii="Verdana"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ntext Zchn,Car Car Car Zchn,Car Car Car Car Car Car Car Car Car Zchn, Car Car Car Zchn, Car Car Car Car Car Car Car Car Car Zchn, Car Car Car, Car Car Car Car Car Car Car Car Car,Car Car Car,Car Car Car Car Car Car Car Car C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A2D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2D60"/>
    <w:rPr>
      <w:rFonts w:ascii="Tahoma" w:hAnsi="Tahoma" w:cs="Tahoma"/>
      <w:sz w:val="16"/>
      <w:szCs w:val="16"/>
      <w:lang w:eastAsia="en-US"/>
    </w:rPr>
  </w:style>
  <w:style w:type="character" w:customStyle="1" w:styleId="SingleTxtGChar">
    <w:name w:val="_ Single Txt_G Char"/>
    <w:link w:val="SingleTxtG"/>
    <w:rsid w:val="00A40D43"/>
    <w:rPr>
      <w:lang w:eastAsia="en-US"/>
    </w:rPr>
  </w:style>
  <w:style w:type="paragraph" w:customStyle="1" w:styleId="SingleTxtGR">
    <w:name w:val="_ Single Txt_GR"/>
    <w:basedOn w:val="Normal"/>
    <w:rsid w:val="00842F3D"/>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ParaNo">
    <w:name w:val="ParaNo."/>
    <w:basedOn w:val="Normal"/>
    <w:link w:val="ParaNoCharChar"/>
    <w:rsid w:val="003A22B7"/>
    <w:pPr>
      <w:numPr>
        <w:numId w:val="19"/>
      </w:numPr>
      <w:suppressAutoHyphens w:val="0"/>
      <w:spacing w:after="200" w:line="240" w:lineRule="auto"/>
      <w:jc w:val="both"/>
    </w:pPr>
    <w:rPr>
      <w:snapToGrid w:val="0"/>
      <w:sz w:val="24"/>
    </w:rPr>
  </w:style>
  <w:style w:type="character" w:customStyle="1" w:styleId="ParaNoCharChar">
    <w:name w:val="ParaNo. Char Char"/>
    <w:link w:val="ParaNo"/>
    <w:rsid w:val="003A22B7"/>
    <w:rPr>
      <w:snapToGrid w:val="0"/>
      <w:sz w:val="24"/>
      <w:lang w:eastAsia="en-US"/>
    </w:rPr>
  </w:style>
  <w:style w:type="paragraph" w:customStyle="1" w:styleId="Paraa">
    <w:name w:val="Para a)"/>
    <w:basedOn w:val="ParaNo"/>
    <w:rsid w:val="00675ACE"/>
    <w:pPr>
      <w:numPr>
        <w:numId w:val="0"/>
      </w:numPr>
      <w:spacing w:after="140" w:line="264" w:lineRule="auto"/>
      <w:ind w:left="1134" w:hanging="567"/>
    </w:pPr>
    <w:rPr>
      <w:rFonts w:ascii="Verdana" w:hAnsi="Verdana"/>
      <w:sz w:val="21"/>
    </w:rPr>
  </w:style>
  <w:style w:type="paragraph" w:styleId="CommentText">
    <w:name w:val="annotation text"/>
    <w:basedOn w:val="Normal"/>
    <w:link w:val="CommentTextChar"/>
    <w:rsid w:val="00675ACE"/>
    <w:pPr>
      <w:suppressAutoHyphens w:val="0"/>
      <w:spacing w:line="240" w:lineRule="auto"/>
    </w:pPr>
    <w:rPr>
      <w:rFonts w:ascii="Verdana" w:hAnsi="Verdana"/>
    </w:rPr>
  </w:style>
  <w:style w:type="character" w:customStyle="1" w:styleId="CommentTextChar">
    <w:name w:val="Comment Text Char"/>
    <w:basedOn w:val="DefaultParagraphFont"/>
    <w:link w:val="CommentText"/>
    <w:rsid w:val="00675ACE"/>
    <w:rPr>
      <w:rFonts w:ascii="Verdana" w:hAnsi="Verdana"/>
      <w:lang w:eastAsia="en-US"/>
    </w:rPr>
  </w:style>
  <w:style w:type="character" w:styleId="CommentReference">
    <w:name w:val="annotation reference"/>
    <w:rsid w:val="00675ACE"/>
    <w:rPr>
      <w:sz w:val="16"/>
      <w:szCs w:val="16"/>
    </w:rPr>
  </w:style>
  <w:style w:type="character" w:customStyle="1" w:styleId="HeaderChar">
    <w:name w:val="Header Char"/>
    <w:aliases w:val="6_G Char"/>
    <w:link w:val="Header"/>
    <w:rsid w:val="00675ACE"/>
    <w:rPr>
      <w:b/>
      <w:sz w:val="18"/>
      <w:lang w:eastAsia="en-US"/>
    </w:rPr>
  </w:style>
  <w:style w:type="paragraph" w:customStyle="1" w:styleId="Default">
    <w:name w:val="Default"/>
    <w:rsid w:val="008A7CC9"/>
    <w:pPr>
      <w:autoSpaceDE w:val="0"/>
      <w:autoSpaceDN w:val="0"/>
      <w:adjustRightInd w:val="0"/>
    </w:pPr>
    <w:rPr>
      <w:color w:val="000000"/>
      <w:sz w:val="24"/>
      <w:szCs w:val="24"/>
    </w:rPr>
  </w:style>
  <w:style w:type="paragraph" w:customStyle="1" w:styleId="Para">
    <w:name w:val="Para"/>
    <w:basedOn w:val="Normal"/>
    <w:rsid w:val="0057734F"/>
    <w:pPr>
      <w:suppressAutoHyphens w:val="0"/>
      <w:spacing w:after="180" w:line="264" w:lineRule="auto"/>
      <w:ind w:firstLine="567"/>
      <w:jc w:val="both"/>
    </w:pPr>
    <w:rPr>
      <w:rFonts w:ascii="Verdana" w:hAnsi="Verdana"/>
      <w:sz w:val="21"/>
      <w:szCs w:val="24"/>
    </w:rPr>
  </w:style>
  <w:style w:type="paragraph" w:styleId="ListParagraph">
    <w:name w:val="List Paragraph"/>
    <w:basedOn w:val="Normal"/>
    <w:uiPriority w:val="34"/>
    <w:qFormat/>
    <w:rsid w:val="00034160"/>
    <w:pPr>
      <w:ind w:left="720"/>
      <w:contextualSpacing/>
    </w:pPr>
  </w:style>
  <w:style w:type="character" w:styleId="Strong">
    <w:name w:val="Strong"/>
    <w:basedOn w:val="DefaultParagraphFont"/>
    <w:uiPriority w:val="22"/>
    <w:qFormat/>
    <w:rsid w:val="00796A06"/>
    <w:rPr>
      <w:b/>
      <w:bCs/>
    </w:rPr>
  </w:style>
  <w:style w:type="paragraph" w:customStyle="1" w:styleId="ES-Titre3">
    <w:name w:val="ES-Titre 3"/>
    <w:basedOn w:val="Normal"/>
    <w:link w:val="ES-Titre3Car"/>
    <w:qFormat/>
    <w:rsid w:val="001B620A"/>
    <w:pPr>
      <w:suppressAutoHyphens w:val="0"/>
      <w:overflowPunct w:val="0"/>
      <w:autoSpaceDE w:val="0"/>
      <w:autoSpaceDN w:val="0"/>
      <w:adjustRightInd w:val="0"/>
      <w:spacing w:line="240" w:lineRule="exact"/>
      <w:jc w:val="center"/>
      <w:textAlignment w:val="baseline"/>
    </w:pPr>
    <w:rPr>
      <w:rFonts w:ascii="Arial" w:eastAsia="Calibri" w:hAnsi="Arial"/>
      <w:b/>
      <w:sz w:val="22"/>
      <w:szCs w:val="22"/>
      <w:lang w:val="fr-FR"/>
    </w:rPr>
  </w:style>
  <w:style w:type="character" w:customStyle="1" w:styleId="ES-Titre3Car">
    <w:name w:val="ES-Titre 3 Car"/>
    <w:link w:val="ES-Titre3"/>
    <w:rsid w:val="001B620A"/>
    <w:rPr>
      <w:rFonts w:ascii="Arial" w:eastAsia="Calibri" w:hAnsi="Arial"/>
      <w:b/>
      <w:sz w:val="22"/>
      <w:szCs w:val="22"/>
      <w:lang w:val="fr-FR" w:eastAsia="en-US"/>
    </w:rPr>
  </w:style>
  <w:style w:type="paragraph" w:customStyle="1" w:styleId="ESch">
    <w:name w:val="ES_ch"/>
    <w:basedOn w:val="Normal"/>
    <w:qFormat/>
    <w:rsid w:val="001B620A"/>
    <w:pPr>
      <w:suppressAutoHyphens w:val="0"/>
      <w:autoSpaceDE w:val="0"/>
      <w:autoSpaceDN w:val="0"/>
      <w:ind w:left="567" w:hanging="567"/>
      <w:jc w:val="both"/>
    </w:pPr>
    <w:rPr>
      <w:rFonts w:ascii="Arial" w:hAnsi="Arial"/>
      <w:szCs w:val="24"/>
      <w:lang w:val="fr-FR" w:eastAsia="fr-FR"/>
    </w:rPr>
  </w:style>
  <w:style w:type="paragraph" w:customStyle="1" w:styleId="ESlet">
    <w:name w:val="ES_let"/>
    <w:basedOn w:val="Normal"/>
    <w:qFormat/>
    <w:rsid w:val="001B620A"/>
    <w:pPr>
      <w:suppressAutoHyphens w:val="0"/>
      <w:autoSpaceDE w:val="0"/>
      <w:autoSpaceDN w:val="0"/>
      <w:spacing w:before="60"/>
      <w:ind w:left="992" w:hanging="425"/>
      <w:jc w:val="both"/>
    </w:pPr>
    <w:rPr>
      <w:rFonts w:ascii="Arial" w:hAnsi="Arial"/>
      <w:szCs w:val="24"/>
      <w:lang w:val="fr-FR" w:eastAsia="fr-FR"/>
    </w:rPr>
  </w:style>
  <w:style w:type="paragraph" w:customStyle="1" w:styleId="ESletpar">
    <w:name w:val="ES_let_par"/>
    <w:basedOn w:val="Normal"/>
    <w:qFormat/>
    <w:rsid w:val="001B620A"/>
    <w:pPr>
      <w:suppressAutoHyphens w:val="0"/>
      <w:autoSpaceDE w:val="0"/>
      <w:autoSpaceDN w:val="0"/>
      <w:spacing w:before="60"/>
      <w:ind w:left="992"/>
      <w:jc w:val="both"/>
    </w:pPr>
    <w:rPr>
      <w:rFonts w:ascii="Arial" w:hAnsi="Arial"/>
      <w:szCs w:val="24"/>
      <w:lang w:val="fr-FR" w:eastAsia="de-DE"/>
    </w:rPr>
  </w:style>
  <w:style w:type="paragraph" w:customStyle="1" w:styleId="ESchpar">
    <w:name w:val="ES_ch_par"/>
    <w:basedOn w:val="Normal"/>
    <w:qFormat/>
    <w:rsid w:val="001B620A"/>
    <w:pPr>
      <w:suppressAutoHyphens w:val="0"/>
      <w:autoSpaceDE w:val="0"/>
      <w:autoSpaceDN w:val="0"/>
      <w:ind w:left="567"/>
      <w:jc w:val="both"/>
    </w:pPr>
    <w:rPr>
      <w:rFonts w:ascii="Arial" w:hAnsi="Arial"/>
      <w:szCs w:val="24"/>
      <w:lang w:val="fr-FR" w:eastAsia="fr-FR"/>
    </w:rPr>
  </w:style>
  <w:style w:type="paragraph" w:customStyle="1" w:styleId="ES-Titre2">
    <w:name w:val="ES-Titre2"/>
    <w:basedOn w:val="Normal"/>
    <w:link w:val="ES-Titre2Car"/>
    <w:qFormat/>
    <w:rsid w:val="001B620A"/>
    <w:pPr>
      <w:pageBreakBefore/>
      <w:suppressAutoHyphens w:val="0"/>
      <w:overflowPunct w:val="0"/>
      <w:autoSpaceDE w:val="0"/>
      <w:autoSpaceDN w:val="0"/>
      <w:adjustRightInd w:val="0"/>
      <w:jc w:val="center"/>
      <w:textAlignment w:val="baseline"/>
    </w:pPr>
    <w:rPr>
      <w:rFonts w:ascii="Arial" w:eastAsia="Calibri" w:hAnsi="Arial" w:cs="Arial"/>
      <w:b/>
      <w:i/>
      <w:caps/>
      <w:sz w:val="24"/>
      <w:szCs w:val="28"/>
      <w:lang w:val="en-US"/>
    </w:rPr>
  </w:style>
  <w:style w:type="character" w:customStyle="1" w:styleId="ES-Titre2Car">
    <w:name w:val="ES-Titre2 Car"/>
    <w:link w:val="ES-Titre2"/>
    <w:rsid w:val="001B620A"/>
    <w:rPr>
      <w:rFonts w:ascii="Arial" w:eastAsia="Calibri" w:hAnsi="Arial" w:cs="Arial"/>
      <w:b/>
      <w:i/>
      <w:caps/>
      <w:sz w:val="24"/>
      <w:szCs w:val="28"/>
      <w:lang w:val="en-US" w:eastAsia="en-US"/>
    </w:rPr>
  </w:style>
  <w:style w:type="character" w:customStyle="1" w:styleId="FootnoteTextChar">
    <w:name w:val="Footnote Text Char"/>
    <w:aliases w:val="5_G Char,Fußnotentext Zchn Char,Car Car Car Zchn Char,Car Car Car Car Car Car Car Car Car Zchn Char, Car Car Car Zchn Char, Car Car Car Car Car Car Car Car Car Zchn Char, Car Car Car Char, Car Car Car Car Car Car Car Car Car Char"/>
    <w:link w:val="FootnoteText"/>
    <w:rsid w:val="00C2093A"/>
    <w:rPr>
      <w:sz w:val="18"/>
      <w:lang w:eastAsia="en-US"/>
    </w:rPr>
  </w:style>
  <w:style w:type="paragraph" w:customStyle="1" w:styleId="ESTitre3a">
    <w:name w:val="ES_Titre 3a"/>
    <w:basedOn w:val="ES-Titre3"/>
    <w:qFormat/>
    <w:rsid w:val="009F2135"/>
    <w:rPr>
      <w:i/>
    </w:rPr>
  </w:style>
  <w:style w:type="paragraph" w:styleId="CommentSubject">
    <w:name w:val="annotation subject"/>
    <w:basedOn w:val="CommentText"/>
    <w:next w:val="CommentText"/>
    <w:link w:val="CommentSubjectChar"/>
    <w:semiHidden/>
    <w:unhideWhenUsed/>
    <w:rsid w:val="00524A28"/>
    <w:pPr>
      <w:suppressAutoHyphens/>
    </w:pPr>
    <w:rPr>
      <w:rFonts w:ascii="Times New Roman" w:hAnsi="Times New Roman"/>
      <w:b/>
      <w:bCs/>
    </w:rPr>
  </w:style>
  <w:style w:type="character" w:customStyle="1" w:styleId="CommentSubjectChar">
    <w:name w:val="Comment Subject Char"/>
    <w:basedOn w:val="CommentTextChar"/>
    <w:link w:val="CommentSubject"/>
    <w:semiHidden/>
    <w:rsid w:val="00524A28"/>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BDE4-F81A-4A28-80E7-33BDAF94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208</TotalTime>
  <Pages>20</Pages>
  <Words>5887</Words>
  <Characters>33556</Characters>
  <Application>Microsoft Office Word</Application>
  <DocSecurity>0</DocSecurity>
  <Lines>279</Lines>
  <Paragraphs>78</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Ivanova</dc:creator>
  <cp:lastModifiedBy>brynkina</cp:lastModifiedBy>
  <cp:revision>113</cp:revision>
  <cp:lastPrinted>2017-04-04T07:25:00Z</cp:lastPrinted>
  <dcterms:created xsi:type="dcterms:W3CDTF">2017-03-27T12:24:00Z</dcterms:created>
  <dcterms:modified xsi:type="dcterms:W3CDTF">2017-04-04T07:48:00Z</dcterms:modified>
</cp:coreProperties>
</file>