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B53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B5399" w:rsidP="007B5399">
            <w:pPr>
              <w:jc w:val="right"/>
            </w:pPr>
            <w:r w:rsidRPr="007B5399">
              <w:rPr>
                <w:sz w:val="40"/>
              </w:rPr>
              <w:t>ECE</w:t>
            </w:r>
            <w:r>
              <w:t>/TRANS/SC.1/407</w:t>
            </w:r>
          </w:p>
        </w:tc>
      </w:tr>
      <w:tr w:rsidR="002D5AAC" w:rsidRPr="007555F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B53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B5399" w:rsidRDefault="007B5399" w:rsidP="007B53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2017</w:t>
            </w:r>
          </w:p>
          <w:p w:rsidR="007B5399" w:rsidRDefault="007B5399" w:rsidP="007B53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B5399" w:rsidRPr="008D53B6" w:rsidRDefault="007B5399" w:rsidP="007B53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DB0A08">
      <w:pPr>
        <w:spacing w:before="10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55F8" w:rsidRPr="007555F8" w:rsidRDefault="007555F8" w:rsidP="00DB0A08">
      <w:pPr>
        <w:spacing w:before="100"/>
        <w:rPr>
          <w:sz w:val="28"/>
          <w:szCs w:val="28"/>
        </w:rPr>
      </w:pPr>
      <w:r w:rsidRPr="007555F8">
        <w:rPr>
          <w:sz w:val="28"/>
          <w:szCs w:val="28"/>
        </w:rPr>
        <w:t>Комитет по внутреннему транспорту</w:t>
      </w:r>
    </w:p>
    <w:p w:rsidR="007555F8" w:rsidRPr="007555F8" w:rsidRDefault="007555F8" w:rsidP="00DB0A08">
      <w:pPr>
        <w:spacing w:before="100"/>
        <w:rPr>
          <w:b/>
          <w:sz w:val="24"/>
          <w:szCs w:val="24"/>
        </w:rPr>
      </w:pPr>
      <w:r w:rsidRPr="007555F8">
        <w:rPr>
          <w:b/>
          <w:sz w:val="24"/>
          <w:szCs w:val="24"/>
        </w:rPr>
        <w:t>Рабочая группа по автомобильному транспорту</w:t>
      </w:r>
    </w:p>
    <w:p w:rsidR="007555F8" w:rsidRPr="007555F8" w:rsidRDefault="007555F8" w:rsidP="00DB0A08">
      <w:pPr>
        <w:spacing w:before="100"/>
        <w:rPr>
          <w:b/>
        </w:rPr>
      </w:pPr>
      <w:r w:rsidRPr="007555F8">
        <w:rPr>
          <w:b/>
        </w:rPr>
        <w:t>112-я сессия</w:t>
      </w:r>
      <w:r w:rsidRPr="007555F8">
        <w:rPr>
          <w:b/>
        </w:rPr>
        <w:br/>
      </w:r>
      <w:r w:rsidRPr="007555F8">
        <w:t>Женева, 17 и 18 октября 2017 года</w:t>
      </w:r>
      <w:r w:rsidRPr="007555F8">
        <w:br/>
        <w:t>Пункт 1 предварительной повестки дня</w:t>
      </w:r>
      <w:r w:rsidRPr="007555F8">
        <w:br/>
      </w:r>
      <w:r w:rsidRPr="007555F8">
        <w:rPr>
          <w:b/>
        </w:rPr>
        <w:t>Утверждение повестки дня</w:t>
      </w:r>
    </w:p>
    <w:p w:rsidR="007555F8" w:rsidRPr="007555F8" w:rsidRDefault="007555F8" w:rsidP="007555F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555F8">
        <w:t xml:space="preserve">Аннотированная предварительная повестка дня </w:t>
      </w:r>
      <w:r w:rsidRPr="007555F8">
        <w:br/>
        <w:t>112-й сессии</w:t>
      </w:r>
      <w:r w:rsidRPr="007555F8">
        <w:rPr>
          <w:b w:val="0"/>
          <w:position w:val="6"/>
          <w:sz w:val="18"/>
          <w:szCs w:val="18"/>
          <w:vertAlign w:val="superscript"/>
          <w:lang w:val="en-GB"/>
        </w:rPr>
        <w:footnoteReference w:id="1"/>
      </w:r>
      <w:r w:rsidRPr="007555F8">
        <w:rPr>
          <w:b w:val="0"/>
          <w:position w:val="6"/>
          <w:sz w:val="18"/>
          <w:szCs w:val="18"/>
          <w:vertAlign w:val="superscript"/>
        </w:rPr>
        <w:t>,</w:t>
      </w:r>
      <w:r w:rsidRPr="007555F8">
        <w:rPr>
          <w:b w:val="0"/>
          <w:position w:val="6"/>
          <w:sz w:val="10"/>
          <w:szCs w:val="10"/>
          <w:vertAlign w:val="superscript"/>
        </w:rPr>
        <w:t xml:space="preserve"> </w:t>
      </w:r>
      <w:r w:rsidRPr="007555F8">
        <w:rPr>
          <w:b w:val="0"/>
          <w:position w:val="6"/>
          <w:sz w:val="18"/>
          <w:szCs w:val="18"/>
          <w:vertAlign w:val="superscript"/>
          <w:lang w:val="en-US"/>
        </w:rPr>
        <w:footnoteReference w:id="2"/>
      </w:r>
      <w:r w:rsidRPr="007555F8">
        <w:t>,</w:t>
      </w:r>
    </w:p>
    <w:p w:rsidR="007555F8" w:rsidRPr="007555F8" w:rsidRDefault="007555F8" w:rsidP="007555F8">
      <w:pPr>
        <w:pStyle w:val="SingleTxtGR"/>
      </w:pPr>
      <w:r w:rsidRPr="007555F8">
        <w:t xml:space="preserve">которая состоится в зале № </w:t>
      </w:r>
      <w:r w:rsidRPr="007555F8">
        <w:rPr>
          <w:lang w:val="en-GB"/>
        </w:rPr>
        <w:t>VIII</w:t>
      </w:r>
      <w:r w:rsidRPr="007555F8">
        <w:t xml:space="preserve"> во Дворце Наций в Женеве и откроется во вторник, 17 октября 2017 года, в 9 ч. 30 м.</w:t>
      </w:r>
    </w:p>
    <w:p w:rsidR="007555F8" w:rsidRDefault="00DB0A08" w:rsidP="007555F8">
      <w:pPr>
        <w:pStyle w:val="HChGR"/>
        <w:rPr>
          <w:lang w:val="en-US"/>
        </w:rPr>
      </w:pPr>
      <w:r>
        <w:tab/>
      </w:r>
      <w:r w:rsidR="007555F8" w:rsidRPr="007555F8">
        <w:rPr>
          <w:lang w:val="en-GB"/>
        </w:rPr>
        <w:t>I</w:t>
      </w:r>
      <w:r w:rsidR="007555F8" w:rsidRPr="007555F8">
        <w:t>.</w:t>
      </w:r>
      <w:r w:rsidR="007555F8" w:rsidRPr="007555F8">
        <w:tab/>
        <w:t>Предварительная повестка дня</w:t>
      </w:r>
    </w:p>
    <w:p w:rsidR="007555F8" w:rsidRPr="00D13038" w:rsidRDefault="007555F8" w:rsidP="00DB0A08">
      <w:pPr>
        <w:pStyle w:val="SingleTxtGR"/>
        <w:spacing w:after="100"/>
        <w:rPr>
          <w:lang w:eastAsia="ru-RU"/>
        </w:rPr>
      </w:pPr>
      <w:r w:rsidRPr="00D13038">
        <w:rPr>
          <w:lang w:eastAsia="ru-RU"/>
        </w:rPr>
        <w:t>1.</w:t>
      </w:r>
      <w:r w:rsidRPr="00D13038">
        <w:rPr>
          <w:lang w:eastAsia="ru-RU"/>
        </w:rPr>
        <w:tab/>
        <w:t>Утверждение повестки дня.</w:t>
      </w:r>
    </w:p>
    <w:p w:rsidR="007555F8" w:rsidRPr="00D13038" w:rsidRDefault="007555F8" w:rsidP="00DB0A08">
      <w:pPr>
        <w:pStyle w:val="SingleTxtGR"/>
        <w:spacing w:after="100"/>
        <w:rPr>
          <w:lang w:eastAsia="ru-RU"/>
        </w:rPr>
      </w:pPr>
      <w:r w:rsidRPr="00D13038">
        <w:rPr>
          <w:lang w:eastAsia="ru-RU"/>
        </w:rPr>
        <w:t>2.</w:t>
      </w:r>
      <w:r w:rsidRPr="00D13038">
        <w:rPr>
          <w:lang w:eastAsia="ru-RU"/>
        </w:rPr>
        <w:tab/>
        <w:t>Деятельность, представляющая интерес для Рабочей группы:</w:t>
      </w:r>
    </w:p>
    <w:p w:rsidR="007555F8" w:rsidRPr="00D13038" w:rsidRDefault="00D13038" w:rsidP="00DB0A08">
      <w:pPr>
        <w:pStyle w:val="SingleTxtGR"/>
        <w:spacing w:after="100"/>
        <w:rPr>
          <w:lang w:val="en-GB" w:eastAsia="ru-RU"/>
        </w:rPr>
      </w:pPr>
      <w:r>
        <w:rPr>
          <w:lang w:eastAsia="ru-RU"/>
        </w:rPr>
        <w:tab/>
      </w:r>
      <w:r w:rsidR="007555F8" w:rsidRPr="007555F8">
        <w:rPr>
          <w:lang w:val="en-GB" w:eastAsia="ru-RU"/>
        </w:rPr>
        <w:t>a)</w:t>
      </w:r>
      <w:r w:rsidR="007555F8" w:rsidRPr="007555F8">
        <w:rPr>
          <w:lang w:val="en-GB" w:eastAsia="ru-RU"/>
        </w:rPr>
        <w:tab/>
      </w:r>
      <w:r w:rsidRPr="00D13038">
        <w:rPr>
          <w:lang w:eastAsia="ru-RU"/>
        </w:rPr>
        <w:t>н</w:t>
      </w:r>
      <w:r w:rsidR="007555F8" w:rsidRPr="00D13038">
        <w:rPr>
          <w:lang w:eastAsia="ru-RU"/>
        </w:rPr>
        <w:t>ациональные</w:t>
      </w:r>
      <w:r w:rsidR="007555F8" w:rsidRPr="00D13038">
        <w:rPr>
          <w:lang w:val="en-US" w:eastAsia="ru-RU"/>
        </w:rPr>
        <w:t xml:space="preserve"> </w:t>
      </w:r>
      <w:r w:rsidR="007555F8" w:rsidRPr="00D13038">
        <w:rPr>
          <w:lang w:eastAsia="ru-RU"/>
        </w:rPr>
        <w:t>делегации</w:t>
      </w:r>
      <w:r w:rsidR="007555F8" w:rsidRPr="00D13038">
        <w:rPr>
          <w:lang w:val="en-GB" w:eastAsia="ru-RU"/>
        </w:rPr>
        <w:t>;</w:t>
      </w:r>
    </w:p>
    <w:p w:rsidR="007555F8" w:rsidRPr="00D13038" w:rsidRDefault="00D13038" w:rsidP="00DB0A08">
      <w:pPr>
        <w:pStyle w:val="SingleTxtGR"/>
        <w:spacing w:after="100"/>
        <w:rPr>
          <w:lang w:eastAsia="ru-RU"/>
        </w:rPr>
      </w:pPr>
      <w:r w:rsidRPr="00D13038">
        <w:rPr>
          <w:lang w:val="en-US" w:eastAsia="ru-RU"/>
        </w:rPr>
        <w:tab/>
      </w:r>
      <w:r w:rsidR="007555F8" w:rsidRPr="007555F8">
        <w:rPr>
          <w:lang w:val="en-GB" w:eastAsia="ru-RU"/>
        </w:rPr>
        <w:t>b</w:t>
      </w:r>
      <w:r w:rsidR="007555F8" w:rsidRPr="00D13038">
        <w:rPr>
          <w:lang w:eastAsia="ru-RU"/>
        </w:rPr>
        <w:t>)</w:t>
      </w:r>
      <w:r w:rsidR="007555F8" w:rsidRPr="00D13038">
        <w:rPr>
          <w:lang w:eastAsia="ru-RU"/>
        </w:rPr>
        <w:tab/>
      </w:r>
      <w:r w:rsidRPr="00D13038">
        <w:rPr>
          <w:lang w:eastAsia="ru-RU"/>
        </w:rPr>
        <w:t>м</w:t>
      </w:r>
      <w:r w:rsidR="007555F8" w:rsidRPr="00D13038">
        <w:rPr>
          <w:lang w:eastAsia="ru-RU"/>
        </w:rPr>
        <w:t>еждународные организации;</w:t>
      </w:r>
    </w:p>
    <w:p w:rsidR="007555F8" w:rsidRPr="00D13038" w:rsidRDefault="007555F8" w:rsidP="00DB0A08">
      <w:pPr>
        <w:pStyle w:val="SingleTxtGR"/>
        <w:spacing w:after="100"/>
        <w:ind w:left="2268" w:hanging="567"/>
        <w:rPr>
          <w:lang w:eastAsia="ru-RU"/>
        </w:rPr>
      </w:pPr>
      <w:r w:rsidRPr="007555F8">
        <w:rPr>
          <w:lang w:val="en-GB" w:eastAsia="ru-RU"/>
        </w:rPr>
        <w:lastRenderedPageBreak/>
        <w:t>c</w:t>
      </w:r>
      <w:r w:rsidRPr="00D13038">
        <w:rPr>
          <w:lang w:eastAsia="ru-RU"/>
        </w:rPr>
        <w:t>)</w:t>
      </w:r>
      <w:r w:rsidRPr="00D13038">
        <w:rPr>
          <w:lang w:eastAsia="ru-RU"/>
        </w:rPr>
        <w:tab/>
      </w:r>
      <w:r w:rsidR="00D13038" w:rsidRPr="00D13038">
        <w:rPr>
          <w:lang w:eastAsia="ru-RU"/>
        </w:rPr>
        <w:t>д</w:t>
      </w:r>
      <w:r w:rsidRPr="00D13038">
        <w:rPr>
          <w:lang w:eastAsia="ru-RU"/>
        </w:rPr>
        <w:t>еятельность органов ЕЭК ООН и других организаций системы Организации Объединенных Наций.</w:t>
      </w:r>
    </w:p>
    <w:p w:rsidR="007555F8" w:rsidRPr="00D13038" w:rsidRDefault="007555F8" w:rsidP="00D13038">
      <w:pPr>
        <w:pStyle w:val="SingleTxtGR"/>
        <w:ind w:left="1701" w:hanging="567"/>
        <w:rPr>
          <w:lang w:eastAsia="ru-RU"/>
        </w:rPr>
      </w:pPr>
      <w:r w:rsidRPr="00D13038">
        <w:rPr>
          <w:lang w:eastAsia="ru-RU"/>
        </w:rPr>
        <w:t>3.</w:t>
      </w:r>
      <w:r w:rsidRPr="00D13038">
        <w:rPr>
          <w:lang w:eastAsia="ru-RU"/>
        </w:rPr>
        <w:tab/>
        <w:t>Европейское соглашение, касающееся работы экипажей транспортных средств, производящих международные автомобильные перевозки (ЕСТР):</w:t>
      </w:r>
    </w:p>
    <w:p w:rsidR="007555F8" w:rsidRPr="00D13038" w:rsidRDefault="007555F8" w:rsidP="00D13038">
      <w:pPr>
        <w:pStyle w:val="SingleTxtGR"/>
        <w:ind w:left="2268" w:hanging="567"/>
        <w:rPr>
          <w:lang w:eastAsia="ru-RU"/>
        </w:rPr>
      </w:pPr>
      <w:r w:rsidRPr="00D13038">
        <w:rPr>
          <w:lang w:val="en-US" w:eastAsia="ru-RU"/>
        </w:rPr>
        <w:t>a</w:t>
      </w:r>
      <w:r w:rsidRPr="00D13038">
        <w:rPr>
          <w:lang w:eastAsia="ru-RU"/>
        </w:rPr>
        <w:t>)</w:t>
      </w:r>
      <w:r w:rsidRPr="00D13038">
        <w:rPr>
          <w:lang w:eastAsia="ru-RU"/>
        </w:rPr>
        <w:tab/>
      </w:r>
      <w:r w:rsidR="00D13038">
        <w:rPr>
          <w:lang w:eastAsia="ru-RU"/>
        </w:rPr>
        <w:t>с</w:t>
      </w:r>
      <w:r w:rsidRPr="00D13038">
        <w:rPr>
          <w:lang w:eastAsia="ru-RU"/>
        </w:rPr>
        <w:t>татус Соглашения;</w:t>
      </w:r>
    </w:p>
    <w:p w:rsidR="007555F8" w:rsidRPr="00D13038" w:rsidRDefault="007555F8" w:rsidP="00D13038">
      <w:pPr>
        <w:pStyle w:val="SingleTxtGR"/>
        <w:ind w:left="2268" w:hanging="567"/>
        <w:rPr>
          <w:lang w:eastAsia="ru-RU"/>
        </w:rPr>
      </w:pPr>
      <w:r w:rsidRPr="00D13038">
        <w:rPr>
          <w:lang w:val="en-US" w:eastAsia="ru-RU"/>
        </w:rPr>
        <w:t>b</w:t>
      </w:r>
      <w:r w:rsidRPr="00D13038">
        <w:rPr>
          <w:lang w:eastAsia="ru-RU"/>
        </w:rPr>
        <w:t>)</w:t>
      </w:r>
      <w:r w:rsidRPr="00D13038">
        <w:rPr>
          <w:lang w:eastAsia="ru-RU"/>
        </w:rPr>
        <w:tab/>
        <w:t>Группа экспертов по ЕСТР.</w:t>
      </w:r>
    </w:p>
    <w:p w:rsidR="007555F8" w:rsidRPr="00D13038" w:rsidRDefault="007555F8" w:rsidP="007555F8">
      <w:pPr>
        <w:pStyle w:val="SingleTxtGR"/>
        <w:rPr>
          <w:lang w:eastAsia="ru-RU"/>
        </w:rPr>
      </w:pPr>
      <w:r w:rsidRPr="00D13038">
        <w:rPr>
          <w:lang w:eastAsia="ru-RU"/>
        </w:rPr>
        <w:t>4.</w:t>
      </w:r>
      <w:r w:rsidRPr="00D13038">
        <w:rPr>
          <w:lang w:eastAsia="ru-RU"/>
        </w:rPr>
        <w:tab/>
        <w:t>Европейское соглашение о международных автомагистралях (СМА):</w:t>
      </w:r>
    </w:p>
    <w:p w:rsidR="007555F8" w:rsidRPr="00D13038" w:rsidRDefault="007555F8" w:rsidP="00D13038">
      <w:pPr>
        <w:pStyle w:val="SingleTxtGR"/>
        <w:ind w:left="2268" w:hanging="567"/>
        <w:rPr>
          <w:lang w:eastAsia="ru-RU"/>
        </w:rPr>
      </w:pPr>
      <w:r w:rsidRPr="00D13038">
        <w:rPr>
          <w:lang w:val="en-US" w:eastAsia="ru-RU"/>
        </w:rPr>
        <w:t>a</w:t>
      </w:r>
      <w:r w:rsidRPr="00D13038">
        <w:rPr>
          <w:lang w:eastAsia="ru-RU"/>
        </w:rPr>
        <w:t>)</w:t>
      </w:r>
      <w:r w:rsidRPr="00D13038">
        <w:rPr>
          <w:lang w:eastAsia="ru-RU"/>
        </w:rPr>
        <w:tab/>
      </w:r>
      <w:r w:rsidR="00D13038">
        <w:rPr>
          <w:lang w:eastAsia="ru-RU"/>
        </w:rPr>
        <w:t>с</w:t>
      </w:r>
      <w:r w:rsidRPr="00D13038">
        <w:rPr>
          <w:lang w:eastAsia="ru-RU"/>
        </w:rPr>
        <w:t>татус Соглашения;</w:t>
      </w:r>
    </w:p>
    <w:p w:rsidR="007555F8" w:rsidRPr="00D13038" w:rsidRDefault="007555F8" w:rsidP="00D13038">
      <w:pPr>
        <w:pStyle w:val="SingleTxtGR"/>
        <w:ind w:left="2268" w:hanging="567"/>
        <w:rPr>
          <w:lang w:eastAsia="ru-RU"/>
        </w:rPr>
      </w:pPr>
      <w:r w:rsidRPr="00D13038">
        <w:rPr>
          <w:lang w:val="en-US" w:eastAsia="ru-RU"/>
        </w:rPr>
        <w:t>b</w:t>
      </w:r>
      <w:r w:rsidRPr="00D13038">
        <w:rPr>
          <w:lang w:eastAsia="ru-RU"/>
        </w:rPr>
        <w:t>)</w:t>
      </w:r>
      <w:r w:rsidRPr="00D13038">
        <w:rPr>
          <w:lang w:eastAsia="ru-RU"/>
        </w:rPr>
        <w:tab/>
      </w:r>
      <w:r w:rsidR="00D13038">
        <w:rPr>
          <w:lang w:eastAsia="ru-RU"/>
        </w:rPr>
        <w:t>п</w:t>
      </w:r>
      <w:r w:rsidRPr="00D13038">
        <w:rPr>
          <w:lang w:eastAsia="ru-RU"/>
        </w:rPr>
        <w:t>оправки к Соглашению</w:t>
      </w:r>
      <w:r w:rsidR="00D13038">
        <w:rPr>
          <w:lang w:eastAsia="ru-RU"/>
        </w:rPr>
        <w:t>.</w:t>
      </w:r>
    </w:p>
    <w:p w:rsidR="007555F8" w:rsidRPr="00D13038" w:rsidRDefault="007555F8" w:rsidP="007555F8">
      <w:pPr>
        <w:pStyle w:val="SingleTxtGR"/>
        <w:rPr>
          <w:lang w:eastAsia="ru-RU"/>
        </w:rPr>
      </w:pPr>
      <w:r w:rsidRPr="00D13038">
        <w:rPr>
          <w:lang w:eastAsia="ru-RU"/>
        </w:rPr>
        <w:t>5.</w:t>
      </w:r>
      <w:r w:rsidRPr="00D13038">
        <w:rPr>
          <w:lang w:eastAsia="ru-RU"/>
        </w:rPr>
        <w:tab/>
        <w:t>Проект Трансъевропейской автомагистрали Север–Юг (ТЕА).</w:t>
      </w:r>
    </w:p>
    <w:p w:rsidR="007555F8" w:rsidRPr="00D13038" w:rsidRDefault="007555F8" w:rsidP="00D13038">
      <w:pPr>
        <w:pStyle w:val="SingleTxtGR"/>
        <w:ind w:left="1701" w:hanging="567"/>
        <w:rPr>
          <w:lang w:eastAsia="ru-RU"/>
        </w:rPr>
      </w:pPr>
      <w:r w:rsidRPr="00D13038">
        <w:rPr>
          <w:lang w:eastAsia="ru-RU"/>
        </w:rPr>
        <w:t>6.</w:t>
      </w:r>
      <w:r w:rsidRPr="00D13038">
        <w:rPr>
          <w:lang w:eastAsia="ru-RU"/>
        </w:rPr>
        <w:tab/>
        <w:t>Конвенция о договоре международной дорожной перевозки грузов (КДПГ):</w:t>
      </w:r>
    </w:p>
    <w:p w:rsidR="007555F8" w:rsidRPr="00D13038" w:rsidRDefault="007555F8" w:rsidP="00D13038">
      <w:pPr>
        <w:pStyle w:val="SingleTxtGR"/>
        <w:ind w:left="2268" w:hanging="567"/>
        <w:rPr>
          <w:lang w:eastAsia="ru-RU"/>
        </w:rPr>
      </w:pPr>
      <w:r w:rsidRPr="00D13038">
        <w:rPr>
          <w:lang w:val="en-US" w:eastAsia="ru-RU"/>
        </w:rPr>
        <w:t>a</w:t>
      </w:r>
      <w:r w:rsidRPr="00D13038">
        <w:rPr>
          <w:lang w:eastAsia="ru-RU"/>
        </w:rPr>
        <w:t>)</w:t>
      </w:r>
      <w:r w:rsidRPr="00D13038">
        <w:rPr>
          <w:lang w:eastAsia="ru-RU"/>
        </w:rPr>
        <w:tab/>
      </w:r>
      <w:r w:rsidR="00D13038">
        <w:rPr>
          <w:lang w:eastAsia="ru-RU"/>
        </w:rPr>
        <w:t>с</w:t>
      </w:r>
      <w:r w:rsidRPr="00D13038">
        <w:rPr>
          <w:lang w:eastAsia="ru-RU"/>
        </w:rPr>
        <w:t>татус Конвенции;</w:t>
      </w:r>
    </w:p>
    <w:p w:rsidR="007555F8" w:rsidRPr="00D13038" w:rsidRDefault="007555F8" w:rsidP="00D13038">
      <w:pPr>
        <w:pStyle w:val="SingleTxtGR"/>
        <w:ind w:left="2268" w:hanging="567"/>
        <w:rPr>
          <w:lang w:eastAsia="ru-RU"/>
        </w:rPr>
      </w:pPr>
      <w:r w:rsidRPr="00D13038">
        <w:rPr>
          <w:lang w:val="en-US" w:eastAsia="ru-RU"/>
        </w:rPr>
        <w:t>b</w:t>
      </w:r>
      <w:r w:rsidRPr="00D13038">
        <w:rPr>
          <w:lang w:eastAsia="ru-RU"/>
        </w:rPr>
        <w:t>)</w:t>
      </w:r>
      <w:r w:rsidRPr="00D13038">
        <w:rPr>
          <w:lang w:eastAsia="ru-RU"/>
        </w:rPr>
        <w:tab/>
        <w:t>Протокол к Конвенции о договоре международной дорожной пер</w:t>
      </w:r>
      <w:r w:rsidRPr="00D13038">
        <w:rPr>
          <w:lang w:eastAsia="ru-RU"/>
        </w:rPr>
        <w:t>е</w:t>
      </w:r>
      <w:r w:rsidRPr="00D13038">
        <w:rPr>
          <w:lang w:eastAsia="ru-RU"/>
        </w:rPr>
        <w:t>возки грузов (КДПГ);</w:t>
      </w:r>
    </w:p>
    <w:p w:rsidR="007555F8" w:rsidRPr="00F51CE0" w:rsidRDefault="007555F8" w:rsidP="00D13038">
      <w:pPr>
        <w:pStyle w:val="SingleTxtGR"/>
        <w:ind w:left="2268" w:hanging="567"/>
        <w:rPr>
          <w:lang w:eastAsia="ru-RU"/>
        </w:rPr>
      </w:pPr>
      <w:r w:rsidRPr="00D13038">
        <w:rPr>
          <w:lang w:val="en-US" w:eastAsia="ru-RU"/>
        </w:rPr>
        <w:t>c</w:t>
      </w:r>
      <w:r w:rsidRPr="00F51CE0">
        <w:rPr>
          <w:lang w:eastAsia="ru-RU"/>
        </w:rPr>
        <w:t>)</w:t>
      </w:r>
      <w:r w:rsidRPr="00F51CE0">
        <w:rPr>
          <w:lang w:eastAsia="ru-RU"/>
        </w:rPr>
        <w:tab/>
        <w:t>Дополнительный протокол к КДПГ, касающийся электронной накладной.</w:t>
      </w:r>
    </w:p>
    <w:p w:rsidR="007555F8" w:rsidRPr="007555F8" w:rsidRDefault="007555F8" w:rsidP="007555F8">
      <w:pPr>
        <w:pStyle w:val="SingleTxtGR"/>
        <w:rPr>
          <w:lang w:val="en-GB" w:eastAsia="ru-RU"/>
        </w:rPr>
      </w:pPr>
      <w:r w:rsidRPr="007555F8">
        <w:rPr>
          <w:lang w:val="en-GB" w:eastAsia="ru-RU"/>
        </w:rPr>
        <w:t>7.</w:t>
      </w:r>
      <w:r w:rsidRPr="007555F8">
        <w:rPr>
          <w:lang w:val="en-GB" w:eastAsia="ru-RU"/>
        </w:rPr>
        <w:tab/>
      </w:r>
      <w:r w:rsidRPr="00F51CE0">
        <w:rPr>
          <w:lang w:eastAsia="ru-RU"/>
        </w:rPr>
        <w:t>Облегчение</w:t>
      </w:r>
      <w:r w:rsidRPr="00F51CE0">
        <w:rPr>
          <w:lang w:val="en-US" w:eastAsia="ru-RU"/>
        </w:rPr>
        <w:t xml:space="preserve"> </w:t>
      </w:r>
      <w:r w:rsidRPr="00F51CE0">
        <w:rPr>
          <w:lang w:eastAsia="ru-RU"/>
        </w:rPr>
        <w:t>международных</w:t>
      </w:r>
      <w:r w:rsidRPr="00F51CE0">
        <w:rPr>
          <w:lang w:val="en-US" w:eastAsia="ru-RU"/>
        </w:rPr>
        <w:t xml:space="preserve"> </w:t>
      </w:r>
      <w:r w:rsidRPr="00F51CE0">
        <w:rPr>
          <w:lang w:eastAsia="ru-RU"/>
        </w:rPr>
        <w:t>автомобильных</w:t>
      </w:r>
      <w:r w:rsidRPr="00F51CE0">
        <w:rPr>
          <w:lang w:val="en-US" w:eastAsia="ru-RU"/>
        </w:rPr>
        <w:t xml:space="preserve"> </w:t>
      </w:r>
      <w:r w:rsidRPr="00F51CE0">
        <w:rPr>
          <w:lang w:eastAsia="ru-RU"/>
        </w:rPr>
        <w:t>перевозок</w:t>
      </w:r>
      <w:r w:rsidRPr="007555F8">
        <w:rPr>
          <w:lang w:val="en-GB" w:eastAsia="ru-RU"/>
        </w:rPr>
        <w:t>:</w:t>
      </w:r>
    </w:p>
    <w:p w:rsidR="007555F8" w:rsidRPr="00F51CE0" w:rsidRDefault="007555F8" w:rsidP="00D13038">
      <w:pPr>
        <w:pStyle w:val="SingleTxtGR"/>
        <w:ind w:left="2268" w:hanging="567"/>
        <w:rPr>
          <w:lang w:eastAsia="ru-RU"/>
        </w:rPr>
      </w:pPr>
      <w:r w:rsidRPr="00F51CE0">
        <w:rPr>
          <w:lang w:val="en-US" w:eastAsia="ru-RU"/>
        </w:rPr>
        <w:t>a</w:t>
      </w:r>
      <w:r w:rsidRPr="00F51CE0">
        <w:rPr>
          <w:lang w:eastAsia="ru-RU"/>
        </w:rPr>
        <w:t>)</w:t>
      </w:r>
      <w:r w:rsidRPr="00F51CE0">
        <w:rPr>
          <w:lang w:eastAsia="ru-RU"/>
        </w:rPr>
        <w:tab/>
      </w:r>
      <w:r w:rsidR="00F51CE0" w:rsidRPr="00F51CE0">
        <w:rPr>
          <w:lang w:eastAsia="ru-RU"/>
        </w:rPr>
        <w:t>м</w:t>
      </w:r>
      <w:r w:rsidRPr="00F51CE0">
        <w:rPr>
          <w:lang w:eastAsia="ru-RU"/>
        </w:rPr>
        <w:t>еждународная система страхования автотранспортных средств («Зеленая карта»);</w:t>
      </w:r>
    </w:p>
    <w:p w:rsidR="007555F8" w:rsidRPr="00F51CE0" w:rsidRDefault="007555F8" w:rsidP="00D13038">
      <w:pPr>
        <w:pStyle w:val="SingleTxtGR"/>
        <w:ind w:left="2268" w:hanging="567"/>
        <w:rPr>
          <w:lang w:eastAsia="ru-RU"/>
        </w:rPr>
      </w:pPr>
      <w:r w:rsidRPr="00F51CE0">
        <w:rPr>
          <w:lang w:val="en-US" w:eastAsia="ru-RU"/>
        </w:rPr>
        <w:t>b</w:t>
      </w:r>
      <w:r w:rsidRPr="00F51CE0">
        <w:rPr>
          <w:lang w:eastAsia="ru-RU"/>
        </w:rPr>
        <w:t>)</w:t>
      </w:r>
      <w:r w:rsidRPr="00F51CE0">
        <w:rPr>
          <w:lang w:eastAsia="ru-RU"/>
        </w:rPr>
        <w:tab/>
      </w:r>
      <w:r w:rsidR="00F51CE0" w:rsidRPr="00F51CE0">
        <w:rPr>
          <w:lang w:eastAsia="ru-RU"/>
        </w:rPr>
        <w:t>п</w:t>
      </w:r>
      <w:r w:rsidRPr="00F51CE0">
        <w:rPr>
          <w:lang w:eastAsia="ru-RU"/>
        </w:rPr>
        <w:t>редложение по глобальному многостороннему соглашению о</w:t>
      </w:r>
      <w:r w:rsidRPr="00F51CE0">
        <w:rPr>
          <w:lang w:val="en-GB" w:eastAsia="ru-RU"/>
        </w:rPr>
        <w:t> </w:t>
      </w:r>
      <w:r w:rsidRPr="00F51CE0">
        <w:rPr>
          <w:lang w:eastAsia="ru-RU"/>
        </w:rPr>
        <w:t>международных р</w:t>
      </w:r>
      <w:r w:rsidR="00F51CE0" w:rsidRPr="00F51CE0">
        <w:rPr>
          <w:lang w:eastAsia="ru-RU"/>
        </w:rPr>
        <w:t>егулярных перевозках пассажиров</w:t>
      </w:r>
      <w:r w:rsidR="00F51CE0">
        <w:rPr>
          <w:lang w:eastAsia="ru-RU"/>
        </w:rPr>
        <w:t xml:space="preserve"> </w:t>
      </w:r>
      <w:r w:rsidRPr="00F51CE0">
        <w:rPr>
          <w:lang w:eastAsia="ru-RU"/>
        </w:rPr>
        <w:t>междугоро</w:t>
      </w:r>
      <w:r w:rsidRPr="00F51CE0">
        <w:rPr>
          <w:lang w:eastAsia="ru-RU"/>
        </w:rPr>
        <w:t>д</w:t>
      </w:r>
      <w:r w:rsidRPr="00F51CE0">
        <w:rPr>
          <w:lang w:eastAsia="ru-RU"/>
        </w:rPr>
        <w:t>ными и</w:t>
      </w:r>
      <w:r w:rsidRPr="00F51CE0">
        <w:rPr>
          <w:lang w:val="en-GB" w:eastAsia="ru-RU"/>
        </w:rPr>
        <w:t> </w:t>
      </w:r>
      <w:r w:rsidRPr="00F51CE0">
        <w:rPr>
          <w:lang w:eastAsia="ru-RU"/>
        </w:rPr>
        <w:t>городскими автобусами («ОмниБУС»);</w:t>
      </w:r>
    </w:p>
    <w:p w:rsidR="007555F8" w:rsidRPr="00F51CE0" w:rsidRDefault="007555F8" w:rsidP="00D13038">
      <w:pPr>
        <w:pStyle w:val="SingleTxtGR"/>
        <w:ind w:left="2268" w:hanging="567"/>
        <w:rPr>
          <w:lang w:eastAsia="ru-RU"/>
        </w:rPr>
      </w:pPr>
      <w:r w:rsidRPr="00F51CE0">
        <w:rPr>
          <w:lang w:val="en-US" w:eastAsia="ru-RU"/>
        </w:rPr>
        <w:t>c</w:t>
      </w:r>
      <w:r w:rsidRPr="00F51CE0">
        <w:rPr>
          <w:lang w:eastAsia="ru-RU"/>
        </w:rPr>
        <w:t>)</w:t>
      </w:r>
      <w:r w:rsidRPr="00F51CE0">
        <w:rPr>
          <w:lang w:eastAsia="ru-RU"/>
        </w:rPr>
        <w:tab/>
      </w:r>
      <w:r w:rsidR="00F51CE0">
        <w:rPr>
          <w:lang w:eastAsia="ru-RU"/>
        </w:rPr>
        <w:t>к</w:t>
      </w:r>
      <w:r w:rsidRPr="00F51CE0">
        <w:rPr>
          <w:lang w:eastAsia="ru-RU"/>
        </w:rPr>
        <w:t>оличественные ограничения на международные автомобильные перевозки грузов;</w:t>
      </w:r>
    </w:p>
    <w:p w:rsidR="007555F8" w:rsidRPr="00F51CE0" w:rsidRDefault="007555F8" w:rsidP="00D13038">
      <w:pPr>
        <w:pStyle w:val="SingleTxtGR"/>
        <w:ind w:left="2268" w:hanging="567"/>
        <w:rPr>
          <w:lang w:eastAsia="ru-RU"/>
        </w:rPr>
      </w:pPr>
      <w:r w:rsidRPr="00F51CE0">
        <w:rPr>
          <w:lang w:val="en-US" w:eastAsia="ru-RU"/>
        </w:rPr>
        <w:t>d</w:t>
      </w:r>
      <w:r w:rsidRPr="00F51CE0">
        <w:rPr>
          <w:lang w:eastAsia="ru-RU"/>
        </w:rPr>
        <w:t>)</w:t>
      </w:r>
      <w:r w:rsidRPr="00F51CE0">
        <w:rPr>
          <w:lang w:eastAsia="ru-RU"/>
        </w:rPr>
        <w:tab/>
      </w:r>
      <w:r w:rsidR="00F51CE0">
        <w:rPr>
          <w:lang w:eastAsia="ru-RU"/>
        </w:rPr>
        <w:t>с</w:t>
      </w:r>
      <w:r w:rsidRPr="00F51CE0">
        <w:rPr>
          <w:lang w:eastAsia="ru-RU"/>
        </w:rPr>
        <w:t>вязь между происхождением товаров и транспортными операци</w:t>
      </w:r>
      <w:r w:rsidRPr="00F51CE0">
        <w:rPr>
          <w:lang w:eastAsia="ru-RU"/>
        </w:rPr>
        <w:t>я</w:t>
      </w:r>
      <w:r w:rsidRPr="00F51CE0">
        <w:rPr>
          <w:lang w:eastAsia="ru-RU"/>
        </w:rPr>
        <w:t>ми.</w:t>
      </w:r>
    </w:p>
    <w:p w:rsidR="007555F8" w:rsidRPr="00F51CE0" w:rsidRDefault="007555F8" w:rsidP="007555F8">
      <w:pPr>
        <w:pStyle w:val="SingleTxtGR"/>
        <w:rPr>
          <w:lang w:eastAsia="ru-RU"/>
        </w:rPr>
      </w:pPr>
      <w:r w:rsidRPr="00F51CE0">
        <w:rPr>
          <w:lang w:eastAsia="ru-RU"/>
        </w:rPr>
        <w:t>8.</w:t>
      </w:r>
      <w:r w:rsidRPr="00F51CE0">
        <w:rPr>
          <w:lang w:eastAsia="ru-RU"/>
        </w:rPr>
        <w:tab/>
        <w:t>Группа экспертов по безопасности на железнодорожных переездах.</w:t>
      </w:r>
    </w:p>
    <w:p w:rsidR="007555F8" w:rsidRPr="00F51CE0" w:rsidRDefault="007555F8" w:rsidP="007555F8">
      <w:pPr>
        <w:pStyle w:val="SingleTxtGR"/>
        <w:rPr>
          <w:lang w:eastAsia="ru-RU"/>
        </w:rPr>
      </w:pPr>
      <w:r w:rsidRPr="00F51CE0">
        <w:rPr>
          <w:lang w:eastAsia="ru-RU"/>
        </w:rPr>
        <w:t>9.</w:t>
      </w:r>
      <w:r w:rsidRPr="00F51CE0">
        <w:rPr>
          <w:lang w:eastAsia="ru-RU"/>
        </w:rPr>
        <w:tab/>
        <w:t xml:space="preserve">Пересмотр круга ведения и правил процедуры </w:t>
      </w:r>
      <w:r w:rsidRPr="00F51CE0">
        <w:rPr>
          <w:lang w:val="en-GB" w:eastAsia="ru-RU"/>
        </w:rPr>
        <w:t>SC</w:t>
      </w:r>
      <w:r w:rsidRPr="00F51CE0">
        <w:rPr>
          <w:lang w:eastAsia="ru-RU"/>
        </w:rPr>
        <w:t>.1.</w:t>
      </w:r>
    </w:p>
    <w:p w:rsidR="007555F8" w:rsidRPr="00F51CE0" w:rsidRDefault="007555F8" w:rsidP="007555F8">
      <w:pPr>
        <w:pStyle w:val="SingleTxtGR"/>
        <w:rPr>
          <w:lang w:eastAsia="ru-RU"/>
        </w:rPr>
      </w:pPr>
      <w:r w:rsidRPr="00F51CE0">
        <w:rPr>
          <w:lang w:eastAsia="ru-RU"/>
        </w:rPr>
        <w:t>10.</w:t>
      </w:r>
      <w:r w:rsidRPr="00F51CE0">
        <w:rPr>
          <w:lang w:eastAsia="ru-RU"/>
        </w:rPr>
        <w:tab/>
        <w:t>Программа работы и двухгодичная оценка.</w:t>
      </w:r>
    </w:p>
    <w:p w:rsidR="007555F8" w:rsidRPr="00F51CE0" w:rsidRDefault="007555F8" w:rsidP="007555F8">
      <w:pPr>
        <w:pStyle w:val="SingleTxtGR"/>
        <w:rPr>
          <w:lang w:eastAsia="ru-RU"/>
        </w:rPr>
      </w:pPr>
      <w:r w:rsidRPr="00F51CE0">
        <w:rPr>
          <w:lang w:eastAsia="ru-RU"/>
        </w:rPr>
        <w:t>11.</w:t>
      </w:r>
      <w:r w:rsidRPr="00F51CE0">
        <w:rPr>
          <w:lang w:eastAsia="ru-RU"/>
        </w:rPr>
        <w:tab/>
        <w:t>Прочие вопросы.</w:t>
      </w:r>
    </w:p>
    <w:p w:rsidR="007555F8" w:rsidRPr="00F51CE0" w:rsidRDefault="007555F8" w:rsidP="007555F8">
      <w:pPr>
        <w:pStyle w:val="SingleTxtGR"/>
        <w:rPr>
          <w:lang w:eastAsia="ru-RU"/>
        </w:rPr>
      </w:pPr>
      <w:r w:rsidRPr="00F51CE0">
        <w:rPr>
          <w:lang w:eastAsia="ru-RU"/>
        </w:rPr>
        <w:t>12.</w:t>
      </w:r>
      <w:r w:rsidRPr="00F51CE0">
        <w:rPr>
          <w:lang w:eastAsia="ru-RU"/>
        </w:rPr>
        <w:tab/>
        <w:t>Сроки проведения следующей сессии.</w:t>
      </w:r>
    </w:p>
    <w:p w:rsidR="007555F8" w:rsidRPr="007555F8" w:rsidRDefault="007555F8" w:rsidP="007555F8">
      <w:pPr>
        <w:pStyle w:val="SingleTxtGR"/>
        <w:rPr>
          <w:lang w:val="en-GB" w:eastAsia="ru-RU"/>
        </w:rPr>
      </w:pPr>
      <w:r w:rsidRPr="007555F8">
        <w:rPr>
          <w:lang w:val="en-GB" w:eastAsia="ru-RU"/>
        </w:rPr>
        <w:t>13.</w:t>
      </w:r>
      <w:r w:rsidRPr="007555F8">
        <w:rPr>
          <w:lang w:val="en-GB" w:eastAsia="ru-RU"/>
        </w:rPr>
        <w:tab/>
      </w:r>
      <w:r w:rsidRPr="00F51CE0">
        <w:rPr>
          <w:lang w:eastAsia="ru-RU"/>
        </w:rPr>
        <w:t>Утверждение доклада</w:t>
      </w:r>
      <w:r w:rsidRPr="007555F8">
        <w:rPr>
          <w:lang w:val="en-GB" w:eastAsia="ru-RU"/>
        </w:rPr>
        <w:t>.</w:t>
      </w:r>
    </w:p>
    <w:p w:rsidR="007555F8" w:rsidRPr="007555F8" w:rsidRDefault="007555F8" w:rsidP="00A077E8">
      <w:pPr>
        <w:pStyle w:val="HChGR"/>
        <w:rPr>
          <w:lang w:val="en-US"/>
        </w:rPr>
      </w:pPr>
      <w:r>
        <w:rPr>
          <w:lang w:val="en-GB"/>
        </w:rPr>
        <w:tab/>
      </w:r>
      <w:r w:rsidRPr="007555F8">
        <w:rPr>
          <w:lang w:val="en-GB"/>
        </w:rPr>
        <w:t>II</w:t>
      </w:r>
      <w:r w:rsidRPr="007555F8">
        <w:rPr>
          <w:lang w:val="en-US"/>
        </w:rPr>
        <w:t>.</w:t>
      </w:r>
      <w:r w:rsidRPr="007555F8">
        <w:rPr>
          <w:lang w:val="en-US"/>
        </w:rPr>
        <w:tab/>
      </w:r>
      <w:r w:rsidRPr="007555F8">
        <w:t>Аннотации</w:t>
      </w:r>
    </w:p>
    <w:p w:rsidR="007555F8" w:rsidRPr="007555F8" w:rsidRDefault="007555F8" w:rsidP="007555F8">
      <w:pPr>
        <w:pStyle w:val="H1GR"/>
      </w:pPr>
      <w:r w:rsidRPr="007555F8">
        <w:rPr>
          <w:lang w:val="en-US"/>
        </w:rPr>
        <w:tab/>
      </w:r>
      <w:r w:rsidRPr="007555F8">
        <w:t>1.</w:t>
      </w:r>
      <w:r w:rsidRPr="007555F8">
        <w:tab/>
        <w:t>Утверждение повестки дня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>Рабочей группе по автомобильному транспорту (</w:t>
      </w:r>
      <w:r w:rsidRPr="007555F8">
        <w:rPr>
          <w:lang w:val="en-GB"/>
        </w:rPr>
        <w:t>SC</w:t>
      </w:r>
      <w:r w:rsidRPr="007555F8">
        <w:t>.1) будет предложено утвердить повестку дня сессии</w:t>
      </w:r>
      <w:r>
        <w:t>.</w:t>
      </w:r>
    </w:p>
    <w:p w:rsidR="007555F8" w:rsidRPr="007555F8" w:rsidRDefault="007555F8" w:rsidP="007555F8">
      <w:pPr>
        <w:pStyle w:val="H23G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555F8">
        <w:t>Документация</w:t>
      </w:r>
    </w:p>
    <w:p w:rsidR="007555F8" w:rsidRPr="007555F8" w:rsidRDefault="007555F8" w:rsidP="007555F8">
      <w:pPr>
        <w:pStyle w:val="SingleTxtGR"/>
      </w:pP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>/</w:t>
      </w:r>
      <w:r w:rsidRPr="007555F8">
        <w:rPr>
          <w:lang w:val="en-GB"/>
        </w:rPr>
        <w:t>SC</w:t>
      </w:r>
      <w:r w:rsidRPr="007555F8">
        <w:t>.1/407</w:t>
      </w:r>
    </w:p>
    <w:p w:rsidR="007555F8" w:rsidRPr="007555F8" w:rsidRDefault="007555F8" w:rsidP="007555F8">
      <w:pPr>
        <w:pStyle w:val="H1GR"/>
      </w:pPr>
      <w:r w:rsidRPr="007555F8">
        <w:lastRenderedPageBreak/>
        <w:tab/>
        <w:t>2.</w:t>
      </w:r>
      <w:r w:rsidRPr="007555F8">
        <w:tab/>
        <w:t>Деятельность, представляющая интерес для Рабочей группы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a</w:t>
      </w:r>
      <w:r w:rsidRPr="007555F8">
        <w:t>)</w:t>
      </w:r>
      <w:r w:rsidRPr="007555F8">
        <w:tab/>
        <w:t>Национальные делегации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>Национальные делегации, возможно, пожелают представить информацию об изменениях в области автомобильного транспорта в своих соответствующих странах.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b</w:t>
      </w:r>
      <w:r w:rsidRPr="007555F8">
        <w:t>)</w:t>
      </w:r>
      <w:r w:rsidRPr="007555F8">
        <w:tab/>
        <w:t>Международные организации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>Представители международных организаций, возможно, пожелают пр</w:t>
      </w:r>
      <w:r w:rsidRPr="007555F8">
        <w:t>о</w:t>
      </w:r>
      <w:r w:rsidRPr="007555F8">
        <w:t>информировать об изменениях на автомобильном транспорте в своих соотве</w:t>
      </w:r>
      <w:r w:rsidRPr="007555F8">
        <w:t>т</w:t>
      </w:r>
      <w:r w:rsidRPr="007555F8">
        <w:t>ствующих областях работы</w:t>
      </w:r>
      <w:r>
        <w:t>.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c</w:t>
      </w:r>
      <w:r w:rsidRPr="007555F8">
        <w:t>)</w:t>
      </w:r>
      <w:r w:rsidRPr="007555F8">
        <w:tab/>
        <w:t>Деятельность органов ЕЭК ООН и других организаций системы Организации Объединенных Наций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>Рабочая группа будет проинформирована об итогах соответствующих сессий Комитета по внутреннему транспорту, его вспомогательных органов и других подразделений Организации Объединенных Наций в отношении вопр</w:t>
      </w:r>
      <w:r w:rsidRPr="007555F8">
        <w:t>о</w:t>
      </w:r>
      <w:r w:rsidRPr="007555F8">
        <w:t>сов, представляющих интерес для Рабочей группы. В частности, секретариат представит обновленную информацию о ключевых решениях, принятых на семьдесят девятой годовой сессии Комитета по внутреннему транспорту (Ж</w:t>
      </w:r>
      <w:r w:rsidRPr="007555F8">
        <w:t>е</w:t>
      </w:r>
      <w:r w:rsidRPr="007555F8">
        <w:t>нева, 21–24 февраля 2017 года).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 xml:space="preserve">Секретариат сообщит </w:t>
      </w:r>
      <w:r w:rsidRPr="007555F8">
        <w:rPr>
          <w:lang w:val="en-GB"/>
        </w:rPr>
        <w:t>SC</w:t>
      </w:r>
      <w:r w:rsidRPr="007555F8">
        <w:t>.1 о подписании меморандума о взаимопоним</w:t>
      </w:r>
      <w:r w:rsidRPr="007555F8">
        <w:t>а</w:t>
      </w:r>
      <w:r w:rsidRPr="007555F8">
        <w:t>нии с Объединенным исследовательским центром (ОИЦ), в соответствии с к</w:t>
      </w:r>
      <w:r w:rsidRPr="007555F8">
        <w:t>о</w:t>
      </w:r>
      <w:r w:rsidRPr="007555F8">
        <w:t>торым ОИЦ призна</w:t>
      </w:r>
      <w:r w:rsidR="00A077E8">
        <w:t xml:space="preserve">ется компетентным органом ЕСТР </w:t>
      </w:r>
      <w:r w:rsidRPr="007555F8">
        <w:t>в контексте корневой сертификации и сертификации совместимости для Договаривающихся сторон Е</w:t>
      </w:r>
      <w:r w:rsidR="00A077E8">
        <w:t xml:space="preserve">СТР, не являющихся членами ЕС. </w:t>
      </w:r>
      <w:r w:rsidRPr="007555F8">
        <w:t>Подписанный экземпляр дополнения к эт</w:t>
      </w:r>
      <w:r w:rsidRPr="007555F8">
        <w:t>о</w:t>
      </w:r>
      <w:r w:rsidRPr="007555F8">
        <w:t>му меморандуму, предусматривающий продление срока его действия до 31 д</w:t>
      </w:r>
      <w:r w:rsidRPr="007555F8">
        <w:t>е</w:t>
      </w:r>
      <w:r w:rsidRPr="007555F8">
        <w:t xml:space="preserve">кабря 2018 года, имеется на веб-сайте ЕЭК ООН. </w:t>
      </w:r>
    </w:p>
    <w:p w:rsidR="007555F8" w:rsidRPr="007555F8" w:rsidRDefault="007555F8" w:rsidP="007555F8">
      <w:pPr>
        <w:pStyle w:val="H23GR"/>
      </w:pPr>
      <w:r w:rsidRPr="00A077E8">
        <w:tab/>
      </w:r>
      <w:r w:rsidRPr="00A077E8">
        <w:tab/>
      </w:r>
      <w:r w:rsidRPr="007555F8">
        <w:t>Документация</w:t>
      </w:r>
    </w:p>
    <w:p w:rsidR="007555F8" w:rsidRPr="007555F8" w:rsidRDefault="00A077E8" w:rsidP="007555F8">
      <w:pPr>
        <w:pStyle w:val="SingleTxtGR"/>
      </w:pPr>
      <w:r>
        <w:t>Н</w:t>
      </w:r>
      <w:r w:rsidR="007555F8" w:rsidRPr="007555F8">
        <w:t xml:space="preserve">еофициальный документ № 11 КВТ (2017 год), </w:t>
      </w:r>
      <w:r w:rsidR="007555F8" w:rsidRPr="007555F8">
        <w:rPr>
          <w:lang w:val="en-GB"/>
        </w:rPr>
        <w:t>ECE</w:t>
      </w:r>
      <w:r w:rsidR="007555F8" w:rsidRPr="007555F8">
        <w:t>/</w:t>
      </w:r>
      <w:r w:rsidR="007555F8" w:rsidRPr="007555F8">
        <w:rPr>
          <w:lang w:val="en-GB"/>
        </w:rPr>
        <w:t>TRANS</w:t>
      </w:r>
      <w:r w:rsidR="007555F8" w:rsidRPr="007555F8">
        <w:t xml:space="preserve">/270, </w:t>
      </w:r>
      <w:r w:rsidR="007555F8" w:rsidRPr="007555F8">
        <w:rPr>
          <w:lang w:val="en-GB"/>
        </w:rPr>
        <w:t>ECE</w:t>
      </w:r>
      <w:r w:rsidR="007555F8" w:rsidRPr="007555F8">
        <w:t>/</w:t>
      </w:r>
      <w:r w:rsidR="007555F8" w:rsidRPr="007555F8">
        <w:rPr>
          <w:lang w:val="en-GB"/>
        </w:rPr>
        <w:t>TRANS</w:t>
      </w:r>
      <w:r w:rsidR="007555F8" w:rsidRPr="007555F8">
        <w:t>/ 270/</w:t>
      </w:r>
      <w:r w:rsidR="007555F8" w:rsidRPr="007555F8">
        <w:rPr>
          <w:lang w:val="en-GB"/>
        </w:rPr>
        <w:t>Add</w:t>
      </w:r>
      <w:r w:rsidR="007555F8" w:rsidRPr="007555F8">
        <w:t>.1</w:t>
      </w:r>
    </w:p>
    <w:p w:rsidR="007555F8" w:rsidRPr="007555F8" w:rsidRDefault="007555F8" w:rsidP="007555F8">
      <w:pPr>
        <w:pStyle w:val="H1GR"/>
      </w:pPr>
      <w:r w:rsidRPr="007555F8">
        <w:tab/>
        <w:t>3.</w:t>
      </w:r>
      <w:r w:rsidRPr="007555F8">
        <w:tab/>
        <w:t>Европейское соглашение, касающееся работы экипажей транспортных средств, производящих международные автомобильные перевозки (ЕСТР)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a</w:t>
      </w:r>
      <w:r w:rsidRPr="007555F8">
        <w:t>)</w:t>
      </w:r>
      <w:r w:rsidRPr="007555F8">
        <w:tab/>
        <w:t>Статус Соглашения</w:t>
      </w:r>
    </w:p>
    <w:p w:rsidR="007555F8" w:rsidRPr="007555F8" w:rsidRDefault="007555F8" w:rsidP="007555F8">
      <w:pPr>
        <w:pStyle w:val="SingleTxtGR"/>
        <w:rPr>
          <w:lang w:val="en-US"/>
        </w:rPr>
      </w:pPr>
      <w:r>
        <w:rPr>
          <w:lang w:val="en-US"/>
        </w:rPr>
        <w:tab/>
      </w:r>
      <w:r w:rsidRPr="007555F8">
        <w:t xml:space="preserve">Секретариат проинформирует </w:t>
      </w:r>
      <w:r w:rsidRPr="007555F8">
        <w:rPr>
          <w:lang w:val="en-US"/>
        </w:rPr>
        <w:t>SC</w:t>
      </w:r>
      <w:r w:rsidRPr="007555F8">
        <w:t>.1 о статусе Соглашения ЕСТР, в час</w:t>
      </w:r>
      <w:r w:rsidRPr="007555F8">
        <w:t>т</w:t>
      </w:r>
      <w:r w:rsidRPr="007555F8">
        <w:t>ности о заинтересованности Правительства Ливана в том, что касается прин</w:t>
      </w:r>
      <w:r w:rsidRPr="007555F8">
        <w:t>я</w:t>
      </w:r>
      <w:r w:rsidRPr="007555F8">
        <w:t>тия поправки к статье 14, с тем чтобы эта страна могла присоединиться к С</w:t>
      </w:r>
      <w:r w:rsidRPr="007555F8">
        <w:t>о</w:t>
      </w:r>
      <w:r w:rsidRPr="007555F8">
        <w:t>глашению ЕСТР</w:t>
      </w:r>
      <w:r>
        <w:t>.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b</w:t>
      </w:r>
      <w:r w:rsidRPr="007555F8">
        <w:t>)</w:t>
      </w:r>
      <w:r w:rsidRPr="007555F8">
        <w:tab/>
        <w:t>Группа экспертов по ЕСТР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 xml:space="preserve">Председатель Группы экспертов по ЕСТР передаст </w:t>
      </w:r>
      <w:r w:rsidRPr="007555F8">
        <w:rPr>
          <w:lang w:val="en-GB"/>
        </w:rPr>
        <w:t>SC</w:t>
      </w:r>
      <w:r w:rsidRPr="007555F8">
        <w:t>.1 новую информ</w:t>
      </w:r>
      <w:r w:rsidRPr="007555F8">
        <w:t>а</w:t>
      </w:r>
      <w:r w:rsidRPr="007555F8">
        <w:t>цию о деятельности ГЭ по ЕСТР за вр</w:t>
      </w:r>
      <w:r>
        <w:t>емя, прошедшее после проведения</w:t>
      </w:r>
      <w:r w:rsidRPr="007555F8">
        <w:br/>
        <w:t xml:space="preserve">прошлой сессии </w:t>
      </w:r>
      <w:r w:rsidRPr="007555F8">
        <w:rPr>
          <w:lang w:val="en-GB"/>
        </w:rPr>
        <w:t>SC</w:t>
      </w:r>
      <w:r w:rsidRPr="007555F8">
        <w:t>.1, в том числе о возможной потребности в рассмотрении вопроса об изменении названия Соглашения ЕСТР</w:t>
      </w:r>
      <w:r>
        <w:t xml:space="preserve"> посредством исключения</w:t>
      </w:r>
      <w:r w:rsidRPr="007555F8">
        <w:br/>
        <w:t xml:space="preserve">из него слова «Европейское» (см. пункт 14 документа </w:t>
      </w: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>/</w:t>
      </w:r>
      <w:r w:rsidRPr="007555F8">
        <w:rPr>
          <w:lang w:val="en-GB"/>
        </w:rPr>
        <w:t>SC</w:t>
      </w:r>
      <w:r w:rsidRPr="007555F8">
        <w:t xml:space="preserve">.1/ </w:t>
      </w:r>
      <w:r w:rsidRPr="007555F8">
        <w:rPr>
          <w:lang w:val="en-GB"/>
        </w:rPr>
        <w:t>GE</w:t>
      </w:r>
      <w:r w:rsidRPr="007555F8">
        <w:t>.21/37).</w:t>
      </w:r>
    </w:p>
    <w:p w:rsidR="007555F8" w:rsidRPr="007555F8" w:rsidRDefault="007555F8" w:rsidP="007555F8">
      <w:pPr>
        <w:pStyle w:val="SingleTxtGR"/>
      </w:pPr>
      <w:r>
        <w:rPr>
          <w:lang w:val="en-GB"/>
        </w:rPr>
        <w:tab/>
      </w:r>
      <w:r w:rsidRPr="007555F8">
        <w:rPr>
          <w:lang w:val="en-GB"/>
        </w:rPr>
        <w:t>SC</w:t>
      </w:r>
      <w:r w:rsidRPr="007555F8">
        <w:t xml:space="preserve">.1 будет предложено обсудить документ </w:t>
      </w: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>/</w:t>
      </w:r>
      <w:r w:rsidRPr="007555F8">
        <w:rPr>
          <w:lang w:val="en-GB"/>
        </w:rPr>
        <w:t>SC</w:t>
      </w:r>
      <w:r w:rsidRPr="007555F8">
        <w:t>.1/2017/</w:t>
      </w:r>
      <w:r w:rsidR="00F51CE0">
        <w:t>1</w:t>
      </w:r>
      <w:r w:rsidR="00F51CE0">
        <w:br/>
      </w:r>
      <w:r w:rsidRPr="007555F8">
        <w:t xml:space="preserve">и, возможно, принять его (см. пункт 8 документа </w:t>
      </w: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>/</w:t>
      </w:r>
      <w:r w:rsidRPr="007555F8">
        <w:rPr>
          <w:lang w:val="en-GB"/>
        </w:rPr>
        <w:t>SC</w:t>
      </w:r>
      <w:r w:rsidRPr="007555F8">
        <w:t>.1/</w:t>
      </w:r>
      <w:r w:rsidRPr="007555F8">
        <w:rPr>
          <w:lang w:val="en-GB"/>
        </w:rPr>
        <w:t>GE</w:t>
      </w:r>
      <w:r w:rsidRPr="007555F8">
        <w:t>.21/35).</w:t>
      </w:r>
    </w:p>
    <w:p w:rsidR="007555F8" w:rsidRPr="007555F8" w:rsidRDefault="007555F8" w:rsidP="00A077E8">
      <w:pPr>
        <w:pStyle w:val="SingleTxtGR"/>
        <w:pageBreakBefore/>
      </w:pPr>
      <w:r w:rsidRPr="00F51CE0">
        <w:tab/>
      </w:r>
      <w:r w:rsidRPr="007555F8">
        <w:t>К Правительству Турции будет обращена просьба сообщить о любых н</w:t>
      </w:r>
      <w:r w:rsidRPr="007555F8">
        <w:t>о</w:t>
      </w:r>
      <w:r w:rsidRPr="007555F8">
        <w:t xml:space="preserve">вых изменениях в контексте его проекта по созданию национального центра мониторинга данных о продолжительности периодов управления транспортным средством и отдыха (см. пункт 18 документа </w:t>
      </w: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>/</w:t>
      </w:r>
      <w:r w:rsidRPr="007555F8">
        <w:rPr>
          <w:lang w:val="en-GB"/>
        </w:rPr>
        <w:t>SC</w:t>
      </w:r>
      <w:r w:rsidRPr="007555F8">
        <w:t>.1/406).</w:t>
      </w:r>
    </w:p>
    <w:p w:rsidR="007555F8" w:rsidRPr="007555F8" w:rsidRDefault="007555F8" w:rsidP="007555F8">
      <w:pPr>
        <w:pStyle w:val="H1GR"/>
      </w:pPr>
      <w:r w:rsidRPr="007555F8">
        <w:tab/>
        <w:t>4.</w:t>
      </w:r>
      <w:r w:rsidRPr="007555F8">
        <w:tab/>
        <w:t>Европейское соглашение о международных автомагистралях (СМА)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a</w:t>
      </w:r>
      <w:r w:rsidRPr="007555F8">
        <w:t>)</w:t>
      </w:r>
      <w:r w:rsidRPr="007555F8">
        <w:tab/>
        <w:t>Статус Соглашения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 xml:space="preserve">Секретариат проинформирует </w:t>
      </w:r>
      <w:r w:rsidRPr="007555F8">
        <w:rPr>
          <w:lang w:val="en-GB"/>
        </w:rPr>
        <w:t>SC</w:t>
      </w:r>
      <w:r w:rsidRPr="007555F8">
        <w:t>.1 о статусе Соглашения СМА.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b</w:t>
      </w:r>
      <w:r w:rsidRPr="007555F8">
        <w:t>)</w:t>
      </w:r>
      <w:r w:rsidRPr="007555F8">
        <w:tab/>
        <w:t>Поправки к Соглашению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 xml:space="preserve">Секретариат проинформирует </w:t>
      </w:r>
      <w:r w:rsidRPr="007555F8">
        <w:rPr>
          <w:lang w:val="en-GB"/>
        </w:rPr>
        <w:t>SC</w:t>
      </w:r>
      <w:r w:rsidRPr="007555F8">
        <w:t>.1 о статусе предложений по поправкам к приложению 1 к Соглашению, представленных Норвегией (</w:t>
      </w: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>/</w:t>
      </w:r>
      <w:r w:rsidRPr="007555F8">
        <w:rPr>
          <w:lang w:val="en-GB"/>
        </w:rPr>
        <w:t>SC</w:t>
      </w:r>
      <w:r w:rsidRPr="007555F8">
        <w:t>.1/ 2016/1), а также Норвегией и Финляндией (</w:t>
      </w: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>/</w:t>
      </w:r>
      <w:r w:rsidRPr="007555F8">
        <w:rPr>
          <w:lang w:val="en-GB"/>
        </w:rPr>
        <w:t>SC</w:t>
      </w:r>
      <w:r w:rsidRPr="007555F8">
        <w:t>.1/2016/2)</w:t>
      </w:r>
      <w:r>
        <w:t>.</w:t>
      </w:r>
    </w:p>
    <w:p w:rsidR="007555F8" w:rsidRPr="007555F8" w:rsidRDefault="007555F8" w:rsidP="007555F8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7555F8">
        <w:t>Документация</w:t>
      </w:r>
    </w:p>
    <w:p w:rsidR="007555F8" w:rsidRPr="007555F8" w:rsidRDefault="007555F8" w:rsidP="007555F8">
      <w:pPr>
        <w:pStyle w:val="SingleTxtGR"/>
        <w:rPr>
          <w:lang w:val="en-US"/>
        </w:rPr>
      </w:pPr>
      <w:r w:rsidRPr="007555F8">
        <w:rPr>
          <w:lang w:val="fr-CH"/>
        </w:rPr>
        <w:t>ECE</w:t>
      </w:r>
      <w:r w:rsidRPr="007555F8">
        <w:t>/</w:t>
      </w:r>
      <w:r w:rsidRPr="007555F8">
        <w:rPr>
          <w:lang w:val="fr-CH"/>
        </w:rPr>
        <w:t>TRANS</w:t>
      </w:r>
      <w:r w:rsidRPr="007555F8">
        <w:t>/</w:t>
      </w:r>
      <w:r w:rsidRPr="007555F8">
        <w:rPr>
          <w:lang w:val="fr-CH"/>
        </w:rPr>
        <w:t>SC</w:t>
      </w:r>
      <w:r w:rsidRPr="007555F8">
        <w:t xml:space="preserve">.1/2016/1, </w:t>
      </w:r>
      <w:r w:rsidRPr="007555F8">
        <w:rPr>
          <w:lang w:val="fr-CH"/>
        </w:rPr>
        <w:t>ECE</w:t>
      </w:r>
      <w:r w:rsidRPr="007555F8">
        <w:t>/</w:t>
      </w:r>
      <w:r w:rsidRPr="007555F8">
        <w:rPr>
          <w:lang w:val="fr-CH"/>
        </w:rPr>
        <w:t>TRANS</w:t>
      </w:r>
      <w:r w:rsidRPr="007555F8">
        <w:t>/</w:t>
      </w:r>
      <w:r w:rsidRPr="007555F8">
        <w:rPr>
          <w:lang w:val="fr-CH"/>
        </w:rPr>
        <w:t>SC</w:t>
      </w:r>
      <w:r w:rsidRPr="007555F8">
        <w:t>.1/2016/2</w:t>
      </w:r>
    </w:p>
    <w:p w:rsidR="007555F8" w:rsidRPr="007555F8" w:rsidRDefault="007555F8" w:rsidP="007555F8">
      <w:pPr>
        <w:pStyle w:val="H1GR"/>
      </w:pPr>
      <w:r w:rsidRPr="007555F8">
        <w:tab/>
        <w:t>5.</w:t>
      </w:r>
      <w:r w:rsidRPr="007555F8">
        <w:tab/>
        <w:t>Проект Трансъевропейской автомагистрали Север–Юг (ТЕА)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>Рабочая группа будет проинформирована о состоянии проекта ТЕА.</w:t>
      </w:r>
    </w:p>
    <w:p w:rsidR="007555F8" w:rsidRPr="007555F8" w:rsidRDefault="007555F8" w:rsidP="007555F8">
      <w:pPr>
        <w:pStyle w:val="H1GR"/>
      </w:pPr>
      <w:r w:rsidRPr="007555F8">
        <w:tab/>
        <w:t>6.</w:t>
      </w:r>
      <w:r w:rsidRPr="007555F8">
        <w:tab/>
        <w:t>Конвенция о договоре международной дорожной перевозки грузов (КДПГ)</w:t>
      </w:r>
    </w:p>
    <w:p w:rsidR="007555F8" w:rsidRPr="007555F8" w:rsidRDefault="007555F8" w:rsidP="007555F8">
      <w:pPr>
        <w:pStyle w:val="H23GR"/>
      </w:pPr>
      <w:r w:rsidRPr="007555F8">
        <w:tab/>
        <w:t>a)</w:t>
      </w:r>
      <w:r w:rsidRPr="007555F8">
        <w:tab/>
        <w:t>Статус Конвенции</w:t>
      </w:r>
    </w:p>
    <w:p w:rsidR="007555F8" w:rsidRPr="007555F8" w:rsidRDefault="007555F8" w:rsidP="007555F8">
      <w:pPr>
        <w:pStyle w:val="SingleTxtGR"/>
      </w:pPr>
      <w:r w:rsidRPr="007555F8">
        <w:rPr>
          <w:b/>
        </w:rPr>
        <w:tab/>
      </w:r>
      <w:r w:rsidRPr="007555F8">
        <w:t xml:space="preserve">Секретариат проинформирует </w:t>
      </w:r>
      <w:r w:rsidRPr="007555F8">
        <w:rPr>
          <w:lang w:val="en-US"/>
        </w:rPr>
        <w:t>SC</w:t>
      </w:r>
      <w:r w:rsidRPr="007555F8">
        <w:t>.1 о статусе Конвенции.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b</w:t>
      </w:r>
      <w:r w:rsidRPr="007555F8">
        <w:t>)</w:t>
      </w:r>
      <w:r w:rsidRPr="007555F8">
        <w:tab/>
        <w:t>Протокол к Конвенции о договоре международной дорожной перевозки грузов (КДПГ)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 xml:space="preserve">Секретариат проинформирует </w:t>
      </w:r>
      <w:r w:rsidRPr="007555F8">
        <w:rPr>
          <w:lang w:val="en-GB"/>
        </w:rPr>
        <w:t>SC</w:t>
      </w:r>
      <w:r w:rsidRPr="007555F8">
        <w:t>.1 о статусе Протокола к Конвенции.</w:t>
      </w:r>
    </w:p>
    <w:p w:rsidR="007555F8" w:rsidRPr="007555F8" w:rsidRDefault="007555F8" w:rsidP="007555F8">
      <w:pPr>
        <w:pStyle w:val="H23GR"/>
      </w:pPr>
      <w:r w:rsidRPr="007555F8">
        <w:tab/>
        <w:t>c)</w:t>
      </w:r>
      <w:r w:rsidRPr="007555F8">
        <w:tab/>
        <w:t>Дополнительный протокол к КДПГ, касающийся электронной накладной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 xml:space="preserve">Секретариат проинформирует </w:t>
      </w:r>
      <w:r w:rsidRPr="007555F8">
        <w:rPr>
          <w:lang w:val="en-GB"/>
        </w:rPr>
        <w:t>SC</w:t>
      </w:r>
      <w:r w:rsidRPr="007555F8">
        <w:t>.1 о статусе Дополнительного протокола к Конвенции</w:t>
      </w:r>
      <w:r>
        <w:t>.</w:t>
      </w:r>
    </w:p>
    <w:p w:rsidR="007555F8" w:rsidRPr="007555F8" w:rsidRDefault="007555F8" w:rsidP="007555F8">
      <w:pPr>
        <w:pStyle w:val="SingleTxtGR"/>
      </w:pPr>
      <w:r>
        <w:rPr>
          <w:lang w:val="en-US"/>
        </w:rPr>
        <w:tab/>
      </w:r>
      <w:r w:rsidRPr="007555F8">
        <w:t xml:space="preserve">Секретариат в сотрудничестве с Международным союзом автомобильного транспорта  организует специальное совещание по </w:t>
      </w:r>
      <w:r w:rsidRPr="007555F8">
        <w:rPr>
          <w:lang w:val="en-GB"/>
        </w:rPr>
        <w:t>e</w:t>
      </w:r>
      <w:r w:rsidRPr="007555F8">
        <w:t>-</w:t>
      </w:r>
      <w:r w:rsidRPr="007555F8">
        <w:rPr>
          <w:lang w:val="en-GB"/>
        </w:rPr>
        <w:t>CMR</w:t>
      </w:r>
      <w:r w:rsidRPr="007555F8">
        <w:t xml:space="preserve"> для подведения ит</w:t>
      </w:r>
      <w:r w:rsidRPr="007555F8">
        <w:t>о</w:t>
      </w:r>
      <w:r w:rsidRPr="007555F8">
        <w:t>гов и определения будущих направлений деятельности в области разработки электронной накладной на основе этого Дополнительного протокола.</w:t>
      </w:r>
    </w:p>
    <w:p w:rsidR="007555F8" w:rsidRPr="007555F8" w:rsidRDefault="007555F8" w:rsidP="007555F8">
      <w:pPr>
        <w:pStyle w:val="H1GR"/>
      </w:pPr>
      <w:r w:rsidRPr="007555F8">
        <w:tab/>
        <w:t>7.</w:t>
      </w:r>
      <w:r w:rsidRPr="007555F8">
        <w:tab/>
        <w:t>Облегчение международных автомобильных перевозок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a</w:t>
      </w:r>
      <w:r w:rsidRPr="007555F8">
        <w:t>)</w:t>
      </w:r>
      <w:r w:rsidRPr="007555F8">
        <w:tab/>
        <w:t>Международная система страх</w:t>
      </w:r>
      <w:r w:rsidR="00A077E8">
        <w:t>ования автотранспортных средств</w:t>
      </w:r>
      <w:r w:rsidR="00A077E8">
        <w:br/>
      </w:r>
      <w:r w:rsidRPr="007555F8">
        <w:t>(«Зеленая карта»)</w:t>
      </w:r>
    </w:p>
    <w:p w:rsidR="007555F8" w:rsidRPr="007555F8" w:rsidRDefault="007555F8" w:rsidP="007555F8">
      <w:pPr>
        <w:pStyle w:val="SingleTxtGR"/>
      </w:pPr>
      <w:r w:rsidRPr="00A077E8">
        <w:tab/>
      </w:r>
      <w:r w:rsidRPr="007555F8">
        <w:t>Рабочая группа будет проинформирована представителями Совета стр</w:t>
      </w:r>
      <w:r w:rsidRPr="007555F8">
        <w:t>а</w:t>
      </w:r>
      <w:r w:rsidRPr="007555F8">
        <w:t>ховых бюро о последних изменениях в системе «Зеленой карты» (</w:t>
      </w: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 xml:space="preserve">/ </w:t>
      </w:r>
      <w:r w:rsidRPr="007555F8">
        <w:rPr>
          <w:lang w:val="en-GB"/>
        </w:rPr>
        <w:t>SC</w:t>
      </w:r>
      <w:r w:rsidRPr="007555F8">
        <w:t>.1/2017/2).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tab/>
        <w:t>Документация</w:t>
      </w:r>
    </w:p>
    <w:p w:rsidR="007555F8" w:rsidRPr="007555F8" w:rsidRDefault="007555F8" w:rsidP="007555F8">
      <w:pPr>
        <w:pStyle w:val="SingleTxtGR"/>
      </w:pPr>
      <w:r w:rsidRPr="007555F8">
        <w:rPr>
          <w:lang w:val="en-GB"/>
        </w:rPr>
        <w:t>ECE</w:t>
      </w:r>
      <w:r w:rsidRPr="007555F8">
        <w:t>/</w:t>
      </w:r>
      <w:r w:rsidRPr="007555F8">
        <w:rPr>
          <w:lang w:val="en-GB"/>
        </w:rPr>
        <w:t>TRANS</w:t>
      </w:r>
      <w:r w:rsidRPr="007555F8">
        <w:t>/</w:t>
      </w:r>
      <w:r w:rsidRPr="007555F8">
        <w:rPr>
          <w:lang w:val="en-GB"/>
        </w:rPr>
        <w:t>SC</w:t>
      </w:r>
      <w:r w:rsidRPr="007555F8">
        <w:t>.1/2017/2</w:t>
      </w:r>
    </w:p>
    <w:p w:rsidR="007555F8" w:rsidRPr="007555F8" w:rsidRDefault="007555F8" w:rsidP="007555F8">
      <w:pPr>
        <w:pStyle w:val="H23GR"/>
      </w:pPr>
      <w:r w:rsidRPr="007555F8">
        <w:tab/>
      </w:r>
      <w:r w:rsidRPr="007555F8">
        <w:rPr>
          <w:lang w:val="en-GB"/>
        </w:rPr>
        <w:t>b</w:t>
      </w:r>
      <w:r w:rsidRPr="007555F8">
        <w:t>)</w:t>
      </w:r>
      <w:r w:rsidRPr="007555F8">
        <w:tab/>
        <w:t>Предложение по глобальному многостороннему соглашению о</w:t>
      </w:r>
      <w:r w:rsidRPr="007555F8">
        <w:rPr>
          <w:lang w:val="en-GB"/>
        </w:rPr>
        <w:t> </w:t>
      </w:r>
      <w:r w:rsidRPr="007555F8">
        <w:t>международных р</w:t>
      </w:r>
      <w:r>
        <w:t>егулярных перевозках пассажиров</w:t>
      </w:r>
      <w:r w:rsidRPr="007555F8">
        <w:br/>
        <w:t>междугородными и</w:t>
      </w:r>
      <w:r w:rsidRPr="007555F8">
        <w:rPr>
          <w:lang w:val="en-GB"/>
        </w:rPr>
        <w:t> </w:t>
      </w:r>
      <w:r w:rsidRPr="007555F8">
        <w:t>городскими автобусами («ОмниБУС»)</w:t>
      </w:r>
    </w:p>
    <w:p w:rsidR="007555F8" w:rsidRPr="007555F8" w:rsidRDefault="007555F8" w:rsidP="007555F8">
      <w:pPr>
        <w:pStyle w:val="SingleTxtGR"/>
        <w:rPr>
          <w:b/>
        </w:rPr>
      </w:pPr>
      <w:r>
        <w:rPr>
          <w:lang w:val="en-US"/>
        </w:rPr>
        <w:tab/>
      </w:r>
      <w:r w:rsidRPr="007555F8">
        <w:t xml:space="preserve">На своей прошлой сессии </w:t>
      </w:r>
      <w:r w:rsidRPr="007555F8">
        <w:rPr>
          <w:lang w:val="en-GB"/>
        </w:rPr>
        <w:t>SC</w:t>
      </w:r>
      <w:r w:rsidRPr="007555F8">
        <w:t>.1 отметила, что принятая Европейским с</w:t>
      </w:r>
      <w:r w:rsidRPr="007555F8">
        <w:t>о</w:t>
      </w:r>
      <w:r w:rsidRPr="007555F8">
        <w:t xml:space="preserve">юзом процедура разработки нового </w:t>
      </w:r>
      <w:r>
        <w:t>Соглашения «ИнтерБус» не позволит</w:t>
      </w:r>
      <w:r w:rsidRPr="007555F8">
        <w:t xml:space="preserve"> чл</w:t>
      </w:r>
      <w:r w:rsidRPr="007555F8">
        <w:t>е</w:t>
      </w:r>
      <w:r w:rsidRPr="007555F8">
        <w:t>нам ЕКМТ принять участие в переговорах, если они не являются Договарив</w:t>
      </w:r>
      <w:r w:rsidRPr="007555F8">
        <w:t>а</w:t>
      </w:r>
      <w:r w:rsidRPr="007555F8">
        <w:t>ющи</w:t>
      </w:r>
      <w:r>
        <w:t>мися сторонами Соглашения «ИнтерБус».</w:t>
      </w:r>
      <w:r w:rsidRPr="007555F8">
        <w:t xml:space="preserve"> Следовательно, </w:t>
      </w:r>
      <w:r w:rsidRPr="007555F8">
        <w:rPr>
          <w:lang w:val="en-GB"/>
        </w:rPr>
        <w:t>SC</w:t>
      </w:r>
      <w:r w:rsidRPr="007555F8">
        <w:t xml:space="preserve">.1 просила Европейский союз пересмотреть эту процедуру, с тем чтобы переговоры были открыты для всех членов ЕКМТ, включая те страны, которые сыграли важную роль в разработке проекта соглашения «ОмниБус» (пункт 33 документа </w:t>
      </w:r>
      <w:r w:rsidRPr="007555F8">
        <w:rPr>
          <w:lang w:val="en-US"/>
        </w:rPr>
        <w:t>ECE</w:t>
      </w:r>
      <w:r w:rsidRPr="007555F8">
        <w:t>/</w:t>
      </w:r>
      <w:r w:rsidR="00D13038">
        <w:t xml:space="preserve"> </w:t>
      </w:r>
      <w:r w:rsidRPr="007555F8">
        <w:rPr>
          <w:lang w:val="en-US"/>
        </w:rPr>
        <w:t>TRANS</w:t>
      </w:r>
      <w:r w:rsidRPr="007555F8">
        <w:t>/</w:t>
      </w:r>
      <w:r w:rsidRPr="007555F8">
        <w:rPr>
          <w:lang w:val="en-US"/>
        </w:rPr>
        <w:t>SC</w:t>
      </w:r>
      <w:r w:rsidRPr="007555F8">
        <w:t>.1/406</w:t>
      </w:r>
      <w:r w:rsidRPr="007555F8">
        <w:rPr>
          <w:b/>
        </w:rPr>
        <w:t>)</w:t>
      </w:r>
      <w:r w:rsidR="00D13038">
        <w:t xml:space="preserve">. </w:t>
      </w:r>
      <w:r w:rsidRPr="007555F8">
        <w:t>К Европейскому союзу будет обращена просьба сооб</w:t>
      </w:r>
      <w:r w:rsidR="00D13038">
        <w:t>щить</w:t>
      </w:r>
      <w:r w:rsidR="00D13038">
        <w:br/>
      </w:r>
      <w:r w:rsidRPr="007555F8">
        <w:t xml:space="preserve">о последних изменениях, касающихся соглашения </w:t>
      </w:r>
      <w:r w:rsidR="00D13038">
        <w:t>«</w:t>
      </w:r>
      <w:r w:rsidRPr="007555F8">
        <w:t>И</w:t>
      </w:r>
      <w:r w:rsidR="00D13038">
        <w:t>нтерБус»</w:t>
      </w:r>
      <w:r w:rsidRPr="007555F8">
        <w:t>.</w:t>
      </w:r>
    </w:p>
    <w:p w:rsidR="007555F8" w:rsidRPr="007555F8" w:rsidRDefault="007555F8" w:rsidP="00D13038">
      <w:pPr>
        <w:pStyle w:val="H23GR"/>
      </w:pPr>
      <w:r w:rsidRPr="007555F8">
        <w:tab/>
      </w:r>
      <w:r w:rsidRPr="007555F8">
        <w:tab/>
        <w:t>Документация</w:t>
      </w:r>
    </w:p>
    <w:p w:rsidR="007555F8" w:rsidRPr="007555F8" w:rsidRDefault="007555F8" w:rsidP="007555F8">
      <w:pPr>
        <w:pStyle w:val="SingleTxtGR"/>
        <w:rPr>
          <w:b/>
        </w:rPr>
      </w:pPr>
      <w:r w:rsidRPr="007555F8">
        <w:rPr>
          <w:lang w:val="en-US"/>
        </w:rPr>
        <w:t>ECE</w:t>
      </w:r>
      <w:r w:rsidRPr="007555F8">
        <w:t>/</w:t>
      </w:r>
      <w:r w:rsidRPr="007555F8">
        <w:rPr>
          <w:lang w:val="en-US"/>
        </w:rPr>
        <w:t>TRANS</w:t>
      </w:r>
      <w:r w:rsidRPr="007555F8">
        <w:t>/</w:t>
      </w:r>
      <w:r w:rsidRPr="007555F8">
        <w:rPr>
          <w:lang w:val="en-US"/>
        </w:rPr>
        <w:t>SC</w:t>
      </w:r>
      <w:r w:rsidRPr="007555F8">
        <w:t>.1/406</w:t>
      </w:r>
    </w:p>
    <w:p w:rsidR="007555F8" w:rsidRPr="007555F8" w:rsidRDefault="007555F8" w:rsidP="00D13038">
      <w:pPr>
        <w:pStyle w:val="H23GR"/>
      </w:pPr>
      <w:r w:rsidRPr="007555F8">
        <w:tab/>
      </w:r>
      <w:r w:rsidRPr="007555F8">
        <w:rPr>
          <w:lang w:val="en-GB"/>
        </w:rPr>
        <w:t>c</w:t>
      </w:r>
      <w:r w:rsidRPr="007555F8">
        <w:t>)</w:t>
      </w:r>
      <w:r w:rsidRPr="007555F8">
        <w:tab/>
        <w:t>Количественные ограничения на международные автомобильные перевозки грузов</w:t>
      </w:r>
    </w:p>
    <w:p w:rsidR="007555F8" w:rsidRPr="007555F8" w:rsidRDefault="00D13038" w:rsidP="007555F8">
      <w:pPr>
        <w:pStyle w:val="SingleTxtGR"/>
      </w:pPr>
      <w:r>
        <w:tab/>
      </w:r>
      <w:r w:rsidR="007555F8" w:rsidRPr="007555F8">
        <w:t>В результате состоявшейся на прошлой сессии дискуссии по экономич</w:t>
      </w:r>
      <w:r w:rsidR="007555F8" w:rsidRPr="007555F8">
        <w:t>е</w:t>
      </w:r>
      <w:r w:rsidR="007555F8" w:rsidRPr="007555F8">
        <w:t>скому анализу соглашения между Европейским союзом и Турцией, проведе</w:t>
      </w:r>
      <w:r w:rsidR="007555F8" w:rsidRPr="007555F8">
        <w:t>н</w:t>
      </w:r>
      <w:r w:rsidR="007555F8" w:rsidRPr="007555F8">
        <w:t>ному Европейской комиссией, в рамках которой было отмечено, что Европе</w:t>
      </w:r>
      <w:r w:rsidR="007555F8" w:rsidRPr="007555F8">
        <w:t>й</w:t>
      </w:r>
      <w:r w:rsidR="007555F8" w:rsidRPr="007555F8">
        <w:t>ский союз и Турция понесли большие финансовые потери из-за квот и огран</w:t>
      </w:r>
      <w:r w:rsidR="007555F8" w:rsidRPr="007555F8">
        <w:t>и</w:t>
      </w:r>
      <w:r w:rsidR="007555F8" w:rsidRPr="007555F8">
        <w:t xml:space="preserve">чений, </w:t>
      </w:r>
      <w:r w:rsidR="007555F8" w:rsidRPr="007555F8">
        <w:rPr>
          <w:lang w:val="en-GB"/>
        </w:rPr>
        <w:t>SC</w:t>
      </w:r>
      <w:r w:rsidR="007555F8" w:rsidRPr="007555F8">
        <w:t>.1 просила Европейскую комиссию сообщить на следующем совещ</w:t>
      </w:r>
      <w:r w:rsidR="007555F8" w:rsidRPr="007555F8">
        <w:t>а</w:t>
      </w:r>
      <w:r w:rsidR="007555F8" w:rsidRPr="007555F8">
        <w:t>нии об изменениях в связи с продлением мандата в контексте Таможенного с</w:t>
      </w:r>
      <w:r w:rsidR="007555F8" w:rsidRPr="007555F8">
        <w:t>о</w:t>
      </w:r>
      <w:r w:rsidR="007555F8" w:rsidRPr="007555F8">
        <w:t>глашения и о соответствующей деятельности. К Европейскому союзу будет о</w:t>
      </w:r>
      <w:r w:rsidR="007555F8" w:rsidRPr="007555F8">
        <w:t>б</w:t>
      </w:r>
      <w:r w:rsidR="007555F8" w:rsidRPr="007555F8">
        <w:t>ращена просьба передать такую информацию, если она имеется.</w:t>
      </w:r>
    </w:p>
    <w:p w:rsidR="007555F8" w:rsidRPr="007555F8" w:rsidRDefault="007555F8" w:rsidP="00D13038">
      <w:pPr>
        <w:pStyle w:val="H23GR"/>
      </w:pPr>
      <w:r w:rsidRPr="007555F8">
        <w:tab/>
      </w:r>
      <w:r w:rsidRPr="007555F8">
        <w:rPr>
          <w:lang w:val="en-GB"/>
        </w:rPr>
        <w:t>d</w:t>
      </w:r>
      <w:r w:rsidRPr="007555F8">
        <w:t>)</w:t>
      </w:r>
      <w:r w:rsidRPr="007555F8">
        <w:tab/>
        <w:t>Связь между происхождением товаров и транспортными операциями</w:t>
      </w:r>
    </w:p>
    <w:p w:rsidR="007555F8" w:rsidRPr="007555F8" w:rsidRDefault="00D13038" w:rsidP="007555F8">
      <w:pPr>
        <w:pStyle w:val="SingleTxtGR"/>
      </w:pPr>
      <w:r>
        <w:tab/>
      </w:r>
      <w:r w:rsidR="007555F8" w:rsidRPr="007555F8">
        <w:t>На прошлой сессии Латвия и Польша представили предложение (неоф</w:t>
      </w:r>
      <w:r w:rsidR="007555F8" w:rsidRPr="007555F8">
        <w:t>и</w:t>
      </w:r>
      <w:r w:rsidR="007555F8" w:rsidRPr="007555F8">
        <w:t xml:space="preserve">циальный документ № 6) о внесении поправки в СР.4 для включения в нее определения «двусторонних перевозок». На нынешней сессии </w:t>
      </w:r>
      <w:r w:rsidR="007555F8" w:rsidRPr="007555F8">
        <w:rPr>
          <w:lang w:val="en-GB"/>
        </w:rPr>
        <w:t>SC</w:t>
      </w:r>
      <w:r w:rsidR="007555F8" w:rsidRPr="007555F8">
        <w:t>.1 будет пре</w:t>
      </w:r>
      <w:r w:rsidR="007555F8" w:rsidRPr="007555F8">
        <w:t>д</w:t>
      </w:r>
      <w:r w:rsidR="007555F8" w:rsidRPr="007555F8">
        <w:t>ложено обсудить предложение по поправке к</w:t>
      </w:r>
      <w:r>
        <w:t xml:space="preserve"> СР.4, содержащееся в докумен</w:t>
      </w:r>
      <w:r w:rsidR="00A077E8">
        <w:t>-</w:t>
      </w:r>
      <w:r>
        <w:t>те </w:t>
      </w:r>
      <w:r w:rsidR="007555F8" w:rsidRPr="007555F8">
        <w:rPr>
          <w:lang w:val="en-GB"/>
        </w:rPr>
        <w:t>ECE</w:t>
      </w:r>
      <w:r w:rsidR="007555F8" w:rsidRPr="007555F8">
        <w:t>/</w:t>
      </w:r>
      <w:r w:rsidR="007555F8" w:rsidRPr="007555F8">
        <w:rPr>
          <w:lang w:val="en-GB"/>
        </w:rPr>
        <w:t>TRANS</w:t>
      </w:r>
      <w:r w:rsidR="007555F8" w:rsidRPr="007555F8">
        <w:t>/</w:t>
      </w:r>
      <w:r w:rsidR="007555F8" w:rsidRPr="007555F8">
        <w:rPr>
          <w:lang w:val="en-GB"/>
        </w:rPr>
        <w:t>SC</w:t>
      </w:r>
      <w:r w:rsidR="007555F8" w:rsidRPr="007555F8">
        <w:t>.1/2017/4, и, по возможности, принять его</w:t>
      </w:r>
      <w:r>
        <w:t>.</w:t>
      </w:r>
    </w:p>
    <w:p w:rsidR="007555F8" w:rsidRPr="007555F8" w:rsidRDefault="00D13038" w:rsidP="00D13038">
      <w:pPr>
        <w:pStyle w:val="H23GR"/>
        <w:rPr>
          <w:lang w:val="en-GB"/>
        </w:rPr>
      </w:pPr>
      <w:r>
        <w:tab/>
      </w:r>
      <w:r>
        <w:tab/>
      </w:r>
      <w:r w:rsidR="007555F8" w:rsidRPr="007555F8">
        <w:rPr>
          <w:lang w:val="en-GB"/>
        </w:rPr>
        <w:t>Документация</w:t>
      </w:r>
    </w:p>
    <w:p w:rsidR="007555F8" w:rsidRPr="007555F8" w:rsidRDefault="007555F8" w:rsidP="007555F8">
      <w:pPr>
        <w:pStyle w:val="SingleTxtGR"/>
        <w:rPr>
          <w:lang w:val="en-GB"/>
        </w:rPr>
      </w:pPr>
      <w:r w:rsidRPr="007555F8">
        <w:rPr>
          <w:lang w:val="en-GB"/>
        </w:rPr>
        <w:t>ECE/TRANS/SC.1/2017/4</w:t>
      </w:r>
    </w:p>
    <w:p w:rsidR="007555F8" w:rsidRPr="007555F8" w:rsidRDefault="007555F8" w:rsidP="00D13038">
      <w:pPr>
        <w:pStyle w:val="H1GR"/>
      </w:pPr>
      <w:r w:rsidRPr="007555F8">
        <w:rPr>
          <w:lang w:val="en-GB"/>
        </w:rPr>
        <w:tab/>
      </w:r>
      <w:r w:rsidRPr="007555F8">
        <w:t>8.</w:t>
      </w:r>
      <w:r w:rsidRPr="007555F8">
        <w:tab/>
        <w:t>Группа экспертов по безопасности на железнодорожных переездах</w:t>
      </w:r>
    </w:p>
    <w:p w:rsidR="007555F8" w:rsidRPr="007555F8" w:rsidRDefault="00D13038" w:rsidP="007555F8">
      <w:pPr>
        <w:pStyle w:val="SingleTxtGR"/>
      </w:pPr>
      <w:r>
        <w:tab/>
      </w:r>
      <w:r w:rsidR="007555F8" w:rsidRPr="007555F8">
        <w:t>Председатель и/или заместитель Председателя Группы экспертов по п</w:t>
      </w:r>
      <w:r w:rsidR="007555F8" w:rsidRPr="007555F8">
        <w:t>о</w:t>
      </w:r>
      <w:r w:rsidR="007555F8" w:rsidRPr="007555F8">
        <w:t xml:space="preserve">вышению безопасности на железнодорожных переездах проинформируют </w:t>
      </w:r>
      <w:r w:rsidR="007555F8" w:rsidRPr="007555F8">
        <w:rPr>
          <w:lang w:val="en-GB"/>
        </w:rPr>
        <w:t>SC</w:t>
      </w:r>
      <w:r w:rsidR="007555F8" w:rsidRPr="007555F8">
        <w:t>.1 о заключительном докладе этой Группы</w:t>
      </w:r>
      <w:r>
        <w:t>.</w:t>
      </w:r>
    </w:p>
    <w:p w:rsidR="007555F8" w:rsidRPr="007555F8" w:rsidRDefault="007555F8" w:rsidP="00D13038">
      <w:pPr>
        <w:pStyle w:val="H1GR"/>
      </w:pPr>
      <w:r w:rsidRPr="007555F8">
        <w:tab/>
        <w:t>9.</w:t>
      </w:r>
      <w:r w:rsidRPr="007555F8">
        <w:tab/>
        <w:t xml:space="preserve">Пересмотр круга ведения и правил процедуры </w:t>
      </w:r>
      <w:r w:rsidRPr="007555F8">
        <w:rPr>
          <w:lang w:val="en-GB"/>
        </w:rPr>
        <w:t>SC</w:t>
      </w:r>
      <w:r w:rsidRPr="007555F8">
        <w:t>.1</w:t>
      </w:r>
    </w:p>
    <w:p w:rsidR="007555F8" w:rsidRPr="007555F8" w:rsidRDefault="00A077E8" w:rsidP="007555F8">
      <w:pPr>
        <w:pStyle w:val="SingleTxtGR"/>
      </w:pPr>
      <w:r>
        <w:tab/>
      </w:r>
      <w:r w:rsidR="007555F8" w:rsidRPr="007555F8">
        <w:t>На прошлой сессии Бельгия и Германия внесли предложение об измен</w:t>
      </w:r>
      <w:r w:rsidR="007555F8" w:rsidRPr="007555F8">
        <w:t>е</w:t>
      </w:r>
      <w:r w:rsidR="007555F8" w:rsidRPr="007555F8">
        <w:t>ниях к нынешнему варианту круга ведения и правил процедуры (неофициал</w:t>
      </w:r>
      <w:r w:rsidR="007555F8" w:rsidRPr="007555F8">
        <w:t>ь</w:t>
      </w:r>
      <w:r w:rsidR="007555F8" w:rsidRPr="007555F8">
        <w:t>ные до</w:t>
      </w:r>
      <w:r>
        <w:t>кументы № 3 и № 4 (2016 год</w:t>
      </w:r>
      <w:r w:rsidR="007555F8" w:rsidRPr="007555F8">
        <w:t xml:space="preserve">)). К </w:t>
      </w:r>
      <w:r w:rsidR="007555F8" w:rsidRPr="007555F8">
        <w:rPr>
          <w:lang w:val="en-GB"/>
        </w:rPr>
        <w:t>SC</w:t>
      </w:r>
      <w:r w:rsidR="007555F8" w:rsidRPr="007555F8">
        <w:t>.1 будет обращена просьба рассмо</w:t>
      </w:r>
      <w:r w:rsidR="007555F8" w:rsidRPr="007555F8">
        <w:t>т</w:t>
      </w:r>
      <w:r w:rsidR="007555F8" w:rsidRPr="007555F8">
        <w:t>реть предложения, содержащиеся в этих документах</w:t>
      </w:r>
      <w:r w:rsidR="00D13038">
        <w:t>.</w:t>
      </w:r>
    </w:p>
    <w:p w:rsidR="007555F8" w:rsidRPr="007555F8" w:rsidRDefault="00D13038" w:rsidP="00D13038">
      <w:pPr>
        <w:pStyle w:val="H23GR"/>
      </w:pPr>
      <w:r>
        <w:tab/>
      </w:r>
      <w:r>
        <w:tab/>
      </w:r>
      <w:r w:rsidR="007555F8" w:rsidRPr="007555F8">
        <w:t>Документация</w:t>
      </w:r>
    </w:p>
    <w:p w:rsidR="007555F8" w:rsidRPr="007555F8" w:rsidRDefault="00D13038" w:rsidP="007555F8">
      <w:pPr>
        <w:pStyle w:val="SingleTxtGR"/>
      </w:pPr>
      <w:r>
        <w:t>Н</w:t>
      </w:r>
      <w:r w:rsidR="007555F8" w:rsidRPr="007555F8">
        <w:t xml:space="preserve">еофициальный документ № 3 (2016 год), неофициальный документ </w:t>
      </w:r>
      <w:r>
        <w:t>№ 4</w:t>
      </w:r>
      <w:r>
        <w:br/>
      </w:r>
      <w:r w:rsidR="007555F8" w:rsidRPr="007555F8">
        <w:t>(2016 год)</w:t>
      </w:r>
    </w:p>
    <w:p w:rsidR="007555F8" w:rsidRPr="007555F8" w:rsidRDefault="007555F8" w:rsidP="00D13038">
      <w:pPr>
        <w:pStyle w:val="H1GR"/>
      </w:pPr>
      <w:r w:rsidRPr="007555F8">
        <w:tab/>
        <w:t>10.</w:t>
      </w:r>
      <w:r w:rsidRPr="007555F8">
        <w:tab/>
        <w:t>Программа работы и двухгодичная оценка</w:t>
      </w:r>
    </w:p>
    <w:p w:rsidR="007555F8" w:rsidRPr="007555F8" w:rsidRDefault="00D13038" w:rsidP="007555F8">
      <w:pPr>
        <w:pStyle w:val="SingleTxtGR"/>
      </w:pPr>
      <w:r>
        <w:tab/>
      </w:r>
      <w:r w:rsidR="007555F8" w:rsidRPr="007555F8">
        <w:t>В соответствии с решением Комитета по внутреннему транспорту о пер</w:t>
      </w:r>
      <w:r w:rsidR="007555F8" w:rsidRPr="007555F8">
        <w:t>е</w:t>
      </w:r>
      <w:r w:rsidR="007555F8" w:rsidRPr="007555F8">
        <w:t xml:space="preserve">смотре программы работы один раз в два года </w:t>
      </w:r>
      <w:r w:rsidR="007555F8" w:rsidRPr="007555F8">
        <w:rPr>
          <w:lang w:val="en-GB"/>
        </w:rPr>
        <w:t>SC</w:t>
      </w:r>
      <w:r w:rsidR="007555F8" w:rsidRPr="007555F8">
        <w:t>.1 будет предложено рассмо</w:t>
      </w:r>
      <w:r w:rsidR="007555F8" w:rsidRPr="007555F8">
        <w:t>т</w:t>
      </w:r>
      <w:r w:rsidR="007555F8" w:rsidRPr="007555F8">
        <w:t>реть и принять свою программу работы на 2018–2019 годы (подготовленную секретариатом), а также соответствующие параметры для двухгодичной оценки (</w:t>
      </w:r>
      <w:r w:rsidR="007555F8" w:rsidRPr="007555F8">
        <w:rPr>
          <w:lang w:val="en-GB"/>
        </w:rPr>
        <w:t>ECE</w:t>
      </w:r>
      <w:r w:rsidR="007555F8" w:rsidRPr="007555F8">
        <w:t>/</w:t>
      </w:r>
      <w:r w:rsidR="007555F8" w:rsidRPr="007555F8">
        <w:rPr>
          <w:lang w:val="en-GB"/>
        </w:rPr>
        <w:t>TRANS</w:t>
      </w:r>
      <w:r w:rsidR="007555F8" w:rsidRPr="007555F8">
        <w:t>/</w:t>
      </w:r>
      <w:r w:rsidR="007555F8" w:rsidRPr="007555F8">
        <w:rPr>
          <w:lang w:val="en-GB"/>
        </w:rPr>
        <w:t>SC</w:t>
      </w:r>
      <w:r w:rsidR="007555F8" w:rsidRPr="007555F8">
        <w:t xml:space="preserve">.1/2017/3). </w:t>
      </w:r>
      <w:r w:rsidR="007555F8" w:rsidRPr="007555F8">
        <w:rPr>
          <w:lang w:val="en-GB"/>
        </w:rPr>
        <w:t>SC</w:t>
      </w:r>
      <w:r w:rsidR="007555F8" w:rsidRPr="007555F8">
        <w:t>.1 одобрила свою предыдущую программу раб</w:t>
      </w:r>
      <w:r w:rsidR="007555F8" w:rsidRPr="007555F8">
        <w:t>о</w:t>
      </w:r>
      <w:r w:rsidR="007555F8" w:rsidRPr="007555F8">
        <w:t>ты на 2015 год (</w:t>
      </w:r>
      <w:r w:rsidR="007555F8" w:rsidRPr="007555F8">
        <w:rPr>
          <w:lang w:val="en-GB"/>
        </w:rPr>
        <w:t>ECE</w:t>
      </w:r>
      <w:r w:rsidR="007555F8" w:rsidRPr="007555F8">
        <w:t>/</w:t>
      </w:r>
      <w:r w:rsidR="007555F8" w:rsidRPr="007555F8">
        <w:rPr>
          <w:lang w:val="en-GB"/>
        </w:rPr>
        <w:t>TRANS</w:t>
      </w:r>
      <w:r w:rsidR="007555F8" w:rsidRPr="007555F8">
        <w:t>/</w:t>
      </w:r>
      <w:r w:rsidR="007555F8" w:rsidRPr="007555F8">
        <w:rPr>
          <w:lang w:val="en-GB"/>
        </w:rPr>
        <w:t>SC</w:t>
      </w:r>
      <w:r w:rsidR="007555F8" w:rsidRPr="007555F8">
        <w:t>.1/2015/4).</w:t>
      </w:r>
    </w:p>
    <w:p w:rsidR="007555F8" w:rsidRPr="007555F8" w:rsidRDefault="00D13038" w:rsidP="00D13038">
      <w:pPr>
        <w:pStyle w:val="H23GR"/>
      </w:pPr>
      <w:r>
        <w:tab/>
      </w:r>
      <w:r>
        <w:tab/>
      </w:r>
      <w:r w:rsidR="007555F8" w:rsidRPr="007555F8">
        <w:t>Документация</w:t>
      </w:r>
    </w:p>
    <w:p w:rsidR="007555F8" w:rsidRPr="007555F8" w:rsidRDefault="007555F8" w:rsidP="007555F8">
      <w:pPr>
        <w:pStyle w:val="SingleTxtGR"/>
      </w:pPr>
      <w:r w:rsidRPr="007555F8">
        <w:rPr>
          <w:lang w:val="fr-CH"/>
        </w:rPr>
        <w:t>ECE</w:t>
      </w:r>
      <w:r w:rsidRPr="007555F8">
        <w:t>/</w:t>
      </w:r>
      <w:r w:rsidRPr="007555F8">
        <w:rPr>
          <w:lang w:val="fr-CH"/>
        </w:rPr>
        <w:t>TRANS</w:t>
      </w:r>
      <w:r w:rsidRPr="007555F8">
        <w:t>/</w:t>
      </w:r>
      <w:r w:rsidRPr="007555F8">
        <w:rPr>
          <w:lang w:val="fr-CH"/>
        </w:rPr>
        <w:t>SC</w:t>
      </w:r>
      <w:r w:rsidRPr="007555F8">
        <w:t xml:space="preserve">.1/2015/4, </w:t>
      </w:r>
      <w:r w:rsidRPr="007555F8">
        <w:rPr>
          <w:lang w:val="fr-CH"/>
        </w:rPr>
        <w:t>ECE</w:t>
      </w:r>
      <w:r w:rsidRPr="007555F8">
        <w:t>/</w:t>
      </w:r>
      <w:r w:rsidRPr="007555F8">
        <w:rPr>
          <w:lang w:val="fr-CH"/>
        </w:rPr>
        <w:t>TRANS</w:t>
      </w:r>
      <w:r w:rsidRPr="007555F8">
        <w:t>/</w:t>
      </w:r>
      <w:r w:rsidRPr="007555F8">
        <w:rPr>
          <w:lang w:val="fr-CH"/>
        </w:rPr>
        <w:t>SC</w:t>
      </w:r>
      <w:r w:rsidRPr="007555F8">
        <w:t>.1/2017/3</w:t>
      </w:r>
    </w:p>
    <w:p w:rsidR="007555F8" w:rsidRPr="007555F8" w:rsidRDefault="007555F8" w:rsidP="00D13038">
      <w:pPr>
        <w:pStyle w:val="H1GR"/>
      </w:pPr>
      <w:r w:rsidRPr="007555F8">
        <w:tab/>
        <w:t>11.</w:t>
      </w:r>
      <w:r w:rsidRPr="007555F8">
        <w:tab/>
        <w:t>Прочие вопросы</w:t>
      </w:r>
    </w:p>
    <w:p w:rsidR="007555F8" w:rsidRPr="007555F8" w:rsidRDefault="00D13038" w:rsidP="007555F8">
      <w:pPr>
        <w:pStyle w:val="SingleTxtGR"/>
      </w:pPr>
      <w:r>
        <w:tab/>
      </w:r>
      <w:r w:rsidR="007555F8" w:rsidRPr="007555F8">
        <w:rPr>
          <w:lang w:val="en-GB"/>
        </w:rPr>
        <w:t>SC</w:t>
      </w:r>
      <w:r w:rsidR="007555F8" w:rsidRPr="007555F8">
        <w:t>.1, возможно, пожелает рассмотреть другие вопросы в рамках данного пункта повестки дня.</w:t>
      </w:r>
    </w:p>
    <w:p w:rsidR="007555F8" w:rsidRPr="007555F8" w:rsidRDefault="007555F8" w:rsidP="00D13038">
      <w:pPr>
        <w:pStyle w:val="H1GR"/>
      </w:pPr>
      <w:r w:rsidRPr="007555F8">
        <w:tab/>
        <w:t>12.</w:t>
      </w:r>
      <w:r w:rsidRPr="007555F8">
        <w:tab/>
        <w:t>Сроки проведения следующей сессии</w:t>
      </w:r>
    </w:p>
    <w:p w:rsidR="007555F8" w:rsidRPr="007555F8" w:rsidRDefault="00D13038" w:rsidP="007555F8">
      <w:pPr>
        <w:pStyle w:val="SingleTxtGR"/>
      </w:pPr>
      <w:r>
        <w:tab/>
      </w:r>
      <w:r w:rsidR="007555F8" w:rsidRPr="007555F8">
        <w:t>Рабочая группа будет проинформирована о том, что проведение ее сл</w:t>
      </w:r>
      <w:r w:rsidR="007555F8" w:rsidRPr="007555F8">
        <w:t>е</w:t>
      </w:r>
      <w:r w:rsidR="007555F8" w:rsidRPr="007555F8">
        <w:t>дующей сессии запланировано на 17 и 18 октября 2018 года.</w:t>
      </w:r>
    </w:p>
    <w:p w:rsidR="007555F8" w:rsidRPr="007555F8" w:rsidRDefault="007555F8" w:rsidP="00D13038">
      <w:pPr>
        <w:pStyle w:val="H1GR"/>
      </w:pPr>
      <w:r w:rsidRPr="007555F8">
        <w:tab/>
        <w:t>13.</w:t>
      </w:r>
      <w:r w:rsidRPr="007555F8">
        <w:tab/>
        <w:t>Утверждение доклада</w:t>
      </w:r>
    </w:p>
    <w:p w:rsidR="007555F8" w:rsidRPr="007555F8" w:rsidRDefault="00D13038" w:rsidP="007555F8">
      <w:pPr>
        <w:pStyle w:val="SingleTxtGR"/>
      </w:pPr>
      <w:r>
        <w:tab/>
      </w:r>
      <w:r w:rsidR="007555F8" w:rsidRPr="007555F8">
        <w:t>Рабочая группа утвердит доклад о работе этой сессии.</w:t>
      </w:r>
    </w:p>
    <w:p w:rsidR="00E12C5F" w:rsidRPr="00D13038" w:rsidRDefault="00D13038" w:rsidP="00D1303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13038" w:rsidSect="007B53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E0" w:rsidRPr="00A312BC" w:rsidRDefault="00F51CE0" w:rsidP="00A312BC"/>
  </w:endnote>
  <w:endnote w:type="continuationSeparator" w:id="0">
    <w:p w:rsidR="00F51CE0" w:rsidRPr="00A312BC" w:rsidRDefault="00F51C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E0" w:rsidRPr="007B5399" w:rsidRDefault="00F51CE0">
    <w:pPr>
      <w:pStyle w:val="Footer"/>
    </w:pPr>
    <w:r w:rsidRPr="007B5399">
      <w:rPr>
        <w:b/>
        <w:sz w:val="18"/>
      </w:rPr>
      <w:fldChar w:fldCharType="begin"/>
    </w:r>
    <w:r w:rsidRPr="007B5399">
      <w:rPr>
        <w:b/>
        <w:sz w:val="18"/>
      </w:rPr>
      <w:instrText xml:space="preserve"> PAGE  \* MERGEFORMAT </w:instrText>
    </w:r>
    <w:r w:rsidRPr="007B5399">
      <w:rPr>
        <w:b/>
        <w:sz w:val="18"/>
      </w:rPr>
      <w:fldChar w:fldCharType="separate"/>
    </w:r>
    <w:r w:rsidR="008A5CC6">
      <w:rPr>
        <w:b/>
        <w:noProof/>
        <w:sz w:val="18"/>
      </w:rPr>
      <w:t>6</w:t>
    </w:r>
    <w:r w:rsidRPr="007B5399">
      <w:rPr>
        <w:b/>
        <w:sz w:val="18"/>
      </w:rPr>
      <w:fldChar w:fldCharType="end"/>
    </w:r>
    <w:r>
      <w:rPr>
        <w:b/>
        <w:sz w:val="18"/>
      </w:rPr>
      <w:tab/>
    </w:r>
    <w:r>
      <w:t>GE.17-13414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E0" w:rsidRPr="007B5399" w:rsidRDefault="00F51CE0" w:rsidP="007B539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GE.17-13414</w:t>
    </w:r>
    <w:r>
      <w:tab/>
    </w:r>
    <w:r w:rsidRPr="007B5399">
      <w:rPr>
        <w:b/>
        <w:sz w:val="18"/>
      </w:rPr>
      <w:fldChar w:fldCharType="begin"/>
    </w:r>
    <w:r w:rsidRPr="007B5399">
      <w:rPr>
        <w:b/>
        <w:sz w:val="18"/>
      </w:rPr>
      <w:instrText xml:space="preserve"> PAGE  \* MERGEFORMAT </w:instrText>
    </w:r>
    <w:r w:rsidRPr="007B5399">
      <w:rPr>
        <w:b/>
        <w:sz w:val="18"/>
      </w:rPr>
      <w:fldChar w:fldCharType="separate"/>
    </w:r>
    <w:r w:rsidR="008A5CC6">
      <w:rPr>
        <w:b/>
        <w:noProof/>
        <w:sz w:val="18"/>
      </w:rPr>
      <w:t>5</w:t>
    </w:r>
    <w:r w:rsidRPr="007B53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E0" w:rsidRPr="007B5399" w:rsidRDefault="00F51CE0" w:rsidP="007B5399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48C9C3" wp14:editId="587124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17-13414  (R)  </w:t>
    </w:r>
    <w:r>
      <w:rPr>
        <w:lang w:val="en-US"/>
      </w:rPr>
      <w:t>080817  080817</w:t>
    </w:r>
    <w:r>
      <w:br/>
    </w:r>
    <w:r w:rsidRPr="007B5399">
      <w:rPr>
        <w:rFonts w:ascii="C39T30Lfz" w:hAnsi="C39T30Lfz"/>
        <w:spacing w:val="0"/>
        <w:w w:val="100"/>
        <w:sz w:val="56"/>
      </w:rPr>
      <w:t></w:t>
    </w:r>
    <w:r w:rsidRPr="007B5399">
      <w:rPr>
        <w:rFonts w:ascii="C39T30Lfz" w:hAnsi="C39T30Lfz"/>
        <w:spacing w:val="0"/>
        <w:w w:val="100"/>
        <w:sz w:val="56"/>
      </w:rPr>
      <w:t></w:t>
    </w:r>
    <w:r w:rsidRPr="007B5399">
      <w:rPr>
        <w:rFonts w:ascii="C39T30Lfz" w:hAnsi="C39T30Lfz"/>
        <w:spacing w:val="0"/>
        <w:w w:val="100"/>
        <w:sz w:val="56"/>
      </w:rPr>
      <w:t></w:t>
    </w:r>
    <w:r w:rsidRPr="007B5399">
      <w:rPr>
        <w:rFonts w:ascii="C39T30Lfz" w:hAnsi="C39T30Lfz"/>
        <w:spacing w:val="0"/>
        <w:w w:val="100"/>
        <w:sz w:val="56"/>
      </w:rPr>
      <w:t></w:t>
    </w:r>
    <w:r w:rsidRPr="007B5399">
      <w:rPr>
        <w:rFonts w:ascii="C39T30Lfz" w:hAnsi="C39T30Lfz"/>
        <w:spacing w:val="0"/>
        <w:w w:val="100"/>
        <w:sz w:val="56"/>
      </w:rPr>
      <w:t></w:t>
    </w:r>
    <w:r w:rsidRPr="007B5399">
      <w:rPr>
        <w:rFonts w:ascii="C39T30Lfz" w:hAnsi="C39T30Lfz"/>
        <w:spacing w:val="0"/>
        <w:w w:val="100"/>
        <w:sz w:val="56"/>
      </w:rPr>
      <w:t></w:t>
    </w:r>
    <w:r w:rsidRPr="007B5399">
      <w:rPr>
        <w:rFonts w:ascii="C39T30Lfz" w:hAnsi="C39T30Lfz"/>
        <w:spacing w:val="0"/>
        <w:w w:val="100"/>
        <w:sz w:val="56"/>
      </w:rPr>
      <w:t></w:t>
    </w:r>
    <w:r w:rsidRPr="007B5399">
      <w:rPr>
        <w:rFonts w:ascii="C39T30Lfz" w:hAnsi="C39T30Lfz"/>
        <w:spacing w:val="0"/>
        <w:w w:val="100"/>
        <w:sz w:val="56"/>
      </w:rPr>
      <w:t></w:t>
    </w:r>
    <w:r w:rsidRPr="007B539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SC.1/40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SC.1/40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E0" w:rsidRPr="001075E9" w:rsidRDefault="00F51C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1CE0" w:rsidRDefault="00F51C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51CE0" w:rsidRPr="007555F8" w:rsidRDefault="00F51CE0" w:rsidP="007555F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51261">
        <w:rPr>
          <w:lang w:val="ru-RU"/>
        </w:rPr>
        <w:tab/>
      </w:r>
      <w:r w:rsidRPr="007555F8">
        <w:rPr>
          <w:lang w:val="ru-RU"/>
        </w:rPr>
        <w:t>По соображениям экономии делегатов просят приносить на заседания все соответствующие документы. В зале заседаний никакой документации распространяться не будет. До сессии документы можно загрузить с веб-сайта Отдела транспорта ЕЭК ООН в Интернете (</w:t>
      </w:r>
      <w:hyperlink r:id="rId1" w:history="1">
        <w:r w:rsidRPr="007555F8">
          <w:rPr>
            <w:rStyle w:val="Hyperlink"/>
            <w:color w:val="auto"/>
            <w:lang w:val="ru-RU"/>
          </w:rPr>
          <w:t>www.unece.org/trans/main/welcwp1.html</w:t>
        </w:r>
      </w:hyperlink>
      <w:r w:rsidRPr="007555F8">
        <w:rPr>
          <w:lang w:val="ru-RU"/>
        </w:rPr>
        <w:t>). В порядке исключения документы можно также получить по электронной почте (</w:t>
      </w:r>
      <w:hyperlink r:id="rId2" w:history="1">
        <w:r w:rsidRPr="007555F8">
          <w:rPr>
            <w:rStyle w:val="Hyperlink"/>
            <w:color w:val="auto"/>
            <w:szCs w:val="18"/>
          </w:rPr>
          <w:t>roadtransport</w:t>
        </w:r>
        <w:r w:rsidRPr="007555F8">
          <w:rPr>
            <w:rStyle w:val="Hyperlink"/>
            <w:color w:val="auto"/>
            <w:szCs w:val="18"/>
            <w:lang w:val="ru-RU"/>
          </w:rPr>
          <w:t>@</w:t>
        </w:r>
        <w:r w:rsidRPr="007555F8">
          <w:rPr>
            <w:rStyle w:val="Hyperlink"/>
            <w:color w:val="auto"/>
            <w:szCs w:val="18"/>
          </w:rPr>
          <w:t>unece</w:t>
        </w:r>
        <w:r w:rsidRPr="007555F8">
          <w:rPr>
            <w:rStyle w:val="Hyperlink"/>
            <w:color w:val="auto"/>
            <w:szCs w:val="18"/>
            <w:lang w:val="ru-RU"/>
          </w:rPr>
          <w:t>.</w:t>
        </w:r>
        <w:r w:rsidRPr="007555F8">
          <w:rPr>
            <w:rStyle w:val="Hyperlink"/>
            <w:color w:val="auto"/>
            <w:szCs w:val="18"/>
          </w:rPr>
          <w:t>org</w:t>
        </w:r>
      </w:hyperlink>
      <w:r w:rsidRPr="007555F8">
        <w:rPr>
          <w:lang w:val="ru-RU"/>
        </w:rPr>
        <w:t>) или по факсу (+41 22 917 0039). В ходе сессии официальные документы можно получить в Секции</w:t>
      </w:r>
      <w:r w:rsidRPr="007555F8">
        <w:rPr>
          <w:lang w:val="en-US"/>
        </w:rPr>
        <w:t> </w:t>
      </w:r>
      <w:r w:rsidRPr="007555F8">
        <w:rPr>
          <w:lang w:val="ru-RU"/>
        </w:rPr>
        <w:t>распр</w:t>
      </w:r>
      <w:r w:rsidR="00A077E8">
        <w:rPr>
          <w:lang w:val="ru-RU"/>
        </w:rPr>
        <w:t>остранения документов ЮНОГ (комната</w:t>
      </w:r>
      <w:r w:rsidRPr="007555F8">
        <w:rPr>
          <w:lang w:val="ru-RU"/>
        </w:rPr>
        <w:t> С.337, 3-й этаж, Дворец Наций).</w:t>
      </w:r>
    </w:p>
  </w:footnote>
  <w:footnote w:id="2">
    <w:p w:rsidR="00F51CE0" w:rsidRPr="007555F8" w:rsidRDefault="00F51CE0" w:rsidP="007555F8">
      <w:pPr>
        <w:pStyle w:val="FootnoteText"/>
        <w:spacing w:after="120"/>
        <w:rPr>
          <w:lang w:val="ru-RU"/>
        </w:rPr>
      </w:pPr>
      <w:r w:rsidRPr="007555F8">
        <w:rPr>
          <w:lang w:val="ru-RU"/>
        </w:rPr>
        <w:tab/>
      </w:r>
      <w:r w:rsidRPr="007555F8">
        <w:rPr>
          <w:rStyle w:val="FootnoteReference"/>
        </w:rPr>
        <w:footnoteRef/>
      </w:r>
      <w:r w:rsidRPr="007555F8">
        <w:rPr>
          <w:lang w:val="ru-RU"/>
        </w:rPr>
        <w:tab/>
        <w:t xml:space="preserve">Делегатов просят зарегистрироваться онлайн на следующем веб-сайте: </w:t>
      </w:r>
      <w:hyperlink r:id="rId3" w:history="1">
        <w:r w:rsidRPr="007555F8">
          <w:rPr>
            <w:rStyle w:val="Hyperlink"/>
            <w:color w:val="auto"/>
          </w:rPr>
          <w:t>https</w:t>
        </w:r>
        <w:r w:rsidRPr="007555F8">
          <w:rPr>
            <w:rStyle w:val="Hyperlink"/>
            <w:color w:val="auto"/>
            <w:lang w:val="ru-RU"/>
          </w:rPr>
          <w:t>://</w:t>
        </w:r>
        <w:r w:rsidRPr="007555F8">
          <w:rPr>
            <w:rStyle w:val="Hyperlink"/>
            <w:color w:val="auto"/>
          </w:rPr>
          <w:t>www</w:t>
        </w:r>
        <w:r w:rsidRPr="007555F8">
          <w:rPr>
            <w:rStyle w:val="Hyperlink"/>
            <w:color w:val="auto"/>
            <w:lang w:val="ru-RU"/>
          </w:rPr>
          <w:t>2.</w:t>
        </w:r>
        <w:r w:rsidR="00A077E8">
          <w:rPr>
            <w:rStyle w:val="Hyperlink"/>
            <w:color w:val="auto"/>
            <w:lang w:val="ru-RU"/>
          </w:rPr>
          <w:t xml:space="preserve"> </w:t>
        </w:r>
        <w:r w:rsidRPr="007555F8">
          <w:rPr>
            <w:rStyle w:val="Hyperlink"/>
            <w:color w:val="auto"/>
          </w:rPr>
          <w:t>unece</w:t>
        </w:r>
        <w:r w:rsidRPr="007555F8">
          <w:rPr>
            <w:rStyle w:val="Hyperlink"/>
            <w:color w:val="auto"/>
            <w:lang w:val="ru-RU"/>
          </w:rPr>
          <w:t>.</w:t>
        </w:r>
        <w:r w:rsidRPr="007555F8">
          <w:rPr>
            <w:rStyle w:val="Hyperlink"/>
            <w:color w:val="auto"/>
          </w:rPr>
          <w:t>org</w:t>
        </w:r>
        <w:r w:rsidRPr="007555F8">
          <w:rPr>
            <w:rStyle w:val="Hyperlink"/>
            <w:color w:val="auto"/>
            <w:lang w:val="ru-RU"/>
          </w:rPr>
          <w:t>/</w:t>
        </w:r>
        <w:r w:rsidRPr="007555F8">
          <w:rPr>
            <w:rStyle w:val="Hyperlink"/>
            <w:color w:val="auto"/>
          </w:rPr>
          <w:t>uncdb</w:t>
        </w:r>
        <w:r w:rsidRPr="007555F8">
          <w:rPr>
            <w:rStyle w:val="Hyperlink"/>
            <w:color w:val="auto"/>
            <w:lang w:val="ru-RU"/>
          </w:rPr>
          <w:t>/</w:t>
        </w:r>
        <w:r w:rsidRPr="007555F8">
          <w:rPr>
            <w:rStyle w:val="Hyperlink"/>
            <w:color w:val="auto"/>
          </w:rPr>
          <w:t>app</w:t>
        </w:r>
        <w:r w:rsidRPr="007555F8">
          <w:rPr>
            <w:rStyle w:val="Hyperlink"/>
            <w:color w:val="auto"/>
            <w:lang w:val="ru-RU"/>
          </w:rPr>
          <w:t>/</w:t>
        </w:r>
        <w:r w:rsidRPr="007555F8">
          <w:rPr>
            <w:rStyle w:val="Hyperlink"/>
            <w:color w:val="auto"/>
          </w:rPr>
          <w:t>ext</w:t>
        </w:r>
        <w:r w:rsidRPr="007555F8">
          <w:rPr>
            <w:rStyle w:val="Hyperlink"/>
            <w:color w:val="auto"/>
            <w:lang w:val="ru-RU"/>
          </w:rPr>
          <w:t>/</w:t>
        </w:r>
        <w:r w:rsidRPr="007555F8">
          <w:rPr>
            <w:rStyle w:val="Hyperlink"/>
            <w:color w:val="auto"/>
          </w:rPr>
          <w:t>meeting</w:t>
        </w:r>
        <w:r w:rsidRPr="007555F8">
          <w:rPr>
            <w:rStyle w:val="Hyperlink"/>
            <w:color w:val="auto"/>
            <w:lang w:val="ru-RU"/>
          </w:rPr>
          <w:t>-</w:t>
        </w:r>
        <w:r w:rsidRPr="007555F8">
          <w:rPr>
            <w:rStyle w:val="Hyperlink"/>
            <w:color w:val="auto"/>
          </w:rPr>
          <w:t>registration</w:t>
        </w:r>
        <w:r w:rsidRPr="007555F8">
          <w:rPr>
            <w:rStyle w:val="Hyperlink"/>
            <w:color w:val="auto"/>
            <w:lang w:val="ru-RU"/>
          </w:rPr>
          <w:t>?</w:t>
        </w:r>
        <w:r w:rsidRPr="007555F8">
          <w:rPr>
            <w:rStyle w:val="Hyperlink"/>
            <w:color w:val="auto"/>
          </w:rPr>
          <w:t>id</w:t>
        </w:r>
        <w:r w:rsidRPr="007555F8">
          <w:rPr>
            <w:rStyle w:val="Hyperlink"/>
            <w:color w:val="auto"/>
            <w:lang w:val="ru-RU"/>
          </w:rPr>
          <w:t>=</w:t>
        </w:r>
        <w:r w:rsidRPr="007555F8">
          <w:rPr>
            <w:rStyle w:val="Hyperlink"/>
            <w:color w:val="auto"/>
          </w:rPr>
          <w:t>hyp</w:t>
        </w:r>
        <w:r w:rsidRPr="007555F8">
          <w:rPr>
            <w:rStyle w:val="Hyperlink"/>
            <w:color w:val="auto"/>
            <w:lang w:val="ru-RU"/>
          </w:rPr>
          <w:t>5</w:t>
        </w:r>
        <w:r w:rsidRPr="007555F8">
          <w:rPr>
            <w:rStyle w:val="Hyperlink"/>
            <w:color w:val="auto"/>
          </w:rPr>
          <w:t>gk</w:t>
        </w:r>
      </w:hyperlink>
      <w:r w:rsidRPr="007555F8">
        <w:rPr>
          <w:lang w:val="ru-RU"/>
        </w:rPr>
        <w:t xml:space="preserve"> либо заполнить регистрационный бланк, имеющийся на веб-сайте Отдела устойчивого транспорта ЕЭК ООН в Интернете (</w:t>
      </w:r>
      <w:hyperlink r:id="rId4" w:history="1">
        <w:r w:rsidRPr="007555F8">
          <w:rPr>
            <w:rStyle w:val="Hyperlink"/>
            <w:color w:val="auto"/>
            <w:lang w:val="ru-RU"/>
          </w:rPr>
          <w:t>www.unece.org/trans/registfr.html</w:t>
        </w:r>
      </w:hyperlink>
      <w:r w:rsidRPr="007555F8">
        <w:rPr>
          <w:lang w:val="ru-RU"/>
        </w:rPr>
        <w:t>), который следует направить в секретариат ЕЭК ООН не позднее чем за одну неделю до</w:t>
      </w:r>
      <w:r w:rsidRPr="007555F8">
        <w:rPr>
          <w:lang w:val="en-US"/>
        </w:rPr>
        <w:t> </w:t>
      </w:r>
      <w:r w:rsidRPr="007555F8">
        <w:rPr>
          <w:lang w:val="ru-RU"/>
        </w:rPr>
        <w:t xml:space="preserve">начала сессии по электронной почте </w:t>
      </w:r>
      <w:r w:rsidRPr="007555F8">
        <w:rPr>
          <w:szCs w:val="18"/>
          <w:lang w:val="ru-RU"/>
        </w:rPr>
        <w:t>(</w:t>
      </w:r>
      <w:hyperlink r:id="rId5" w:history="1">
        <w:r w:rsidRPr="007555F8">
          <w:rPr>
            <w:rStyle w:val="Hyperlink"/>
            <w:color w:val="auto"/>
            <w:szCs w:val="18"/>
          </w:rPr>
          <w:t>roadsafety</w:t>
        </w:r>
        <w:r w:rsidRPr="007555F8">
          <w:rPr>
            <w:rStyle w:val="Hyperlink"/>
            <w:color w:val="auto"/>
            <w:szCs w:val="18"/>
            <w:lang w:val="ru-RU"/>
          </w:rPr>
          <w:t>@</w:t>
        </w:r>
        <w:r w:rsidRPr="007555F8">
          <w:rPr>
            <w:rStyle w:val="Hyperlink"/>
            <w:color w:val="auto"/>
            <w:szCs w:val="18"/>
          </w:rPr>
          <w:t>unece</w:t>
        </w:r>
        <w:r w:rsidRPr="007555F8">
          <w:rPr>
            <w:rStyle w:val="Hyperlink"/>
            <w:color w:val="auto"/>
            <w:szCs w:val="18"/>
            <w:lang w:val="ru-RU"/>
          </w:rPr>
          <w:t>.</w:t>
        </w:r>
        <w:r w:rsidRPr="007555F8">
          <w:rPr>
            <w:rStyle w:val="Hyperlink"/>
            <w:color w:val="auto"/>
            <w:szCs w:val="18"/>
          </w:rPr>
          <w:t>org</w:t>
        </w:r>
      </w:hyperlink>
      <w:r w:rsidRPr="007555F8">
        <w:rPr>
          <w:szCs w:val="18"/>
          <w:lang w:val="ru-RU"/>
        </w:rPr>
        <w:t>)</w:t>
      </w:r>
      <w:r w:rsidRPr="007555F8">
        <w:rPr>
          <w:lang w:val="ru-RU"/>
        </w:rPr>
        <w:t>. По прибытии во Дворец Наций делегатам следует получить пропуск в Секции охраны и безопасности ЮНОГ, которая находится у въезда со стороны Прени (Pregny</w:t>
      </w:r>
      <w:r w:rsidRPr="007555F8">
        <w:rPr>
          <w:lang w:val="en-US"/>
        </w:rPr>
        <w:t> </w:t>
      </w:r>
      <w:r w:rsidRPr="007555F8">
        <w:rPr>
          <w:lang w:val="ru-RU"/>
        </w:rPr>
        <w:t>Gate, 14, Avenue de la Paix). В</w:t>
      </w:r>
      <w:r w:rsidRPr="007555F8">
        <w:rPr>
          <w:lang w:val="en-US"/>
        </w:rPr>
        <w:t> </w:t>
      </w:r>
      <w:r w:rsidRPr="007555F8">
        <w:rPr>
          <w:lang w:val="ru-RU"/>
        </w:rPr>
        <w:t>случае затруднений просьба связаться по телефону с</w:t>
      </w:r>
      <w:r w:rsidRPr="007555F8">
        <w:rPr>
          <w:lang w:val="en-US"/>
        </w:rPr>
        <w:t> </w:t>
      </w:r>
      <w:r w:rsidRPr="007555F8">
        <w:rPr>
          <w:lang w:val="ru-RU"/>
        </w:rPr>
        <w:t>секретариатом (внутренний номер: 75716 или 72401). Схему Дворца Наций и другую полезную информацию см. на веб-сайте (</w:t>
      </w:r>
      <w:hyperlink r:id="rId6" w:history="1">
        <w:r w:rsidRPr="007555F8">
          <w:rPr>
            <w:rStyle w:val="Hyperlink"/>
            <w:color w:val="auto"/>
            <w:lang w:val="ru-RU"/>
          </w:rPr>
          <w:t>http://www.</w:t>
        </w:r>
        <w:r w:rsidR="00A077E8">
          <w:rPr>
            <w:rStyle w:val="Hyperlink"/>
            <w:color w:val="auto"/>
            <w:lang w:val="ru-RU"/>
          </w:rPr>
          <w:t xml:space="preserve"> </w:t>
        </w:r>
        <w:r w:rsidRPr="007555F8">
          <w:rPr>
            <w:rStyle w:val="Hyperlink"/>
            <w:color w:val="auto"/>
            <w:lang w:val="ru-RU"/>
          </w:rPr>
          <w:t>unece.org/meetings/practical.htm</w:t>
        </w:r>
      </w:hyperlink>
      <w:r w:rsidRPr="007555F8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E0" w:rsidRPr="007B5399" w:rsidRDefault="008A5CC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231EF">
      <w:t>ECE/TRANS/SC.1/407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E0" w:rsidRPr="007B5399" w:rsidRDefault="008A5CC6" w:rsidP="007B53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231EF">
      <w:t>ECE/TRANS/SC.1/407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2B7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5F8"/>
    <w:rsid w:val="00757357"/>
    <w:rsid w:val="00792497"/>
    <w:rsid w:val="007B5399"/>
    <w:rsid w:val="00806737"/>
    <w:rsid w:val="008231EF"/>
    <w:rsid w:val="00825F8D"/>
    <w:rsid w:val="00834B71"/>
    <w:rsid w:val="0086445C"/>
    <w:rsid w:val="00894693"/>
    <w:rsid w:val="008A08D7"/>
    <w:rsid w:val="008A37C8"/>
    <w:rsid w:val="008A5CC6"/>
    <w:rsid w:val="008B6909"/>
    <w:rsid w:val="008D53B6"/>
    <w:rsid w:val="008F7609"/>
    <w:rsid w:val="009035C8"/>
    <w:rsid w:val="00906890"/>
    <w:rsid w:val="00911BE4"/>
    <w:rsid w:val="00951972"/>
    <w:rsid w:val="009608F3"/>
    <w:rsid w:val="009A24AC"/>
    <w:rsid w:val="009C6FE6"/>
    <w:rsid w:val="009D7E7D"/>
    <w:rsid w:val="00A077E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2793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3038"/>
    <w:rsid w:val="00D33D63"/>
    <w:rsid w:val="00D5253A"/>
    <w:rsid w:val="00D90028"/>
    <w:rsid w:val="00D90138"/>
    <w:rsid w:val="00DB0A08"/>
    <w:rsid w:val="00DD78D1"/>
    <w:rsid w:val="00DE32CD"/>
    <w:rsid w:val="00DF5767"/>
    <w:rsid w:val="00DF71B9"/>
    <w:rsid w:val="00E12C5F"/>
    <w:rsid w:val="00E41F0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1CE0"/>
    <w:rsid w:val="00F74E4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hyp5gk" TargetMode="External"/><Relationship Id="rId2" Type="http://schemas.openxmlformats.org/officeDocument/2006/relationships/hyperlink" Target="mailto:roadtransport@unece.org" TargetMode="External"/><Relationship Id="rId1" Type="http://schemas.openxmlformats.org/officeDocument/2006/relationships/hyperlink" Target="http://www.unece.org/trans/main/welcwp1.html" TargetMode="External"/><Relationship Id="rId6" Type="http://schemas.openxmlformats.org/officeDocument/2006/relationships/hyperlink" Target="http://www.unece.org/meetings/practical.htm" TargetMode="External"/><Relationship Id="rId5" Type="http://schemas.openxmlformats.org/officeDocument/2006/relationships/hyperlink" Target="mailto:roadsafety@unece.org" TargetMode="External"/><Relationship Id="rId4" Type="http://schemas.openxmlformats.org/officeDocument/2006/relationships/hyperlink" Target="http://www.unece.org/trans/registf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ECE/TRANS/SC.1/407</vt:lpstr>
      <vt:lpstr>ECE/TRANS/SC.1/407</vt:lpstr>
      <vt:lpstr>A/</vt:lpstr>
    </vt:vector>
  </TitlesOfParts>
  <Company>DCM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ECE/TRANS/SC.1/407</dc:title>
  <dc:creator>Kisseleva</dc:creator>
  <cp:lastModifiedBy>Josephine Ayiku</cp:lastModifiedBy>
  <cp:revision>2</cp:revision>
  <cp:lastPrinted>2017-08-08T10:03:00Z</cp:lastPrinted>
  <dcterms:created xsi:type="dcterms:W3CDTF">2017-09-26T08:33:00Z</dcterms:created>
  <dcterms:modified xsi:type="dcterms:W3CDTF">2017-09-26T08:33:00Z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