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D46F5"/>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D46F5" w:rsidP="003D46F5">
            <w:pPr>
              <w:jc w:val="right"/>
            </w:pPr>
            <w:r w:rsidRPr="003D46F5">
              <w:rPr>
                <w:sz w:val="40"/>
              </w:rPr>
              <w:t>ECE</w:t>
            </w:r>
            <w:r>
              <w:t>/TRANS/2017/6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D46F5" w:rsidP="00892A2F">
            <w:pPr>
              <w:spacing w:before="240"/>
            </w:pPr>
            <w:r>
              <w:t>Distr. générale</w:t>
            </w:r>
          </w:p>
          <w:p w:rsidR="003D46F5" w:rsidRDefault="003D46F5" w:rsidP="003D46F5">
            <w:pPr>
              <w:spacing w:line="240" w:lineRule="exact"/>
            </w:pPr>
            <w:r>
              <w:t>12 décembre 2016</w:t>
            </w:r>
          </w:p>
          <w:p w:rsidR="003D46F5" w:rsidRDefault="003D46F5" w:rsidP="003D46F5">
            <w:pPr>
              <w:spacing w:line="240" w:lineRule="exact"/>
            </w:pPr>
            <w:r>
              <w:t>Français</w:t>
            </w:r>
          </w:p>
          <w:p w:rsidR="003D46F5" w:rsidRPr="00DB58B5" w:rsidRDefault="003D46F5" w:rsidP="003D46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E256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90C5D" w:rsidRPr="00F30D47" w:rsidRDefault="00A90C5D" w:rsidP="003916DE">
      <w:pPr>
        <w:spacing w:before="120"/>
        <w:rPr>
          <w:b/>
        </w:rPr>
      </w:pPr>
      <w:r>
        <w:rPr>
          <w:b/>
        </w:rPr>
        <w:t xml:space="preserve">Soixante-dix-neuvième </w:t>
      </w:r>
      <w:r w:rsidRPr="00F30D47">
        <w:rPr>
          <w:b/>
        </w:rPr>
        <w:t>session</w:t>
      </w:r>
    </w:p>
    <w:p w:rsidR="00A90C5D" w:rsidRDefault="00A90C5D" w:rsidP="003916DE">
      <w:r>
        <w:t>Genève, 21-24 février 2017</w:t>
      </w:r>
    </w:p>
    <w:p w:rsidR="00A90C5D" w:rsidRPr="00653735" w:rsidRDefault="00A90C5D" w:rsidP="003916DE">
      <w:r>
        <w:t xml:space="preserve">Point 4 d) i) </w:t>
      </w:r>
      <w:r w:rsidRPr="00653735">
        <w:t>de l</w:t>
      </w:r>
      <w:r w:rsidR="002E256D">
        <w:t>’</w:t>
      </w:r>
      <w:r w:rsidRPr="00653735">
        <w:t>ordre du jour provisoire</w:t>
      </w:r>
    </w:p>
    <w:p w:rsidR="00707FF6" w:rsidRPr="00A90C5D" w:rsidRDefault="00070E0D" w:rsidP="00A90C5D">
      <w:pPr>
        <w:rPr>
          <w:b/>
          <w:bCs/>
        </w:rPr>
      </w:pPr>
      <w:r w:rsidRPr="00A90C5D">
        <w:rPr>
          <w:b/>
          <w:lang w:val="fr-FR"/>
        </w:rPr>
        <w:t>Questions str</w:t>
      </w:r>
      <w:r w:rsidR="00A90C5D" w:rsidRPr="00A90C5D">
        <w:rPr>
          <w:b/>
          <w:lang w:val="fr-FR"/>
        </w:rPr>
        <w:t>atégiques de nature horizontale </w:t>
      </w:r>
      <w:r w:rsidRPr="00A90C5D">
        <w:rPr>
          <w:b/>
          <w:lang w:val="fr-FR"/>
        </w:rPr>
        <w:t xml:space="preserve">: </w:t>
      </w:r>
      <w:r w:rsidR="00D50E69">
        <w:rPr>
          <w:b/>
          <w:lang w:val="fr-FR"/>
        </w:rPr>
        <w:br/>
      </w:r>
      <w:r w:rsidRPr="00A90C5D">
        <w:rPr>
          <w:b/>
          <w:lang w:val="fr-FR"/>
        </w:rPr>
        <w:t xml:space="preserve">Environnement, changements climatiques et transports : </w:t>
      </w:r>
      <w:r w:rsidR="00D50E69">
        <w:rPr>
          <w:b/>
          <w:lang w:val="fr-FR"/>
        </w:rPr>
        <w:br/>
      </w:r>
      <w:r w:rsidRPr="00A90C5D">
        <w:rPr>
          <w:b/>
          <w:lang w:val="fr-FR"/>
        </w:rPr>
        <w:t xml:space="preserve">Suite donnée par le Comité des transports intérieurs (CTI) </w:t>
      </w:r>
      <w:r w:rsidR="00D50E69">
        <w:rPr>
          <w:b/>
          <w:lang w:val="fr-FR"/>
        </w:rPr>
        <w:br/>
      </w:r>
      <w:r w:rsidRPr="00A90C5D">
        <w:rPr>
          <w:b/>
          <w:lang w:val="fr-FR"/>
        </w:rPr>
        <w:t xml:space="preserve">au </w:t>
      </w:r>
      <w:r w:rsidR="00B90DF0">
        <w:rPr>
          <w:b/>
          <w:lang w:val="fr-FR"/>
        </w:rPr>
        <w:t>P</w:t>
      </w:r>
      <w:r w:rsidRPr="00A90C5D">
        <w:rPr>
          <w:b/>
          <w:lang w:val="fr-FR"/>
        </w:rPr>
        <w:t>rogramme de développ</w:t>
      </w:r>
      <w:r w:rsidR="00A90C5D" w:rsidRPr="00A90C5D">
        <w:rPr>
          <w:b/>
          <w:lang w:val="fr-FR"/>
        </w:rPr>
        <w:t>ement durable à l</w:t>
      </w:r>
      <w:r w:rsidR="002E256D">
        <w:rPr>
          <w:b/>
          <w:lang w:val="fr-FR"/>
        </w:rPr>
        <w:t>’</w:t>
      </w:r>
      <w:r w:rsidR="00A90C5D" w:rsidRPr="00A90C5D">
        <w:rPr>
          <w:b/>
          <w:lang w:val="fr-FR"/>
        </w:rPr>
        <w:t>horizon 2030</w:t>
      </w:r>
    </w:p>
    <w:p w:rsidR="00707FF6" w:rsidRPr="00A90C5D" w:rsidRDefault="00070E0D" w:rsidP="00A90C5D">
      <w:pPr>
        <w:pStyle w:val="HChG"/>
      </w:pPr>
      <w:r w:rsidRPr="00A90C5D">
        <w:rPr>
          <w:lang w:val="fr-FR"/>
        </w:rPr>
        <w:tab/>
      </w:r>
      <w:r w:rsidRPr="00A90C5D">
        <w:rPr>
          <w:lang w:val="fr-FR"/>
        </w:rPr>
        <w:tab/>
      </w:r>
      <w:r w:rsidRPr="00D50E69">
        <w:rPr>
          <w:spacing w:val="2"/>
          <w:lang w:val="fr-FR"/>
        </w:rPr>
        <w:t>Les systèmes de transport viables dans le Programme</w:t>
      </w:r>
      <w:r w:rsidRPr="00A90C5D">
        <w:rPr>
          <w:lang w:val="fr-FR"/>
        </w:rPr>
        <w:t xml:space="preserve"> </w:t>
      </w:r>
      <w:r w:rsidR="00D50E69">
        <w:rPr>
          <w:lang w:val="fr-FR"/>
        </w:rPr>
        <w:br/>
      </w:r>
      <w:r w:rsidRPr="00D50E69">
        <w:rPr>
          <w:spacing w:val="-2"/>
          <w:lang w:val="fr-FR"/>
        </w:rPr>
        <w:t>de développement durable à l</w:t>
      </w:r>
      <w:r w:rsidR="002E256D">
        <w:rPr>
          <w:spacing w:val="-2"/>
          <w:lang w:val="fr-FR"/>
        </w:rPr>
        <w:t>’</w:t>
      </w:r>
      <w:r w:rsidRPr="00D50E69">
        <w:rPr>
          <w:spacing w:val="-2"/>
          <w:lang w:val="fr-FR"/>
        </w:rPr>
        <w:t>horizon 2030 et les objectifs</w:t>
      </w:r>
      <w:r w:rsidRPr="00A90C5D">
        <w:rPr>
          <w:lang w:val="fr-FR"/>
        </w:rPr>
        <w:t xml:space="preserve"> </w:t>
      </w:r>
      <w:r w:rsidR="00D50E69">
        <w:rPr>
          <w:lang w:val="fr-FR"/>
        </w:rPr>
        <w:br/>
      </w:r>
      <w:r w:rsidRPr="00A90C5D">
        <w:rPr>
          <w:lang w:val="fr-FR"/>
        </w:rPr>
        <w:t>de développement durable</w:t>
      </w:r>
    </w:p>
    <w:p w:rsidR="00F9573C" w:rsidRDefault="00070E0D" w:rsidP="00A90C5D">
      <w:pPr>
        <w:pStyle w:val="H1G"/>
        <w:rPr>
          <w:lang w:val="fr-FR"/>
        </w:rPr>
      </w:pPr>
      <w:r w:rsidRPr="00A90C5D">
        <w:rPr>
          <w:lang w:val="fr-FR"/>
        </w:rPr>
        <w:tab/>
      </w:r>
      <w:r w:rsidRPr="00A90C5D">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50E69" w:rsidTr="00216E0F">
        <w:trPr>
          <w:jc w:val="center"/>
        </w:trPr>
        <w:tc>
          <w:tcPr>
            <w:tcW w:w="9637" w:type="dxa"/>
            <w:shd w:val="clear" w:color="auto" w:fill="auto"/>
          </w:tcPr>
          <w:p w:rsidR="00D50E69" w:rsidRPr="000001E7" w:rsidRDefault="00D50E69" w:rsidP="00216E0F">
            <w:pPr>
              <w:spacing w:before="240" w:after="120"/>
              <w:ind w:left="255"/>
              <w:rPr>
                <w:i/>
                <w:sz w:val="24"/>
              </w:rPr>
            </w:pPr>
            <w:r w:rsidRPr="000001E7">
              <w:rPr>
                <w:i/>
                <w:sz w:val="24"/>
              </w:rPr>
              <w:t>Résumé</w:t>
            </w:r>
          </w:p>
        </w:tc>
      </w:tr>
      <w:tr w:rsidR="00D50E69" w:rsidTr="00216E0F">
        <w:trPr>
          <w:jc w:val="center"/>
        </w:trPr>
        <w:tc>
          <w:tcPr>
            <w:tcW w:w="9637" w:type="dxa"/>
            <w:shd w:val="clear" w:color="auto" w:fill="auto"/>
          </w:tcPr>
          <w:p w:rsidR="00D50E69" w:rsidRDefault="00070E0D" w:rsidP="0000699F">
            <w:pPr>
              <w:pStyle w:val="SingleTxtG"/>
              <w:ind w:firstLine="567"/>
            </w:pPr>
            <w:r w:rsidRPr="00D50E69">
              <w:rPr>
                <w:lang w:val="fr-FR"/>
              </w:rPr>
              <w:t>Le présent document contient des informations sur les principaux faits nouveaux concernant la situation des transports durables dans le Programme de développement durable à l</w:t>
            </w:r>
            <w:r w:rsidR="002E256D">
              <w:rPr>
                <w:lang w:val="fr-FR"/>
              </w:rPr>
              <w:t>’</w:t>
            </w:r>
            <w:r w:rsidRPr="00D50E69">
              <w:rPr>
                <w:lang w:val="fr-FR"/>
              </w:rPr>
              <w:t>horizon 2030 et les objectifs de développeme</w:t>
            </w:r>
            <w:r w:rsidR="00D50E69">
              <w:rPr>
                <w:lang w:val="fr-FR"/>
              </w:rPr>
              <w:t>nt durable, dont l</w:t>
            </w:r>
            <w:r w:rsidR="002E256D">
              <w:rPr>
                <w:lang w:val="fr-FR"/>
              </w:rPr>
              <w:t>’</w:t>
            </w:r>
            <w:r w:rsidR="00D50E69">
              <w:rPr>
                <w:lang w:val="fr-FR"/>
              </w:rPr>
              <w:t>adoption est</w:t>
            </w:r>
            <w:r w:rsidR="0000699F">
              <w:rPr>
                <w:lang w:val="fr-FR"/>
              </w:rPr>
              <w:t> </w:t>
            </w:r>
            <w:r w:rsidRPr="00D50E69">
              <w:rPr>
                <w:lang w:val="fr-FR"/>
              </w:rPr>
              <w:t>récente.</w:t>
            </w:r>
          </w:p>
        </w:tc>
      </w:tr>
      <w:tr w:rsidR="00D50E69" w:rsidTr="00216E0F">
        <w:trPr>
          <w:jc w:val="center"/>
        </w:trPr>
        <w:tc>
          <w:tcPr>
            <w:tcW w:w="9637" w:type="dxa"/>
            <w:shd w:val="clear" w:color="auto" w:fill="auto"/>
          </w:tcPr>
          <w:p w:rsidR="00D50E69" w:rsidRPr="00D50E69" w:rsidRDefault="00070E0D" w:rsidP="00D50E69">
            <w:pPr>
              <w:pStyle w:val="SingleTxtG"/>
              <w:ind w:firstLine="567"/>
              <w:rPr>
                <w:lang w:val="fr-FR"/>
              </w:rPr>
            </w:pPr>
            <w:r w:rsidRPr="00D50E69">
              <w:rPr>
                <w:lang w:val="fr-FR"/>
              </w:rPr>
              <w:t>Étant donné le rôle que le Comité des transports intérieurs (CTI) joue dans le domaine des transports à l</w:t>
            </w:r>
            <w:r w:rsidR="002E256D">
              <w:rPr>
                <w:lang w:val="fr-FR"/>
              </w:rPr>
              <w:t>’</w:t>
            </w:r>
            <w:r w:rsidRPr="00D50E69">
              <w:rPr>
                <w:lang w:val="fr-FR"/>
              </w:rPr>
              <w:t>échelle mondiale, notamment en tant qu</w:t>
            </w:r>
            <w:r w:rsidR="002E256D">
              <w:rPr>
                <w:lang w:val="fr-FR"/>
              </w:rPr>
              <w:t>’</w:t>
            </w:r>
            <w:r w:rsidRPr="00D50E69">
              <w:rPr>
                <w:lang w:val="fr-FR"/>
              </w:rPr>
              <w:t>administrateur d</w:t>
            </w:r>
            <w:r w:rsidR="002E256D">
              <w:rPr>
                <w:lang w:val="fr-FR"/>
              </w:rPr>
              <w:t>’</w:t>
            </w:r>
            <w:r w:rsidRPr="00D50E69">
              <w:rPr>
                <w:lang w:val="fr-FR"/>
              </w:rPr>
              <w:t>instruments juridiques et de règlements des Nations Unies de portée mondiale ou régionale, et compte tenu des activités d</w:t>
            </w:r>
            <w:r w:rsidR="002E256D">
              <w:rPr>
                <w:lang w:val="fr-FR"/>
              </w:rPr>
              <w:t>’</w:t>
            </w:r>
            <w:r w:rsidRPr="00D50E69">
              <w:rPr>
                <w:lang w:val="fr-FR"/>
              </w:rPr>
              <w:t xml:space="preserve">analyse, de renforcement des capacités et de concertation sur les actions à mener qui sont les siennes, le Comité des transports intérieurs souhaitera peut-être </w:t>
            </w:r>
            <w:r w:rsidRPr="00D50E69">
              <w:rPr>
                <w:b/>
                <w:lang w:val="fr-FR"/>
              </w:rPr>
              <w:t>réfléchir aux moyens de renforcer</w:t>
            </w:r>
            <w:r w:rsidRPr="00D50E69">
              <w:rPr>
                <w:lang w:val="fr-FR"/>
              </w:rPr>
              <w:t xml:space="preserve"> son rôle et sa contribution dans la mise en œuvre des objectifs en relation avec les transports du Programme de développement durable à l</w:t>
            </w:r>
            <w:r w:rsidR="002E256D">
              <w:rPr>
                <w:lang w:val="fr-FR"/>
              </w:rPr>
              <w:t>’</w:t>
            </w:r>
            <w:r w:rsidRPr="00D50E69">
              <w:rPr>
                <w:lang w:val="fr-FR"/>
              </w:rPr>
              <w:t xml:space="preserve">horizon 2030. Le Comité souhaitera peut-être également </w:t>
            </w:r>
            <w:r w:rsidRPr="00D50E69">
              <w:rPr>
                <w:b/>
                <w:lang w:val="fr-FR"/>
              </w:rPr>
              <w:t>demander</w:t>
            </w:r>
            <w:r w:rsidRPr="00D50E69">
              <w:rPr>
                <w:lang w:val="fr-FR"/>
              </w:rPr>
              <w:t xml:space="preserve"> au WP.6 de renforcer sa participation aux activités liées à la réalisation des objectifs de développement durable.</w:t>
            </w:r>
          </w:p>
        </w:tc>
      </w:tr>
      <w:tr w:rsidR="00D50E69" w:rsidTr="00216E0F">
        <w:trPr>
          <w:jc w:val="center"/>
        </w:trPr>
        <w:tc>
          <w:tcPr>
            <w:tcW w:w="9637" w:type="dxa"/>
            <w:shd w:val="clear" w:color="auto" w:fill="auto"/>
          </w:tcPr>
          <w:p w:rsidR="00D50E69" w:rsidRDefault="00D50E69" w:rsidP="00216E0F"/>
        </w:tc>
      </w:tr>
    </w:tbl>
    <w:p w:rsidR="00707FF6" w:rsidRPr="00D50E69" w:rsidRDefault="00070E0D" w:rsidP="00B90DF0">
      <w:pPr>
        <w:pStyle w:val="HChG"/>
      </w:pPr>
      <w:r w:rsidRPr="00D50E69">
        <w:rPr>
          <w:lang w:val="fr-FR"/>
        </w:rPr>
        <w:lastRenderedPageBreak/>
        <w:tab/>
        <w:t>I.</w:t>
      </w:r>
      <w:r w:rsidRPr="00D50E69">
        <w:rPr>
          <w:lang w:val="fr-FR"/>
        </w:rPr>
        <w:tab/>
        <w:t xml:space="preserve">Le </w:t>
      </w:r>
      <w:r w:rsidRPr="00B90DF0">
        <w:t>Programme</w:t>
      </w:r>
      <w:r w:rsidRPr="00D50E69">
        <w:rPr>
          <w:lang w:val="fr-FR"/>
        </w:rPr>
        <w:t xml:space="preserve"> 2030</w:t>
      </w:r>
    </w:p>
    <w:p w:rsidR="00707FF6" w:rsidRPr="00D50E69" w:rsidRDefault="00070E0D" w:rsidP="00B34729">
      <w:pPr>
        <w:pStyle w:val="ParNoG"/>
      </w:pPr>
      <w:r w:rsidRPr="00D50E69">
        <w:rPr>
          <w:lang w:val="fr-FR"/>
        </w:rPr>
        <w:t>Le 27</w:t>
      </w:r>
      <w:r w:rsidR="002E256D">
        <w:rPr>
          <w:lang w:val="fr-FR"/>
        </w:rPr>
        <w:t> </w:t>
      </w:r>
      <w:r w:rsidRPr="00D50E69">
        <w:rPr>
          <w:lang w:val="fr-FR"/>
        </w:rPr>
        <w:t>septembre 2015, les dirigeants du monde entier se sont réunis à New</w:t>
      </w:r>
      <w:r w:rsidR="002E256D">
        <w:rPr>
          <w:lang w:val="fr-FR"/>
        </w:rPr>
        <w:t> </w:t>
      </w:r>
      <w:r w:rsidRPr="00D50E69">
        <w:rPr>
          <w:lang w:val="fr-FR"/>
        </w:rPr>
        <w:t>York, à l</w:t>
      </w:r>
      <w:r w:rsidR="002E256D">
        <w:rPr>
          <w:lang w:val="fr-FR"/>
        </w:rPr>
        <w:t>’</w:t>
      </w:r>
      <w:r w:rsidRPr="00D50E69">
        <w:rPr>
          <w:lang w:val="fr-FR"/>
        </w:rPr>
        <w:t>occasion du Sommet de 2015 sur le développement durable et se sont déclarés déterminés à prendre les mesures audacieuses et porteuses de transformation qui s</w:t>
      </w:r>
      <w:r w:rsidR="002E256D">
        <w:rPr>
          <w:lang w:val="fr-FR"/>
        </w:rPr>
        <w:t>’</w:t>
      </w:r>
      <w:r w:rsidRPr="00D50E69">
        <w:rPr>
          <w:lang w:val="fr-FR"/>
        </w:rPr>
        <w:t>imposent d</w:t>
      </w:r>
      <w:r w:rsidR="002E256D">
        <w:rPr>
          <w:lang w:val="fr-FR"/>
        </w:rPr>
        <w:t>’</w:t>
      </w:r>
      <w:r w:rsidRPr="00D50E69">
        <w:rPr>
          <w:lang w:val="fr-FR"/>
        </w:rPr>
        <w:t>urgence pour engager le monde sur une voie dura</w:t>
      </w:r>
      <w:r w:rsidR="002E256D">
        <w:rPr>
          <w:lang w:val="fr-FR"/>
        </w:rPr>
        <w:t>ble, marquée par la résilience.</w:t>
      </w:r>
    </w:p>
    <w:p w:rsidR="00707FF6" w:rsidRPr="00D50E69" w:rsidRDefault="00070E0D" w:rsidP="00B34729">
      <w:pPr>
        <w:pStyle w:val="ParNoG"/>
        <w:tabs>
          <w:tab w:val="clear" w:pos="1701"/>
        </w:tabs>
      </w:pPr>
      <w:r w:rsidRPr="00D50E69">
        <w:rPr>
          <w:lang w:val="fr-FR"/>
        </w:rPr>
        <w:t>Ils ont à cet effet adopté 17</w:t>
      </w:r>
      <w:r w:rsidR="002E256D">
        <w:rPr>
          <w:lang w:val="fr-FR"/>
        </w:rPr>
        <w:t> </w:t>
      </w:r>
      <w:r w:rsidRPr="00D50E69">
        <w:rPr>
          <w:lang w:val="fr-FR"/>
        </w:rPr>
        <w:t>objectifs et 169</w:t>
      </w:r>
      <w:r w:rsidR="002E256D">
        <w:rPr>
          <w:lang w:val="fr-FR"/>
        </w:rPr>
        <w:t> </w:t>
      </w:r>
      <w:r w:rsidRPr="00D50E69">
        <w:rPr>
          <w:lang w:val="fr-FR"/>
        </w:rPr>
        <w:t>cibles à atteindre d</w:t>
      </w:r>
      <w:r w:rsidR="002E256D">
        <w:rPr>
          <w:lang w:val="fr-FR"/>
        </w:rPr>
        <w:t>’</w:t>
      </w:r>
      <w:r w:rsidRPr="00D50E69">
        <w:rPr>
          <w:lang w:val="fr-FR"/>
        </w:rPr>
        <w:t>ici à 2030 dans le but d</w:t>
      </w:r>
      <w:r w:rsidR="002E256D">
        <w:rPr>
          <w:lang w:val="fr-FR"/>
        </w:rPr>
        <w:t>’</w:t>
      </w:r>
      <w:r w:rsidRPr="00D50E69">
        <w:rPr>
          <w:lang w:val="fr-FR"/>
        </w:rPr>
        <w:t>aider l</w:t>
      </w:r>
      <w:r w:rsidR="002E256D">
        <w:rPr>
          <w:lang w:val="fr-FR"/>
        </w:rPr>
        <w:t>’</w:t>
      </w:r>
      <w:r w:rsidRPr="00D50E69">
        <w:rPr>
          <w:lang w:val="fr-FR"/>
        </w:rPr>
        <w:t>humanité à retrouver la voie vert</w:t>
      </w:r>
      <w:r w:rsidR="002E256D">
        <w:rPr>
          <w:lang w:val="fr-FR"/>
        </w:rPr>
        <w:t>ueuse du développement durable.</w:t>
      </w:r>
    </w:p>
    <w:p w:rsidR="00707FF6" w:rsidRPr="00D50E69" w:rsidRDefault="00070E0D" w:rsidP="00B34729">
      <w:pPr>
        <w:pStyle w:val="ParNoG"/>
        <w:tabs>
          <w:tab w:val="clear" w:pos="1701"/>
        </w:tabs>
      </w:pPr>
      <w:r w:rsidRPr="00D50E69">
        <w:rPr>
          <w:lang w:val="fr-FR"/>
        </w:rPr>
        <w:t>Ce nouveau programme universel est d</w:t>
      </w:r>
      <w:r w:rsidR="002E256D">
        <w:rPr>
          <w:lang w:val="fr-FR"/>
        </w:rPr>
        <w:t>’</w:t>
      </w:r>
      <w:r w:rsidRPr="00D50E69">
        <w:rPr>
          <w:lang w:val="fr-FR"/>
        </w:rPr>
        <w:t>une telle ampleur et d</w:t>
      </w:r>
      <w:r w:rsidR="002E256D">
        <w:rPr>
          <w:lang w:val="fr-FR"/>
        </w:rPr>
        <w:t>’</w:t>
      </w:r>
      <w:r w:rsidRPr="00D50E69">
        <w:rPr>
          <w:lang w:val="fr-FR"/>
        </w:rPr>
        <w:t>une telle ambition que son succès sera dans une large mesure fonction de sa mise en œuvre opérationnelle, laquelle passe par la mise au point des indicateurs de mesure relatifs aux objectifs de développement durable. Comme évoqué précédemment, les travaux du CTI et de ses organes subsidiaires se rapportent directement à 14 des 17</w:t>
      </w:r>
      <w:r w:rsidR="002E256D">
        <w:rPr>
          <w:lang w:val="fr-FR"/>
        </w:rPr>
        <w:t> </w:t>
      </w:r>
      <w:r w:rsidRPr="00D50E69">
        <w:rPr>
          <w:lang w:val="fr-FR"/>
        </w:rPr>
        <w:t>objectifs de développement durable.</w:t>
      </w:r>
    </w:p>
    <w:p w:rsidR="00707FF6" w:rsidRPr="00D50E69" w:rsidRDefault="00070E0D" w:rsidP="002E256D">
      <w:pPr>
        <w:pStyle w:val="ParNoG"/>
        <w:keepNext/>
        <w:tabs>
          <w:tab w:val="clear" w:pos="1701"/>
        </w:tabs>
      </w:pPr>
      <w:r w:rsidRPr="00D50E69">
        <w:rPr>
          <w:lang w:val="fr-FR"/>
        </w:rPr>
        <w:t>En mars 2016, 230</w:t>
      </w:r>
      <w:r w:rsidR="002E256D">
        <w:rPr>
          <w:lang w:val="fr-FR"/>
        </w:rPr>
        <w:t> </w:t>
      </w:r>
      <w:r w:rsidRPr="00D50E69">
        <w:rPr>
          <w:lang w:val="fr-FR"/>
        </w:rPr>
        <w:t>indicateurs ont été mis en place pour mesurer la réalisation des objectifs de développement durable. Par la suite, les indicateurs ont été classés en fonction de la disponibilité des données source dans les trois catégories suivantes</w:t>
      </w:r>
      <w:r w:rsidR="002E256D">
        <w:rPr>
          <w:lang w:val="fr-FR"/>
        </w:rPr>
        <w:t> </w:t>
      </w:r>
      <w:r w:rsidRPr="00D50E69">
        <w:rPr>
          <w:lang w:val="fr-FR"/>
        </w:rPr>
        <w:t>:</w:t>
      </w:r>
    </w:p>
    <w:p w:rsidR="00707FF6" w:rsidRPr="00D50E69" w:rsidRDefault="00070E0D" w:rsidP="002E256D">
      <w:pPr>
        <w:pStyle w:val="Bullet1G"/>
      </w:pPr>
      <w:r w:rsidRPr="00D50E69">
        <w:rPr>
          <w:lang w:val="fr-FR"/>
        </w:rPr>
        <w:t>Niveau I</w:t>
      </w:r>
      <w:r w:rsidR="002E256D">
        <w:rPr>
          <w:lang w:val="fr-FR"/>
        </w:rPr>
        <w:t> </w:t>
      </w:r>
      <w:r w:rsidRPr="00D50E69">
        <w:rPr>
          <w:lang w:val="fr-FR"/>
        </w:rPr>
        <w:t>: L</w:t>
      </w:r>
      <w:r w:rsidR="002E256D">
        <w:rPr>
          <w:lang w:val="fr-FR"/>
        </w:rPr>
        <w:t>’</w:t>
      </w:r>
      <w:r w:rsidRPr="00D50E69">
        <w:rPr>
          <w:lang w:val="fr-FR"/>
        </w:rPr>
        <w:t>indicateur correspond à un concept précis, il existe une méthode et des normes établies et les données sont produ</w:t>
      </w:r>
      <w:r w:rsidR="002E256D">
        <w:rPr>
          <w:lang w:val="fr-FR"/>
        </w:rPr>
        <w:t>ites régulièrement par les pays ;</w:t>
      </w:r>
    </w:p>
    <w:p w:rsidR="00707FF6" w:rsidRPr="00D50E69" w:rsidRDefault="00070E0D" w:rsidP="002E256D">
      <w:pPr>
        <w:pStyle w:val="Bullet1G"/>
      </w:pPr>
      <w:r w:rsidRPr="00D50E69">
        <w:rPr>
          <w:lang w:val="fr-FR"/>
        </w:rPr>
        <w:t>Niveau II</w:t>
      </w:r>
      <w:r w:rsidR="002E256D">
        <w:rPr>
          <w:lang w:val="fr-FR"/>
        </w:rPr>
        <w:t> </w:t>
      </w:r>
      <w:r w:rsidRPr="00D50E69">
        <w:rPr>
          <w:lang w:val="fr-FR"/>
        </w:rPr>
        <w:t>: L</w:t>
      </w:r>
      <w:r w:rsidR="002E256D">
        <w:rPr>
          <w:lang w:val="fr-FR"/>
        </w:rPr>
        <w:t>’</w:t>
      </w:r>
      <w:r w:rsidRPr="00D50E69">
        <w:rPr>
          <w:lang w:val="fr-FR"/>
        </w:rPr>
        <w:t>indicateur correspond à un concept précis, il existe une méthode et des normes établies mais les données ne sont pas produ</w:t>
      </w:r>
      <w:r w:rsidR="002E256D">
        <w:rPr>
          <w:lang w:val="fr-FR"/>
        </w:rPr>
        <w:t>ites régulièrement par les pays ;</w:t>
      </w:r>
    </w:p>
    <w:p w:rsidR="00707FF6" w:rsidRPr="00D50E69" w:rsidRDefault="00070E0D" w:rsidP="002E256D">
      <w:pPr>
        <w:pStyle w:val="Bullet1G"/>
      </w:pPr>
      <w:r w:rsidRPr="00D50E69">
        <w:rPr>
          <w:lang w:val="fr-FR"/>
        </w:rPr>
        <w:t>Niveau III</w:t>
      </w:r>
      <w:r w:rsidR="002E256D">
        <w:rPr>
          <w:lang w:val="fr-FR"/>
        </w:rPr>
        <w:t> : Il n’</w:t>
      </w:r>
      <w:r w:rsidRPr="00D50E69">
        <w:rPr>
          <w:lang w:val="fr-FR"/>
        </w:rPr>
        <w:t>existe pas de méthode ou de normes établies pour l</w:t>
      </w:r>
      <w:r w:rsidR="002E256D">
        <w:rPr>
          <w:lang w:val="fr-FR"/>
        </w:rPr>
        <w:t>’</w:t>
      </w:r>
      <w:r w:rsidRPr="00D50E69">
        <w:rPr>
          <w:lang w:val="fr-FR"/>
        </w:rPr>
        <w:t>indicateur, ou elles s</w:t>
      </w:r>
      <w:r w:rsidR="002E256D">
        <w:rPr>
          <w:lang w:val="fr-FR"/>
        </w:rPr>
        <w:t>ont en cours d’élaboration ou d’</w:t>
      </w:r>
      <w:r w:rsidRPr="00D50E69">
        <w:rPr>
          <w:lang w:val="fr-FR"/>
        </w:rPr>
        <w:t>essai.</w:t>
      </w:r>
    </w:p>
    <w:p w:rsidR="00707FF6" w:rsidRPr="00B90DF0" w:rsidRDefault="00070E0D" w:rsidP="00B34729">
      <w:pPr>
        <w:pStyle w:val="ParNoG"/>
        <w:tabs>
          <w:tab w:val="clear" w:pos="1701"/>
        </w:tabs>
      </w:pPr>
      <w:r w:rsidRPr="00B90DF0">
        <w:rPr>
          <w:lang w:val="fr-FR"/>
        </w:rPr>
        <w:t>Bien que, comme indiqué plus haut, les travaux du CTI couvrent 14 des 17</w:t>
      </w:r>
      <w:r w:rsidR="002E256D" w:rsidRPr="00B90DF0">
        <w:rPr>
          <w:lang w:val="fr-FR"/>
        </w:rPr>
        <w:t> </w:t>
      </w:r>
      <w:r w:rsidRPr="00B90DF0">
        <w:rPr>
          <w:lang w:val="fr-FR"/>
        </w:rPr>
        <w:t>objectifs de développement durable, seuls certains indicateurs relatifs à trois objectifs semblent être</w:t>
      </w:r>
      <w:r w:rsidR="00E70D0F">
        <w:rPr>
          <w:lang w:val="fr-FR"/>
        </w:rPr>
        <w:t> </w:t>
      </w:r>
      <w:r w:rsidRPr="00B90DF0">
        <w:rPr>
          <w:lang w:val="fr-FR"/>
        </w:rPr>
        <w:t>doté d</w:t>
      </w:r>
      <w:r w:rsidR="002E256D" w:rsidRPr="00B90DF0">
        <w:rPr>
          <w:lang w:val="fr-FR"/>
        </w:rPr>
        <w:t>’</w:t>
      </w:r>
      <w:r w:rsidRPr="00B90DF0">
        <w:rPr>
          <w:lang w:val="fr-FR"/>
        </w:rPr>
        <w:t>un mécanisme de suivi qui soit pertinent pour le Comité. On trouvera dans le tableau ci-après la liste des indicateurs intéressant plus particulièrement les transports. Ce tableau énumère aussi les organismes considérés comme les principaux acteurs dans la collecte et le calcul des données, le niveau de classification comme indiqué au paragraphe</w:t>
      </w:r>
      <w:r w:rsidR="002E256D" w:rsidRPr="00B90DF0">
        <w:rPr>
          <w:lang w:val="fr-FR"/>
        </w:rPr>
        <w:t> </w:t>
      </w:r>
      <w:r w:rsidRPr="00B90DF0">
        <w:rPr>
          <w:lang w:val="fr-FR"/>
        </w:rPr>
        <w:t xml:space="preserve">4 et les raisons pour lesquelles la participation du CTI au suivi </w:t>
      </w:r>
      <w:r w:rsidR="00B90DF0">
        <w:rPr>
          <w:lang w:val="fr-FR"/>
        </w:rPr>
        <w:t>de ces</w:t>
      </w:r>
      <w:r w:rsidRPr="00B90DF0">
        <w:rPr>
          <w:lang w:val="fr-FR"/>
        </w:rPr>
        <w:t xml:space="preserve"> indicateurs revêt une grande importance.</w:t>
      </w:r>
    </w:p>
    <w:p w:rsidR="00707FF6" w:rsidRPr="00D50E69" w:rsidRDefault="002E256D" w:rsidP="00CD7456">
      <w:pPr>
        <w:pStyle w:val="H23G"/>
      </w:pPr>
      <w:r>
        <w:rPr>
          <w:lang w:val="fr-FR"/>
        </w:rPr>
        <w:tab/>
      </w:r>
      <w:r w:rsidRPr="00CD7456">
        <w:rPr>
          <w:b w:val="0"/>
          <w:lang w:val="fr-FR"/>
        </w:rPr>
        <w:tab/>
      </w:r>
      <w:r w:rsidR="00070E0D" w:rsidRPr="00CD7456">
        <w:rPr>
          <w:b w:val="0"/>
        </w:rPr>
        <w:t>Tableau</w:t>
      </w:r>
      <w:r w:rsidRPr="002E256D">
        <w:rPr>
          <w:b w:val="0"/>
          <w:lang w:val="fr-FR"/>
        </w:rPr>
        <w:t xml:space="preserve"> </w:t>
      </w:r>
      <w:r w:rsidRPr="002E256D">
        <w:rPr>
          <w:b w:val="0"/>
          <w:lang w:val="fr-FR"/>
        </w:rPr>
        <w:br/>
      </w:r>
      <w:r w:rsidR="00070E0D" w:rsidRPr="00D50E69">
        <w:rPr>
          <w:lang w:val="fr-FR"/>
        </w:rPr>
        <w:t>Objectifs, cibles et indicateurs de développement durable relatifs aux transports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707FF6" w:rsidRPr="002E256D" w:rsidTr="00E70D0F">
        <w:trPr>
          <w:cantSplit/>
        </w:trPr>
        <w:tc>
          <w:tcPr>
            <w:tcW w:w="7370" w:type="dxa"/>
            <w:tcBorders>
              <w:top w:val="single" w:sz="4" w:space="0" w:color="auto"/>
              <w:bottom w:val="single" w:sz="12" w:space="0" w:color="auto"/>
            </w:tcBorders>
            <w:shd w:val="clear" w:color="auto" w:fill="auto"/>
            <w:vAlign w:val="bottom"/>
          </w:tcPr>
          <w:p w:rsidR="00707FF6" w:rsidRPr="002E256D" w:rsidRDefault="00070E0D" w:rsidP="002E256D">
            <w:pPr>
              <w:spacing w:before="80" w:after="80" w:line="200" w:lineRule="exact"/>
              <w:ind w:right="113"/>
              <w:rPr>
                <w:i/>
                <w:sz w:val="16"/>
              </w:rPr>
            </w:pPr>
            <w:r w:rsidRPr="002E256D">
              <w:rPr>
                <w:i/>
                <w:sz w:val="16"/>
                <w:lang w:val="fr-FR"/>
              </w:rPr>
              <w:t>Objectifs relatifs aux transports</w:t>
            </w:r>
          </w:p>
        </w:tc>
      </w:tr>
      <w:tr w:rsidR="002E256D" w:rsidRPr="002E256D" w:rsidTr="00E70D0F">
        <w:trPr>
          <w:cantSplit/>
          <w:trHeight w:hRule="exact" w:val="113"/>
        </w:trPr>
        <w:tc>
          <w:tcPr>
            <w:tcW w:w="7370" w:type="dxa"/>
            <w:tcBorders>
              <w:top w:val="single" w:sz="12" w:space="0" w:color="auto"/>
            </w:tcBorders>
            <w:shd w:val="clear" w:color="auto" w:fill="auto"/>
          </w:tcPr>
          <w:p w:rsidR="002E256D" w:rsidRPr="002E256D" w:rsidRDefault="002E256D" w:rsidP="002E256D">
            <w:pPr>
              <w:spacing w:before="40" w:after="120"/>
              <w:ind w:right="113"/>
              <w:rPr>
                <w:lang w:val="fr-FR"/>
              </w:rPr>
            </w:pPr>
          </w:p>
        </w:tc>
      </w:tr>
      <w:tr w:rsidR="00707FF6" w:rsidRPr="002E256D" w:rsidTr="00E70D0F">
        <w:trPr>
          <w:cantSplit/>
        </w:trPr>
        <w:tc>
          <w:tcPr>
            <w:tcW w:w="7370" w:type="dxa"/>
            <w:tcBorders>
              <w:bottom w:val="single" w:sz="4" w:space="0" w:color="auto"/>
            </w:tcBorders>
            <w:shd w:val="clear" w:color="auto" w:fill="auto"/>
          </w:tcPr>
          <w:p w:rsidR="00707FF6" w:rsidRPr="002E256D" w:rsidRDefault="00070E0D" w:rsidP="002E256D">
            <w:pPr>
              <w:spacing w:before="40" w:after="120"/>
              <w:ind w:left="1134" w:right="113" w:hanging="1134"/>
              <w:rPr>
                <w:b/>
              </w:rPr>
            </w:pPr>
            <w:r w:rsidRPr="002E256D">
              <w:rPr>
                <w:b/>
                <w:lang w:val="fr-FR"/>
              </w:rPr>
              <w:t>Objectif 3.</w:t>
            </w:r>
            <w:r w:rsidRPr="002E256D">
              <w:rPr>
                <w:b/>
                <w:lang w:val="fr-FR"/>
              </w:rPr>
              <w:tab/>
              <w:t>Permettre à tous de vivre en bonne santé et promouvoir le bien-être de</w:t>
            </w:r>
            <w:r w:rsidR="002E256D">
              <w:rPr>
                <w:b/>
                <w:lang w:val="fr-FR"/>
              </w:rPr>
              <w:t xml:space="preserve"> </w:t>
            </w:r>
            <w:r w:rsidRPr="002E256D">
              <w:rPr>
                <w:b/>
                <w:lang w:val="fr-FR"/>
              </w:rPr>
              <w:t>tous à tout âge</w:t>
            </w:r>
          </w:p>
        </w:tc>
      </w:tr>
      <w:tr w:rsidR="00707FF6" w:rsidRPr="002E256D" w:rsidTr="00E70D0F">
        <w:trPr>
          <w:cantSplit/>
        </w:trPr>
        <w:tc>
          <w:tcPr>
            <w:tcW w:w="7370" w:type="dxa"/>
            <w:tcBorders>
              <w:top w:val="single" w:sz="4" w:space="0" w:color="auto"/>
            </w:tcBorders>
            <w:shd w:val="clear" w:color="auto" w:fill="auto"/>
          </w:tcPr>
          <w:p w:rsidR="00707FF6" w:rsidRPr="002E256D" w:rsidRDefault="00070E0D" w:rsidP="002E256D">
            <w:pPr>
              <w:spacing w:before="40" w:after="120"/>
              <w:ind w:right="113"/>
              <w:rPr>
                <w:b/>
                <w:i/>
              </w:rPr>
            </w:pPr>
            <w:r w:rsidRPr="002E256D">
              <w:rPr>
                <w:b/>
                <w:i/>
                <w:lang w:val="fr-FR"/>
              </w:rPr>
              <w:t>3.6</w:t>
            </w:r>
            <w:r w:rsidRPr="002E256D">
              <w:rPr>
                <w:b/>
                <w:i/>
                <w:lang w:val="fr-FR"/>
              </w:rPr>
              <w:tab/>
              <w:t>D</w:t>
            </w:r>
            <w:r w:rsidR="002E256D" w:rsidRPr="002E256D">
              <w:rPr>
                <w:b/>
                <w:i/>
                <w:lang w:val="fr-FR"/>
              </w:rPr>
              <w:t>’</w:t>
            </w:r>
            <w:r w:rsidRPr="002E256D">
              <w:rPr>
                <w:b/>
                <w:i/>
                <w:lang w:val="fr-FR"/>
              </w:rPr>
              <w:t xml:space="preserve">ici à 2020, </w:t>
            </w:r>
            <w:proofErr w:type="gramStart"/>
            <w:r w:rsidRPr="002E256D">
              <w:rPr>
                <w:b/>
                <w:i/>
                <w:lang w:val="fr-FR"/>
              </w:rPr>
              <w:t>diminuer</w:t>
            </w:r>
            <w:proofErr w:type="gramEnd"/>
            <w:r w:rsidRPr="002E256D">
              <w:rPr>
                <w:b/>
                <w:i/>
                <w:lang w:val="fr-FR"/>
              </w:rPr>
              <w:t xml:space="preserve"> de moitié à l</w:t>
            </w:r>
            <w:r w:rsidR="002E256D" w:rsidRPr="002E256D">
              <w:rPr>
                <w:b/>
                <w:i/>
                <w:lang w:val="fr-FR"/>
              </w:rPr>
              <w:t>’</w:t>
            </w:r>
            <w:r w:rsidRPr="002E256D">
              <w:rPr>
                <w:b/>
                <w:i/>
                <w:lang w:val="fr-FR"/>
              </w:rPr>
              <w:t>échelle mondiale le nombre de décès et de blessures dus à des a</w:t>
            </w:r>
            <w:bookmarkStart w:id="0" w:name="_GoBack"/>
            <w:bookmarkEnd w:id="0"/>
            <w:r w:rsidRPr="002E256D">
              <w:rPr>
                <w:b/>
                <w:i/>
                <w:lang w:val="fr-FR"/>
              </w:rPr>
              <w:t>ccidents de la route.</w:t>
            </w:r>
          </w:p>
        </w:tc>
      </w:tr>
      <w:tr w:rsidR="00707FF6" w:rsidRPr="002E256D" w:rsidTr="00E70D0F">
        <w:trPr>
          <w:cantSplit/>
        </w:trPr>
        <w:tc>
          <w:tcPr>
            <w:tcW w:w="7370" w:type="dxa"/>
            <w:shd w:val="clear" w:color="auto" w:fill="auto"/>
          </w:tcPr>
          <w:p w:rsidR="00707FF6" w:rsidRPr="002E256D" w:rsidRDefault="00070E0D" w:rsidP="00CD7456">
            <w:pPr>
              <w:spacing w:before="40" w:after="120"/>
              <w:ind w:right="113"/>
            </w:pPr>
            <w:r w:rsidRPr="002E256D">
              <w:rPr>
                <w:i/>
                <w:lang w:val="fr-FR"/>
              </w:rPr>
              <w:t>Indicateur 3.6.1</w:t>
            </w:r>
            <w:r w:rsidR="002E256D">
              <w:rPr>
                <w:lang w:val="fr-FR"/>
              </w:rPr>
              <w:t> </w:t>
            </w:r>
            <w:r w:rsidRPr="002E256D">
              <w:rPr>
                <w:lang w:val="fr-FR"/>
              </w:rPr>
              <w:t>: Nombre de décès liés à des accidents de la route</w:t>
            </w:r>
          </w:p>
          <w:p w:rsidR="00707FF6" w:rsidRPr="002E256D" w:rsidRDefault="00070E0D" w:rsidP="00CD7456">
            <w:pPr>
              <w:spacing w:before="40" w:after="120"/>
              <w:ind w:right="113"/>
              <w:rPr>
                <w:u w:val="single"/>
              </w:rPr>
            </w:pPr>
            <w:r w:rsidRPr="002E256D">
              <w:rPr>
                <w:i/>
                <w:lang w:val="fr-FR"/>
              </w:rPr>
              <w:t>Dépositaire possible</w:t>
            </w:r>
            <w:r w:rsidR="002E256D">
              <w:rPr>
                <w:lang w:val="fr-FR"/>
              </w:rPr>
              <w:t> </w:t>
            </w:r>
            <w:r w:rsidRPr="002E256D">
              <w:rPr>
                <w:lang w:val="fr-FR"/>
              </w:rPr>
              <w:t>: Organisation mondiale de la Santé (OMS)</w:t>
            </w:r>
          </w:p>
          <w:p w:rsidR="00707FF6" w:rsidRPr="002E256D" w:rsidRDefault="00070E0D" w:rsidP="00CD7456">
            <w:pPr>
              <w:spacing w:before="40" w:after="120"/>
              <w:ind w:right="113"/>
            </w:pPr>
            <w:r w:rsidRPr="002E256D">
              <w:rPr>
                <w:i/>
                <w:lang w:val="fr-FR"/>
              </w:rPr>
              <w:t>Autres organismes concernés</w:t>
            </w:r>
            <w:r w:rsidR="002E256D">
              <w:rPr>
                <w:lang w:val="fr-FR"/>
              </w:rPr>
              <w:t> </w:t>
            </w:r>
            <w:r w:rsidRPr="002E256D">
              <w:rPr>
                <w:lang w:val="fr-FR"/>
              </w:rPr>
              <w:t>: néant</w:t>
            </w:r>
          </w:p>
          <w:p w:rsidR="00707FF6" w:rsidRPr="002E256D" w:rsidRDefault="00070E0D" w:rsidP="00CD7456">
            <w:pPr>
              <w:spacing w:before="40" w:after="120"/>
              <w:ind w:right="113"/>
              <w:rPr>
                <w:i/>
                <w:u w:val="single"/>
              </w:rPr>
            </w:pPr>
            <w:r w:rsidRPr="002E256D">
              <w:rPr>
                <w:i/>
                <w:lang w:val="fr-FR"/>
              </w:rPr>
              <w:t>Niveau I</w:t>
            </w:r>
          </w:p>
        </w:tc>
      </w:tr>
      <w:tr w:rsidR="00707FF6" w:rsidRPr="002E256D" w:rsidTr="00E70D0F">
        <w:trPr>
          <w:cantSplit/>
        </w:trPr>
        <w:tc>
          <w:tcPr>
            <w:tcW w:w="7370" w:type="dxa"/>
            <w:shd w:val="clear" w:color="auto" w:fill="auto"/>
          </w:tcPr>
          <w:p w:rsidR="00707FF6" w:rsidRPr="002E256D" w:rsidRDefault="00070E0D" w:rsidP="00CD7456">
            <w:pPr>
              <w:spacing w:before="40" w:after="120"/>
              <w:ind w:right="113"/>
            </w:pPr>
            <w:r w:rsidRPr="00E47714">
              <w:rPr>
                <w:i/>
                <w:lang w:val="fr-FR"/>
              </w:rPr>
              <w:lastRenderedPageBreak/>
              <w:t>Justification de la participation du CTI</w:t>
            </w:r>
            <w:r w:rsidR="00E47714">
              <w:rPr>
                <w:lang w:val="fr-FR"/>
              </w:rPr>
              <w:t> </w:t>
            </w:r>
            <w:r w:rsidRPr="002E256D">
              <w:rPr>
                <w:lang w:val="fr-FR"/>
              </w:rPr>
              <w:t>: Le CTI est le seul organe des Nations Unies qui couvre la totalité du champ de la sécurité routière, du fait de son activité en matière de réglementation, de renforcement des capacités, d</w:t>
            </w:r>
            <w:r w:rsidR="002E256D" w:rsidRPr="002E256D">
              <w:rPr>
                <w:lang w:val="fr-FR"/>
              </w:rPr>
              <w:t>’</w:t>
            </w:r>
            <w:r w:rsidRPr="002E256D">
              <w:rPr>
                <w:lang w:val="fr-FR"/>
              </w:rPr>
              <w:t>assistance technique, d</w:t>
            </w:r>
            <w:r w:rsidR="002E256D" w:rsidRPr="002E256D">
              <w:rPr>
                <w:lang w:val="fr-FR"/>
              </w:rPr>
              <w:t>’</w:t>
            </w:r>
            <w:r w:rsidRPr="002E256D">
              <w:rPr>
                <w:lang w:val="fr-FR"/>
              </w:rPr>
              <w:t>analyse et de concertation sur l</w:t>
            </w:r>
            <w:r w:rsidR="002E256D" w:rsidRPr="002E256D">
              <w:rPr>
                <w:lang w:val="fr-FR"/>
              </w:rPr>
              <w:t>’</w:t>
            </w:r>
            <w:r w:rsidRPr="002E256D">
              <w:rPr>
                <w:lang w:val="fr-FR"/>
              </w:rPr>
              <w:t>action à mener dans les domaines suivants</w:t>
            </w:r>
            <w:r w:rsidR="00E47714">
              <w:rPr>
                <w:lang w:val="fr-FR"/>
              </w:rPr>
              <w:t> </w:t>
            </w:r>
            <w:r w:rsidRPr="002E256D">
              <w:rPr>
                <w:lang w:val="fr-FR"/>
              </w:rPr>
              <w:t xml:space="preserve">: </w:t>
            </w:r>
          </w:p>
        </w:tc>
      </w:tr>
      <w:tr w:rsidR="00707FF6" w:rsidRPr="002E256D" w:rsidTr="00E70D0F">
        <w:trPr>
          <w:cantSplit/>
        </w:trPr>
        <w:tc>
          <w:tcPr>
            <w:tcW w:w="7370" w:type="dxa"/>
            <w:shd w:val="clear" w:color="auto" w:fill="auto"/>
          </w:tcPr>
          <w:p w:rsidR="00707FF6" w:rsidRPr="002E256D" w:rsidRDefault="00070E0D" w:rsidP="009A5355">
            <w:pPr>
              <w:pStyle w:val="Bullet1G"/>
              <w:keepNext/>
              <w:keepLines/>
              <w:tabs>
                <w:tab w:val="clear" w:pos="1701"/>
                <w:tab w:val="num" w:pos="567"/>
              </w:tabs>
              <w:ind w:left="567"/>
            </w:pPr>
            <w:r w:rsidRPr="002E256D">
              <w:rPr>
                <w:lang w:val="fr-FR"/>
              </w:rPr>
              <w:t>Règles de circulation routière</w:t>
            </w:r>
            <w:r w:rsidR="00E47714">
              <w:rPr>
                <w:lang w:val="fr-FR"/>
              </w:rPr>
              <w:t> </w:t>
            </w:r>
            <w:r w:rsidRPr="002E256D">
              <w:rPr>
                <w:lang w:val="fr-FR"/>
              </w:rPr>
              <w:t>;</w:t>
            </w:r>
          </w:p>
        </w:tc>
      </w:tr>
      <w:tr w:rsidR="00707FF6" w:rsidRPr="002E256D" w:rsidTr="00E70D0F">
        <w:trPr>
          <w:cantSplit/>
        </w:trPr>
        <w:tc>
          <w:tcPr>
            <w:tcW w:w="7370" w:type="dxa"/>
            <w:shd w:val="clear" w:color="auto" w:fill="auto"/>
          </w:tcPr>
          <w:p w:rsidR="00707FF6" w:rsidRPr="002E256D" w:rsidRDefault="00070E0D" w:rsidP="00E47714">
            <w:pPr>
              <w:pStyle w:val="Bullet1G"/>
              <w:tabs>
                <w:tab w:val="clear" w:pos="1701"/>
                <w:tab w:val="num" w:pos="567"/>
              </w:tabs>
              <w:ind w:left="567"/>
            </w:pPr>
            <w:r w:rsidRPr="002E256D">
              <w:rPr>
                <w:lang w:val="fr-FR"/>
              </w:rPr>
              <w:t>Signalisation routière</w:t>
            </w:r>
            <w:r w:rsidR="00E47714">
              <w:rPr>
                <w:lang w:val="fr-FR"/>
              </w:rPr>
              <w:t> </w:t>
            </w:r>
            <w:r w:rsidRPr="002E256D">
              <w:rPr>
                <w:lang w:val="fr-FR"/>
              </w:rPr>
              <w:t>;</w:t>
            </w:r>
          </w:p>
        </w:tc>
      </w:tr>
      <w:tr w:rsidR="00707FF6" w:rsidRPr="002E256D" w:rsidTr="00E70D0F">
        <w:trPr>
          <w:cantSplit/>
        </w:trPr>
        <w:tc>
          <w:tcPr>
            <w:tcW w:w="7370" w:type="dxa"/>
            <w:shd w:val="clear" w:color="auto" w:fill="auto"/>
          </w:tcPr>
          <w:p w:rsidR="00707FF6" w:rsidRPr="002E256D" w:rsidRDefault="00070E0D" w:rsidP="00E47714">
            <w:pPr>
              <w:pStyle w:val="Bullet1G"/>
              <w:tabs>
                <w:tab w:val="clear" w:pos="1701"/>
                <w:tab w:val="num" w:pos="567"/>
              </w:tabs>
              <w:ind w:left="567"/>
            </w:pPr>
            <w:r w:rsidRPr="002E256D">
              <w:rPr>
                <w:lang w:val="fr-FR"/>
              </w:rPr>
              <w:t>Infrastructure routière</w:t>
            </w:r>
            <w:r w:rsidR="00E47714">
              <w:rPr>
                <w:lang w:val="fr-FR"/>
              </w:rPr>
              <w:t> </w:t>
            </w:r>
            <w:r w:rsidRPr="002E256D">
              <w:rPr>
                <w:lang w:val="fr-FR"/>
              </w:rPr>
              <w:t>;</w:t>
            </w:r>
          </w:p>
        </w:tc>
      </w:tr>
      <w:tr w:rsidR="00707FF6" w:rsidRPr="002E256D" w:rsidTr="00E70D0F">
        <w:trPr>
          <w:cantSplit/>
        </w:trPr>
        <w:tc>
          <w:tcPr>
            <w:tcW w:w="7370" w:type="dxa"/>
            <w:shd w:val="clear" w:color="auto" w:fill="auto"/>
          </w:tcPr>
          <w:p w:rsidR="00707FF6" w:rsidRPr="002E256D" w:rsidRDefault="00070E0D" w:rsidP="00E47714">
            <w:pPr>
              <w:pStyle w:val="Bullet1G"/>
              <w:tabs>
                <w:tab w:val="clear" w:pos="1701"/>
                <w:tab w:val="num" w:pos="567"/>
              </w:tabs>
              <w:ind w:left="567"/>
            </w:pPr>
            <w:r w:rsidRPr="002E256D">
              <w:rPr>
                <w:lang w:val="fr-FR"/>
              </w:rPr>
              <w:t>Construction et contrôle périodique des véhicules</w:t>
            </w:r>
            <w:r w:rsidR="00E47714">
              <w:rPr>
                <w:lang w:val="fr-FR"/>
              </w:rPr>
              <w:t> </w:t>
            </w:r>
            <w:r w:rsidRPr="002E256D">
              <w:rPr>
                <w:lang w:val="fr-FR"/>
              </w:rPr>
              <w:t>;</w:t>
            </w:r>
          </w:p>
        </w:tc>
      </w:tr>
      <w:tr w:rsidR="00707FF6" w:rsidRPr="002E256D" w:rsidTr="00E70D0F">
        <w:trPr>
          <w:cantSplit/>
        </w:trPr>
        <w:tc>
          <w:tcPr>
            <w:tcW w:w="7370" w:type="dxa"/>
            <w:shd w:val="clear" w:color="auto" w:fill="auto"/>
          </w:tcPr>
          <w:p w:rsidR="00707FF6" w:rsidRPr="00E47714" w:rsidRDefault="00070E0D" w:rsidP="00E47714">
            <w:pPr>
              <w:pStyle w:val="Bullet1G"/>
              <w:tabs>
                <w:tab w:val="clear" w:pos="1701"/>
                <w:tab w:val="num" w:pos="567"/>
              </w:tabs>
              <w:ind w:left="567" w:right="-1"/>
              <w:rPr>
                <w:spacing w:val="-2"/>
              </w:rPr>
            </w:pPr>
            <w:r w:rsidRPr="00E47714">
              <w:rPr>
                <w:spacing w:val="-2"/>
                <w:lang w:val="fr-FR"/>
              </w:rPr>
              <w:t>Temps de conduite et périodes de repos des conducteurs professionnels</w:t>
            </w:r>
            <w:r w:rsidR="00E47714" w:rsidRPr="00E47714">
              <w:rPr>
                <w:spacing w:val="-2"/>
                <w:lang w:val="fr-FR"/>
              </w:rPr>
              <w:t> </w:t>
            </w:r>
            <w:r w:rsidRPr="00E47714">
              <w:rPr>
                <w:spacing w:val="-2"/>
                <w:lang w:val="fr-FR"/>
              </w:rPr>
              <w:t>;</w:t>
            </w:r>
          </w:p>
        </w:tc>
      </w:tr>
      <w:tr w:rsidR="00707FF6" w:rsidRPr="002E256D" w:rsidTr="00E70D0F">
        <w:trPr>
          <w:cantSplit/>
        </w:trPr>
        <w:tc>
          <w:tcPr>
            <w:tcW w:w="7370" w:type="dxa"/>
            <w:shd w:val="clear" w:color="auto" w:fill="auto"/>
          </w:tcPr>
          <w:p w:rsidR="00707FF6" w:rsidRPr="002E256D" w:rsidRDefault="00070E0D" w:rsidP="00E47714">
            <w:pPr>
              <w:pStyle w:val="Bullet1G"/>
              <w:tabs>
                <w:tab w:val="clear" w:pos="1701"/>
                <w:tab w:val="num" w:pos="567"/>
              </w:tabs>
              <w:ind w:left="567"/>
            </w:pPr>
            <w:r w:rsidRPr="002E256D">
              <w:rPr>
                <w:lang w:val="fr-FR"/>
              </w:rPr>
              <w:t>Marchandises dangereuses</w:t>
            </w:r>
            <w:r w:rsidR="00E47714">
              <w:rPr>
                <w:lang w:val="fr-FR"/>
              </w:rPr>
              <w:t> </w:t>
            </w:r>
            <w:r w:rsidRPr="002E256D">
              <w:rPr>
                <w:lang w:val="fr-FR"/>
              </w:rPr>
              <w:t>;</w:t>
            </w:r>
          </w:p>
        </w:tc>
      </w:tr>
      <w:tr w:rsidR="00707FF6" w:rsidRPr="002E256D" w:rsidTr="00E70D0F">
        <w:trPr>
          <w:cantSplit/>
        </w:trPr>
        <w:tc>
          <w:tcPr>
            <w:tcW w:w="7370" w:type="dxa"/>
            <w:shd w:val="clear" w:color="auto" w:fill="auto"/>
          </w:tcPr>
          <w:p w:rsidR="00707FF6" w:rsidRPr="002E256D" w:rsidRDefault="00070E0D" w:rsidP="00E47714">
            <w:pPr>
              <w:pStyle w:val="Bullet1G"/>
              <w:tabs>
                <w:tab w:val="clear" w:pos="1701"/>
                <w:tab w:val="num" w:pos="567"/>
              </w:tabs>
              <w:ind w:left="567" w:right="-1"/>
            </w:pPr>
            <w:r w:rsidRPr="002E256D">
              <w:rPr>
                <w:lang w:val="fr-FR"/>
              </w:rPr>
              <w:t>Mobilisation de la volonté politique et des ressources, ceci incluant l</w:t>
            </w:r>
            <w:r w:rsidR="002E256D" w:rsidRPr="002E256D">
              <w:rPr>
                <w:lang w:val="fr-FR"/>
              </w:rPr>
              <w:t>’</w:t>
            </w:r>
            <w:r w:rsidRPr="002E256D">
              <w:rPr>
                <w:lang w:val="fr-FR"/>
              </w:rPr>
              <w:t>aide apportée aux activités de l</w:t>
            </w:r>
            <w:r w:rsidR="002E256D" w:rsidRPr="002E256D">
              <w:rPr>
                <w:lang w:val="fr-FR"/>
              </w:rPr>
              <w:t>’</w:t>
            </w:r>
            <w:r w:rsidRPr="002E256D">
              <w:rPr>
                <w:lang w:val="fr-FR"/>
              </w:rPr>
              <w:t>Envoyé spécial du Secrétaire général pour la sécurité routière.</w:t>
            </w:r>
          </w:p>
        </w:tc>
      </w:tr>
      <w:tr w:rsidR="00707FF6" w:rsidRPr="002E256D" w:rsidTr="00E70D0F">
        <w:trPr>
          <w:cantSplit/>
        </w:trPr>
        <w:tc>
          <w:tcPr>
            <w:tcW w:w="7370" w:type="dxa"/>
            <w:shd w:val="clear" w:color="auto" w:fill="auto"/>
          </w:tcPr>
          <w:p w:rsidR="00707FF6" w:rsidRPr="002E256D" w:rsidRDefault="00070E0D" w:rsidP="0000699F">
            <w:pPr>
              <w:spacing w:before="40" w:after="120"/>
              <w:ind w:right="-1"/>
            </w:pPr>
            <w:r w:rsidRPr="002E256D">
              <w:rPr>
                <w:lang w:val="fr-FR"/>
              </w:rPr>
              <w:t>Le Groupe de travail des statistiques des transports (WP.6) recueille et diffuse des quantités importantes de données statistiques sur la sécurité routière dans les États membres de la Commission économique pour l</w:t>
            </w:r>
            <w:r w:rsidR="002E256D" w:rsidRPr="002E256D">
              <w:rPr>
                <w:lang w:val="fr-FR"/>
              </w:rPr>
              <w:t>’</w:t>
            </w:r>
            <w:r w:rsidRPr="002E256D">
              <w:rPr>
                <w:lang w:val="fr-FR"/>
              </w:rPr>
              <w:t xml:space="preserve">Europe (CEE), notamment via la base de données statistiques en ligne et dans de nombreuses publications statistiques, en particulier celle intitulée </w:t>
            </w:r>
            <w:r w:rsidR="0000699F">
              <w:rPr>
                <w:lang w:val="fr-FR"/>
              </w:rPr>
              <w:t>« </w:t>
            </w:r>
            <w:r w:rsidRPr="002E256D">
              <w:rPr>
                <w:lang w:val="fr-FR"/>
              </w:rPr>
              <w:t>Statistiques des accidents de la circulation routière en Europe</w:t>
            </w:r>
            <w:r w:rsidR="0000699F">
              <w:rPr>
                <w:lang w:val="fr-FR"/>
              </w:rPr>
              <w:t xml:space="preserve"> et en Amérique du Nord − 2015 »</w:t>
            </w:r>
            <w:r w:rsidRPr="002E256D">
              <w:rPr>
                <w:lang w:val="fr-FR"/>
              </w:rPr>
              <w:t xml:space="preserve"> et les cartes d</w:t>
            </w:r>
            <w:r w:rsidR="002E256D" w:rsidRPr="002E256D">
              <w:rPr>
                <w:lang w:val="fr-FR"/>
              </w:rPr>
              <w:t>’</w:t>
            </w:r>
            <w:r w:rsidRPr="002E256D">
              <w:rPr>
                <w:lang w:val="fr-FR"/>
              </w:rPr>
              <w:t>information (</w:t>
            </w:r>
            <w:r w:rsidR="0000699F">
              <w:rPr>
                <w:lang w:val="fr-FR"/>
              </w:rPr>
              <w:t>« </w:t>
            </w:r>
            <w:r w:rsidRPr="002E256D">
              <w:rPr>
                <w:lang w:val="fr-FR"/>
              </w:rPr>
              <w:t>Infocards</w:t>
            </w:r>
            <w:r w:rsidR="0000699F">
              <w:rPr>
                <w:lang w:val="fr-FR"/>
              </w:rPr>
              <w:t> »</w:t>
            </w:r>
            <w:r w:rsidRPr="002E256D">
              <w:rPr>
                <w:lang w:val="fr-FR"/>
              </w:rPr>
              <w:t>) sur les statistiques des transports (voir ECE/TRANS/2017/23). Les données spécifiquement liées aux décès évoquées dans cet indicateur sont mesurées et recueillies par la CEE depuis des décennies. En outre, ces données sont déjà en la possession du CTI et aucune recherche n</w:t>
            </w:r>
            <w:r w:rsidR="002E256D" w:rsidRPr="002E256D">
              <w:rPr>
                <w:lang w:val="fr-FR"/>
              </w:rPr>
              <w:t>’</w:t>
            </w:r>
            <w:r w:rsidRPr="002E256D">
              <w:rPr>
                <w:lang w:val="fr-FR"/>
              </w:rPr>
              <w:t>est nécessaire.</w:t>
            </w:r>
            <w:bookmarkStart w:id="1" w:name="hit17"/>
            <w:bookmarkStart w:id="2" w:name="hit18"/>
            <w:bookmarkEnd w:id="1"/>
            <w:bookmarkEnd w:id="2"/>
          </w:p>
        </w:tc>
      </w:tr>
      <w:tr w:rsidR="00707FF6" w:rsidRPr="002E256D" w:rsidTr="00E70D0F">
        <w:trPr>
          <w:cantSplit/>
        </w:trPr>
        <w:tc>
          <w:tcPr>
            <w:tcW w:w="7370" w:type="dxa"/>
            <w:tcBorders>
              <w:bottom w:val="single" w:sz="12" w:space="0" w:color="auto"/>
            </w:tcBorders>
            <w:shd w:val="clear" w:color="auto" w:fill="auto"/>
          </w:tcPr>
          <w:p w:rsidR="00707FF6" w:rsidRPr="002E256D" w:rsidRDefault="004F5677" w:rsidP="004150A0">
            <w:pPr>
              <w:spacing w:before="40" w:after="120"/>
              <w:ind w:right="113"/>
            </w:pPr>
          </w:p>
        </w:tc>
      </w:tr>
      <w:tr w:rsidR="00707FF6" w:rsidRPr="004B0132" w:rsidTr="00E70D0F">
        <w:trPr>
          <w:cantSplit/>
        </w:trPr>
        <w:tc>
          <w:tcPr>
            <w:tcW w:w="7370" w:type="dxa"/>
            <w:tcBorders>
              <w:top w:val="single" w:sz="12" w:space="0" w:color="auto"/>
              <w:bottom w:val="single" w:sz="4" w:space="0" w:color="auto"/>
            </w:tcBorders>
            <w:shd w:val="clear" w:color="auto" w:fill="auto"/>
          </w:tcPr>
          <w:p w:rsidR="00707FF6" w:rsidRPr="004B0132" w:rsidRDefault="00070E0D" w:rsidP="004B0132">
            <w:pPr>
              <w:spacing w:before="40" w:after="120"/>
              <w:ind w:left="1134" w:right="113" w:hanging="1134"/>
              <w:rPr>
                <w:b/>
              </w:rPr>
            </w:pPr>
            <w:r w:rsidRPr="004B0132">
              <w:rPr>
                <w:b/>
                <w:lang w:val="fr-FR"/>
              </w:rPr>
              <w:t xml:space="preserve">Objectif 9. </w:t>
            </w:r>
            <w:r w:rsidRPr="004B0132">
              <w:rPr>
                <w:b/>
                <w:lang w:val="fr-FR"/>
              </w:rPr>
              <w:tab/>
              <w:t>Bâtir une infrastructure résiliente, promouvoir une industrialisation durable qui profite à tous et encourager l</w:t>
            </w:r>
            <w:r w:rsidR="002E256D" w:rsidRPr="004B0132">
              <w:rPr>
                <w:b/>
                <w:lang w:val="fr-FR"/>
              </w:rPr>
              <w:t>’</w:t>
            </w:r>
            <w:r w:rsidRPr="004B0132">
              <w:rPr>
                <w:b/>
                <w:lang w:val="fr-FR"/>
              </w:rPr>
              <w:t>innovation</w:t>
            </w:r>
          </w:p>
        </w:tc>
      </w:tr>
      <w:tr w:rsidR="00707FF6" w:rsidRPr="004B0132" w:rsidTr="00E70D0F">
        <w:trPr>
          <w:cantSplit/>
        </w:trPr>
        <w:tc>
          <w:tcPr>
            <w:tcW w:w="7370" w:type="dxa"/>
            <w:tcBorders>
              <w:top w:val="single" w:sz="4" w:space="0" w:color="auto"/>
            </w:tcBorders>
            <w:shd w:val="clear" w:color="auto" w:fill="auto"/>
          </w:tcPr>
          <w:p w:rsidR="00707FF6" w:rsidRPr="004B0132" w:rsidRDefault="00070E0D" w:rsidP="004B0132">
            <w:pPr>
              <w:spacing w:before="40" w:after="120"/>
              <w:ind w:right="-1"/>
              <w:rPr>
                <w:b/>
                <w:i/>
              </w:rPr>
            </w:pPr>
            <w:r w:rsidRPr="004B0132">
              <w:rPr>
                <w:b/>
                <w:i/>
                <w:lang w:val="fr-FR"/>
              </w:rPr>
              <w:t>9.1</w:t>
            </w:r>
            <w:r w:rsidRPr="004B0132">
              <w:rPr>
                <w:b/>
                <w:i/>
                <w:lang w:val="fr-FR"/>
              </w:rPr>
              <w:tab/>
              <w:t>Mettre en place une infrastructure de qualité, f</w:t>
            </w:r>
            <w:r w:rsidR="004B0132">
              <w:rPr>
                <w:b/>
                <w:i/>
                <w:lang w:val="fr-FR"/>
              </w:rPr>
              <w:t>iable, durable et résiliente, y </w:t>
            </w:r>
            <w:r w:rsidRPr="004B0132">
              <w:rPr>
                <w:b/>
                <w:i/>
                <w:lang w:val="fr-FR"/>
              </w:rPr>
              <w:t>compris une infrastructure régionale et transfrontière, pour favoriser le développement économique et le bien-être de l</w:t>
            </w:r>
            <w:r w:rsidR="002E256D" w:rsidRPr="004B0132">
              <w:rPr>
                <w:b/>
                <w:i/>
                <w:lang w:val="fr-FR"/>
              </w:rPr>
              <w:t>’</w:t>
            </w:r>
            <w:r w:rsidRPr="004B0132">
              <w:rPr>
                <w:b/>
                <w:i/>
                <w:lang w:val="fr-FR"/>
              </w:rPr>
              <w:t>être humain, en privilégiant un accès universel, financièrement abordable et équitable</w:t>
            </w:r>
          </w:p>
        </w:tc>
      </w:tr>
      <w:tr w:rsidR="00707FF6" w:rsidRPr="002E256D" w:rsidTr="00E70D0F">
        <w:trPr>
          <w:cantSplit/>
        </w:trPr>
        <w:tc>
          <w:tcPr>
            <w:tcW w:w="7370" w:type="dxa"/>
            <w:shd w:val="clear" w:color="auto" w:fill="auto"/>
          </w:tcPr>
          <w:p w:rsidR="00707FF6" w:rsidRPr="002E256D" w:rsidRDefault="004B0132" w:rsidP="00CD7456">
            <w:pPr>
              <w:spacing w:before="40" w:after="120"/>
              <w:ind w:right="113"/>
            </w:pPr>
            <w:r w:rsidRPr="004B0132">
              <w:rPr>
                <w:i/>
                <w:lang w:val="fr-FR"/>
              </w:rPr>
              <w:t>Indicateur 9.1.1</w:t>
            </w:r>
            <w:r>
              <w:rPr>
                <w:lang w:val="fr-FR"/>
              </w:rPr>
              <w:t> </w:t>
            </w:r>
            <w:r w:rsidR="00070E0D" w:rsidRPr="002E256D">
              <w:rPr>
                <w:lang w:val="fr-FR"/>
              </w:rPr>
              <w:t>: Part de la population rurale vivant à moins de 2 km d</w:t>
            </w:r>
            <w:r w:rsidR="002E256D" w:rsidRPr="002E256D">
              <w:rPr>
                <w:lang w:val="fr-FR"/>
              </w:rPr>
              <w:t>’</w:t>
            </w:r>
            <w:r w:rsidR="00070E0D" w:rsidRPr="002E256D">
              <w:rPr>
                <w:lang w:val="fr-FR"/>
              </w:rPr>
              <w:t>une route praticable toute l</w:t>
            </w:r>
            <w:r w:rsidR="002E256D" w:rsidRPr="002E256D">
              <w:rPr>
                <w:lang w:val="fr-FR"/>
              </w:rPr>
              <w:t>’</w:t>
            </w:r>
            <w:r w:rsidR="00070E0D" w:rsidRPr="002E256D">
              <w:rPr>
                <w:lang w:val="fr-FR"/>
              </w:rPr>
              <w:t>année</w:t>
            </w:r>
          </w:p>
          <w:p w:rsidR="00707FF6" w:rsidRPr="002E256D" w:rsidRDefault="00070E0D" w:rsidP="004150A0">
            <w:pPr>
              <w:spacing w:before="40" w:after="120"/>
              <w:ind w:right="113"/>
              <w:rPr>
                <w:u w:val="single"/>
              </w:rPr>
            </w:pPr>
            <w:r w:rsidRPr="004B0132">
              <w:rPr>
                <w:i/>
                <w:lang w:val="fr-FR"/>
              </w:rPr>
              <w:t>Dépositaire possible</w:t>
            </w:r>
            <w:r w:rsidR="004B0132">
              <w:rPr>
                <w:lang w:val="fr-FR"/>
              </w:rPr>
              <w:t> </w:t>
            </w:r>
            <w:r w:rsidRPr="002E256D">
              <w:rPr>
                <w:lang w:val="fr-FR"/>
              </w:rPr>
              <w:t>: Banque mondiale</w:t>
            </w:r>
          </w:p>
          <w:p w:rsidR="00707FF6" w:rsidRPr="004B0132" w:rsidRDefault="00070E0D" w:rsidP="004150A0">
            <w:pPr>
              <w:spacing w:before="40" w:after="120"/>
              <w:ind w:right="113"/>
              <w:rPr>
                <w:spacing w:val="-1"/>
              </w:rPr>
            </w:pPr>
            <w:r w:rsidRPr="004B0132">
              <w:rPr>
                <w:i/>
                <w:spacing w:val="-1"/>
                <w:lang w:val="fr-FR"/>
              </w:rPr>
              <w:t xml:space="preserve">Autres </w:t>
            </w:r>
            <w:r w:rsidRPr="00CD7456">
              <w:rPr>
                <w:i/>
                <w:lang w:val="fr-FR"/>
              </w:rPr>
              <w:t>organismes</w:t>
            </w:r>
            <w:r w:rsidRPr="004B0132">
              <w:rPr>
                <w:i/>
                <w:spacing w:val="-1"/>
                <w:lang w:val="fr-FR"/>
              </w:rPr>
              <w:t xml:space="preserve"> concernés</w:t>
            </w:r>
            <w:r w:rsidR="004B0132" w:rsidRPr="004B0132">
              <w:rPr>
                <w:spacing w:val="-1"/>
                <w:lang w:val="fr-FR"/>
              </w:rPr>
              <w:t> </w:t>
            </w:r>
            <w:r w:rsidRPr="004B0132">
              <w:rPr>
                <w:spacing w:val="-1"/>
                <w:lang w:val="fr-FR"/>
              </w:rPr>
              <w:t>: Programme des Nations Unies pour l</w:t>
            </w:r>
            <w:r w:rsidR="002E256D" w:rsidRPr="004B0132">
              <w:rPr>
                <w:spacing w:val="-1"/>
                <w:lang w:val="fr-FR"/>
              </w:rPr>
              <w:t>’</w:t>
            </w:r>
            <w:r w:rsidRPr="004B0132">
              <w:rPr>
                <w:spacing w:val="-1"/>
                <w:lang w:val="fr-FR"/>
              </w:rPr>
              <w:t>environnement (PNUE)</w:t>
            </w:r>
            <w:bookmarkStart w:id="3" w:name="hit1"/>
            <w:bookmarkEnd w:id="3"/>
          </w:p>
          <w:p w:rsidR="00707FF6" w:rsidRPr="00987DEF" w:rsidRDefault="00070E0D" w:rsidP="004150A0">
            <w:pPr>
              <w:spacing w:before="40" w:after="120"/>
              <w:ind w:right="113"/>
              <w:rPr>
                <w:i/>
              </w:rPr>
            </w:pPr>
            <w:r w:rsidRPr="00987DEF">
              <w:rPr>
                <w:i/>
                <w:lang w:val="fr-FR"/>
              </w:rPr>
              <w:t>Niveau III</w:t>
            </w:r>
          </w:p>
        </w:tc>
      </w:tr>
      <w:tr w:rsidR="00707FF6" w:rsidRPr="002E256D" w:rsidTr="00E70D0F">
        <w:trPr>
          <w:cantSplit/>
        </w:trPr>
        <w:tc>
          <w:tcPr>
            <w:tcW w:w="7370" w:type="dxa"/>
            <w:shd w:val="clear" w:color="auto" w:fill="auto"/>
          </w:tcPr>
          <w:p w:rsidR="00707FF6" w:rsidRPr="002E256D" w:rsidRDefault="00070E0D" w:rsidP="004150A0">
            <w:pPr>
              <w:spacing w:before="40" w:after="120"/>
              <w:ind w:right="113"/>
            </w:pPr>
            <w:r w:rsidRPr="00D53C1C">
              <w:rPr>
                <w:i/>
                <w:lang w:val="fr-FR"/>
              </w:rPr>
              <w:t>Indicateur 9.1.2</w:t>
            </w:r>
            <w:r w:rsidR="00D53C1C">
              <w:rPr>
                <w:lang w:val="fr-FR"/>
              </w:rPr>
              <w:t> </w:t>
            </w:r>
            <w:r w:rsidRPr="002E256D">
              <w:rPr>
                <w:lang w:val="fr-FR"/>
              </w:rPr>
              <w:t>: Nombre de passagers et volume de fret</w:t>
            </w:r>
          </w:p>
          <w:p w:rsidR="00707FF6" w:rsidRPr="002E256D" w:rsidRDefault="00070E0D" w:rsidP="004150A0">
            <w:pPr>
              <w:spacing w:before="40" w:after="120"/>
              <w:ind w:right="113"/>
            </w:pPr>
            <w:r w:rsidRPr="00D53C1C">
              <w:rPr>
                <w:i/>
                <w:lang w:val="fr-FR"/>
              </w:rPr>
              <w:t>Dépositaire possible</w:t>
            </w:r>
            <w:r w:rsidR="00D53C1C">
              <w:rPr>
                <w:lang w:val="fr-FR"/>
              </w:rPr>
              <w:t> </w:t>
            </w:r>
            <w:r w:rsidRPr="002E256D">
              <w:rPr>
                <w:lang w:val="fr-FR"/>
              </w:rPr>
              <w:t>: Organisation de l</w:t>
            </w:r>
            <w:r w:rsidR="002E256D" w:rsidRPr="002E256D">
              <w:rPr>
                <w:lang w:val="fr-FR"/>
              </w:rPr>
              <w:t>’</w:t>
            </w:r>
            <w:r w:rsidRPr="002E256D">
              <w:rPr>
                <w:lang w:val="fr-FR"/>
              </w:rPr>
              <w:t>aviation civile internationale (OACI)</w:t>
            </w:r>
          </w:p>
          <w:p w:rsidR="00707FF6" w:rsidRPr="002E256D" w:rsidRDefault="00070E0D" w:rsidP="004150A0">
            <w:pPr>
              <w:spacing w:before="40" w:after="120"/>
              <w:rPr>
                <w:u w:val="single"/>
              </w:rPr>
            </w:pPr>
            <w:r w:rsidRPr="00D53C1C">
              <w:rPr>
                <w:i/>
                <w:lang w:val="fr-FR"/>
              </w:rPr>
              <w:t>Autres organismes concernés</w:t>
            </w:r>
            <w:r w:rsidR="00D53C1C">
              <w:rPr>
                <w:lang w:val="fr-FR"/>
              </w:rPr>
              <w:t> </w:t>
            </w:r>
            <w:r w:rsidRPr="002E256D">
              <w:rPr>
                <w:lang w:val="fr-FR"/>
              </w:rPr>
              <w:t>: CEE (ajoutée en novembre 2016, voir le paragraphe</w:t>
            </w:r>
            <w:r w:rsidR="00D53C1C">
              <w:rPr>
                <w:lang w:val="fr-FR"/>
              </w:rPr>
              <w:t> </w:t>
            </w:r>
            <w:r w:rsidR="0000699F">
              <w:rPr>
                <w:lang w:val="fr-FR"/>
              </w:rPr>
              <w:t>9 ci−</w:t>
            </w:r>
            <w:r w:rsidRPr="002E256D">
              <w:rPr>
                <w:lang w:val="fr-FR"/>
              </w:rPr>
              <w:t>après), Union postale universelle (UPU), Banque mondiale</w:t>
            </w:r>
          </w:p>
          <w:p w:rsidR="00707FF6" w:rsidRPr="00987DEF" w:rsidRDefault="00070E0D" w:rsidP="004150A0">
            <w:pPr>
              <w:spacing w:before="40" w:after="120"/>
              <w:ind w:right="113"/>
              <w:rPr>
                <w:i/>
              </w:rPr>
            </w:pPr>
            <w:r w:rsidRPr="00987DEF">
              <w:rPr>
                <w:i/>
                <w:lang w:val="fr-FR"/>
              </w:rPr>
              <w:t>Niveau I</w:t>
            </w:r>
          </w:p>
        </w:tc>
      </w:tr>
      <w:tr w:rsidR="00707FF6" w:rsidRPr="002E256D" w:rsidTr="00E70D0F">
        <w:trPr>
          <w:cantSplit/>
        </w:trPr>
        <w:tc>
          <w:tcPr>
            <w:tcW w:w="7370" w:type="dxa"/>
            <w:shd w:val="clear" w:color="auto" w:fill="auto"/>
          </w:tcPr>
          <w:p w:rsidR="00707FF6" w:rsidRPr="004434F0" w:rsidRDefault="00070E0D" w:rsidP="00CD7456">
            <w:pPr>
              <w:spacing w:before="40" w:after="120"/>
              <w:ind w:right="113"/>
            </w:pPr>
            <w:r w:rsidRPr="004434F0">
              <w:rPr>
                <w:lang w:val="fr-FR"/>
              </w:rPr>
              <w:lastRenderedPageBreak/>
              <w:t>Par l</w:t>
            </w:r>
            <w:r w:rsidR="002E256D" w:rsidRPr="004434F0">
              <w:rPr>
                <w:lang w:val="fr-FR"/>
              </w:rPr>
              <w:t>’</w:t>
            </w:r>
            <w:r w:rsidRPr="004434F0">
              <w:rPr>
                <w:lang w:val="fr-FR"/>
              </w:rPr>
              <w:t xml:space="preserve">intermédiaire du WP.6, le CTI recueille des données statistiques importantes dans le domaine des transports, en particulier sur le nombre de passagers et le volume de fret dans les États membres de la CEE, et les publie notamment via la base de données statistiques en ligne et dans de nombreuses publications statistiques, en particulier celle intitulée </w:t>
            </w:r>
            <w:r w:rsidR="00987DEF" w:rsidRPr="004434F0">
              <w:rPr>
                <w:lang w:val="fr-FR"/>
              </w:rPr>
              <w:t>« </w:t>
            </w:r>
            <w:r w:rsidRPr="004434F0">
              <w:rPr>
                <w:lang w:val="fr-FR"/>
              </w:rPr>
              <w:t xml:space="preserve">Statistiques des accidents de la circulation routière en Europe et en Amérique du Nord </w:t>
            </w:r>
            <w:r w:rsidR="00987DEF" w:rsidRPr="004434F0">
              <w:rPr>
                <w:lang w:val="fr-FR"/>
              </w:rPr>
              <w:t>−</w:t>
            </w:r>
            <w:r w:rsidRPr="004434F0">
              <w:rPr>
                <w:lang w:val="fr-FR"/>
              </w:rPr>
              <w:t xml:space="preserve"> 2015</w:t>
            </w:r>
            <w:r w:rsidR="00987DEF" w:rsidRPr="004434F0">
              <w:rPr>
                <w:lang w:val="fr-FR"/>
              </w:rPr>
              <w:t> »</w:t>
            </w:r>
            <w:r w:rsidRPr="004434F0">
              <w:rPr>
                <w:lang w:val="fr-FR"/>
              </w:rPr>
              <w:t xml:space="preserve"> et les cartes d</w:t>
            </w:r>
            <w:r w:rsidR="002E256D" w:rsidRPr="004434F0">
              <w:rPr>
                <w:lang w:val="fr-FR"/>
              </w:rPr>
              <w:t>’</w:t>
            </w:r>
            <w:r w:rsidRPr="004434F0">
              <w:rPr>
                <w:lang w:val="fr-FR"/>
              </w:rPr>
              <w:t>information (</w:t>
            </w:r>
            <w:r w:rsidR="00987DEF" w:rsidRPr="004434F0">
              <w:rPr>
                <w:lang w:val="fr-FR"/>
              </w:rPr>
              <w:t>« </w:t>
            </w:r>
            <w:r w:rsidRPr="004434F0">
              <w:rPr>
                <w:lang w:val="fr-FR"/>
              </w:rPr>
              <w:t>Infocards</w:t>
            </w:r>
            <w:r w:rsidR="00987DEF" w:rsidRPr="004434F0">
              <w:rPr>
                <w:lang w:val="fr-FR"/>
              </w:rPr>
              <w:t> »</w:t>
            </w:r>
            <w:r w:rsidRPr="004434F0">
              <w:rPr>
                <w:lang w:val="fr-FR"/>
              </w:rPr>
              <w:t>) sur les statistiques des transports (voir ECE/TRANS/2017/23 et document informel correspondant). Les données spécifiquement liées au nombre de passagers et au volume de fret évoquées dans cet indicateur sont mesurées et recueillies par la CEE depuis des décennies. En outre, ces données sont déjà en la possession du CTI et aucune recherche n</w:t>
            </w:r>
            <w:r w:rsidR="002E256D" w:rsidRPr="004434F0">
              <w:rPr>
                <w:lang w:val="fr-FR"/>
              </w:rPr>
              <w:t>’</w:t>
            </w:r>
            <w:r w:rsidRPr="004434F0">
              <w:rPr>
                <w:lang w:val="fr-FR"/>
              </w:rPr>
              <w:t>est nécessaire.</w:t>
            </w:r>
          </w:p>
          <w:p w:rsidR="00707FF6" w:rsidRPr="0071550D" w:rsidRDefault="00070E0D" w:rsidP="0000699F">
            <w:pPr>
              <w:keepNext/>
              <w:keepLines/>
              <w:spacing w:before="40" w:after="120"/>
              <w:ind w:right="-1"/>
              <w:rPr>
                <w:spacing w:val="-2"/>
              </w:rPr>
            </w:pPr>
            <w:r w:rsidRPr="0071550D">
              <w:rPr>
                <w:spacing w:val="-2"/>
                <w:lang w:val="fr-FR"/>
              </w:rPr>
              <w:t>Le Comité des transports intérieurs a également formulé, en s</w:t>
            </w:r>
            <w:r w:rsidR="002E256D" w:rsidRPr="0071550D">
              <w:rPr>
                <w:spacing w:val="-2"/>
                <w:lang w:val="fr-FR"/>
              </w:rPr>
              <w:t>’</w:t>
            </w:r>
            <w:r w:rsidRPr="0071550D">
              <w:rPr>
                <w:spacing w:val="-2"/>
                <w:lang w:val="fr-FR"/>
              </w:rPr>
              <w:t xml:space="preserve">appuyant sur les travaux menés, </w:t>
            </w:r>
            <w:r w:rsidRPr="0071550D">
              <w:rPr>
                <w:lang w:val="fr-FR"/>
              </w:rPr>
              <w:t>dans le domaine de l</w:t>
            </w:r>
            <w:r w:rsidR="002E256D" w:rsidRPr="0071550D">
              <w:rPr>
                <w:lang w:val="fr-FR"/>
              </w:rPr>
              <w:t>’</w:t>
            </w:r>
            <w:r w:rsidRPr="0071550D">
              <w:rPr>
                <w:lang w:val="fr-FR"/>
              </w:rPr>
              <w:t>adaptation aux changements climatiques, par son Groupe de travail</w:t>
            </w:r>
            <w:r w:rsidRPr="0071550D">
              <w:rPr>
                <w:spacing w:val="-2"/>
                <w:lang w:val="fr-FR"/>
              </w:rPr>
              <w:t xml:space="preserve"> chargé d</w:t>
            </w:r>
            <w:r w:rsidR="002E256D" w:rsidRPr="0071550D">
              <w:rPr>
                <w:spacing w:val="-2"/>
                <w:lang w:val="fr-FR"/>
              </w:rPr>
              <w:t>’</w:t>
            </w:r>
            <w:r w:rsidRPr="0071550D">
              <w:rPr>
                <w:spacing w:val="-2"/>
                <w:lang w:val="fr-FR"/>
              </w:rPr>
              <w:t>examiner les tendances et l</w:t>
            </w:r>
            <w:r w:rsidR="002E256D" w:rsidRPr="0071550D">
              <w:rPr>
                <w:spacing w:val="-2"/>
                <w:lang w:val="fr-FR"/>
              </w:rPr>
              <w:t>’</w:t>
            </w:r>
            <w:r w:rsidRPr="0071550D">
              <w:rPr>
                <w:spacing w:val="-2"/>
                <w:lang w:val="fr-FR"/>
              </w:rPr>
              <w:t xml:space="preserve">économie des transports (WP.5), des recommandations </w:t>
            </w:r>
            <w:r w:rsidRPr="0071550D">
              <w:rPr>
                <w:lang w:val="fr-FR"/>
              </w:rPr>
              <w:t>pratiques en vue de l</w:t>
            </w:r>
            <w:r w:rsidR="002E256D" w:rsidRPr="0071550D">
              <w:rPr>
                <w:lang w:val="fr-FR"/>
              </w:rPr>
              <w:t>’</w:t>
            </w:r>
            <w:r w:rsidRPr="0071550D">
              <w:rPr>
                <w:lang w:val="fr-FR"/>
              </w:rPr>
              <w:t>amélioration de la viabilité à long terme des systèmes de transport</w:t>
            </w:r>
            <w:r w:rsidRPr="0071550D">
              <w:rPr>
                <w:spacing w:val="-2"/>
                <w:lang w:val="fr-FR"/>
              </w:rPr>
              <w:t xml:space="preserve"> </w:t>
            </w:r>
            <w:r w:rsidRPr="0071550D">
              <w:rPr>
                <w:lang w:val="fr-FR"/>
              </w:rPr>
              <w:t>internationaux, et recensé les meilleurs exemples de mesures prises au niveau national pour remédier à la vulnérabilité des réseaux de transport dans les États membres, notamment les</w:t>
            </w:r>
            <w:r w:rsidRPr="0071550D">
              <w:rPr>
                <w:spacing w:val="-2"/>
                <w:lang w:val="fr-FR"/>
              </w:rPr>
              <w:t xml:space="preserve"> </w:t>
            </w:r>
            <w:r w:rsidRPr="0071550D">
              <w:rPr>
                <w:lang w:val="fr-FR"/>
              </w:rPr>
              <w:t>pays en développement et sans littoral, ainsi que les petits États insulaires.</w:t>
            </w:r>
          </w:p>
        </w:tc>
      </w:tr>
      <w:tr w:rsidR="00707FF6" w:rsidRPr="002E256D" w:rsidTr="00426F6C">
        <w:trPr>
          <w:cantSplit/>
        </w:trPr>
        <w:tc>
          <w:tcPr>
            <w:tcW w:w="7370" w:type="dxa"/>
            <w:tcBorders>
              <w:bottom w:val="single" w:sz="12" w:space="0" w:color="auto"/>
            </w:tcBorders>
            <w:shd w:val="clear" w:color="auto" w:fill="auto"/>
          </w:tcPr>
          <w:p w:rsidR="00707FF6" w:rsidRPr="002E256D" w:rsidRDefault="004F5677" w:rsidP="004434F0">
            <w:pPr>
              <w:spacing w:before="40" w:after="120"/>
              <w:ind w:right="113"/>
            </w:pPr>
          </w:p>
        </w:tc>
      </w:tr>
      <w:tr w:rsidR="00707FF6" w:rsidRPr="00987DEF" w:rsidTr="00426F6C">
        <w:trPr>
          <w:cantSplit/>
        </w:trPr>
        <w:tc>
          <w:tcPr>
            <w:tcW w:w="7370" w:type="dxa"/>
            <w:tcBorders>
              <w:top w:val="single" w:sz="12" w:space="0" w:color="auto"/>
              <w:bottom w:val="single" w:sz="4" w:space="0" w:color="auto"/>
            </w:tcBorders>
            <w:shd w:val="clear" w:color="auto" w:fill="auto"/>
          </w:tcPr>
          <w:p w:rsidR="00707FF6" w:rsidRPr="00987DEF" w:rsidRDefault="00070E0D" w:rsidP="00987DEF">
            <w:pPr>
              <w:spacing w:before="40" w:after="120"/>
              <w:ind w:left="1134" w:right="113" w:hanging="1134"/>
              <w:rPr>
                <w:b/>
              </w:rPr>
            </w:pPr>
            <w:r w:rsidRPr="00987DEF">
              <w:rPr>
                <w:b/>
                <w:lang w:val="fr-FR"/>
              </w:rPr>
              <w:t>Objectif 11.</w:t>
            </w:r>
            <w:r w:rsidRPr="00987DEF">
              <w:rPr>
                <w:b/>
                <w:lang w:val="fr-FR"/>
              </w:rPr>
              <w:tab/>
              <w:t>Faire en sorte que les villes et les établissements humains soient ouverts à tous, sûrs, résilients et durables</w:t>
            </w:r>
          </w:p>
        </w:tc>
      </w:tr>
      <w:tr w:rsidR="00707FF6" w:rsidRPr="00987DEF" w:rsidTr="00426F6C">
        <w:trPr>
          <w:cantSplit/>
        </w:trPr>
        <w:tc>
          <w:tcPr>
            <w:tcW w:w="7370" w:type="dxa"/>
            <w:tcBorders>
              <w:top w:val="single" w:sz="4" w:space="0" w:color="auto"/>
            </w:tcBorders>
            <w:shd w:val="clear" w:color="auto" w:fill="auto"/>
          </w:tcPr>
          <w:p w:rsidR="00707FF6" w:rsidRPr="00987DEF" w:rsidRDefault="00070E0D" w:rsidP="002E256D">
            <w:pPr>
              <w:spacing w:before="40" w:after="120"/>
              <w:ind w:right="113"/>
              <w:rPr>
                <w:b/>
                <w:i/>
              </w:rPr>
            </w:pPr>
            <w:r w:rsidRPr="00987DEF">
              <w:rPr>
                <w:b/>
                <w:i/>
                <w:lang w:val="fr-FR"/>
              </w:rPr>
              <w:t>11.2</w:t>
            </w:r>
            <w:r w:rsidRPr="00987DEF">
              <w:rPr>
                <w:b/>
                <w:i/>
                <w:lang w:val="fr-FR"/>
              </w:rPr>
              <w:tab/>
              <w:t>D</w:t>
            </w:r>
            <w:r w:rsidR="002E256D" w:rsidRPr="00987DEF">
              <w:rPr>
                <w:b/>
                <w:i/>
                <w:lang w:val="fr-FR"/>
              </w:rPr>
              <w:t>’</w:t>
            </w:r>
            <w:r w:rsidRPr="00987DEF">
              <w:rPr>
                <w:b/>
                <w:i/>
                <w:lang w:val="fr-FR"/>
              </w:rPr>
              <w:t>ici à 2030, assurer l</w:t>
            </w:r>
            <w:r w:rsidR="002E256D" w:rsidRPr="00987DEF">
              <w:rPr>
                <w:b/>
                <w:i/>
                <w:lang w:val="fr-FR"/>
              </w:rPr>
              <w:t>’</w:t>
            </w:r>
            <w:r w:rsidRPr="00987DEF">
              <w:rPr>
                <w:b/>
                <w:i/>
                <w:lang w:val="fr-FR"/>
              </w:rPr>
              <w:t>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tc>
      </w:tr>
      <w:tr w:rsidR="00707FF6" w:rsidRPr="002E256D" w:rsidTr="00E70D0F">
        <w:trPr>
          <w:cantSplit/>
        </w:trPr>
        <w:tc>
          <w:tcPr>
            <w:tcW w:w="7370" w:type="dxa"/>
            <w:shd w:val="clear" w:color="auto" w:fill="auto"/>
          </w:tcPr>
          <w:p w:rsidR="00707FF6" w:rsidRPr="002E256D" w:rsidRDefault="00070E0D" w:rsidP="002E256D">
            <w:pPr>
              <w:spacing w:before="40" w:after="120"/>
              <w:ind w:right="113"/>
            </w:pPr>
            <w:r w:rsidRPr="00987DEF">
              <w:rPr>
                <w:i/>
                <w:lang w:val="fr-FR"/>
              </w:rPr>
              <w:t>Indicateur 11.2.1</w:t>
            </w:r>
            <w:r w:rsidR="00987DEF">
              <w:rPr>
                <w:lang w:val="fr-FR"/>
              </w:rPr>
              <w:t> </w:t>
            </w:r>
            <w:r w:rsidRPr="002E256D">
              <w:rPr>
                <w:lang w:val="fr-FR"/>
              </w:rPr>
              <w:t>: Proportion de la population ayant aisément accès aux transports publics, par groupe d</w:t>
            </w:r>
            <w:r w:rsidR="002E256D" w:rsidRPr="002E256D">
              <w:rPr>
                <w:lang w:val="fr-FR"/>
              </w:rPr>
              <w:t>’</w:t>
            </w:r>
            <w:r w:rsidRPr="002E256D">
              <w:rPr>
                <w:lang w:val="fr-FR"/>
              </w:rPr>
              <w:t>âge, sexe et type de handicap</w:t>
            </w:r>
          </w:p>
          <w:p w:rsidR="00707FF6" w:rsidRPr="002E256D" w:rsidRDefault="00070E0D" w:rsidP="002E256D">
            <w:pPr>
              <w:spacing w:before="40" w:after="120"/>
              <w:ind w:right="113"/>
              <w:rPr>
                <w:u w:val="single"/>
              </w:rPr>
            </w:pPr>
            <w:r w:rsidRPr="00987DEF">
              <w:rPr>
                <w:i/>
                <w:lang w:val="fr-FR"/>
              </w:rPr>
              <w:t>Dépositaire possible</w:t>
            </w:r>
            <w:r w:rsidR="00987DEF">
              <w:rPr>
                <w:lang w:val="fr-FR"/>
              </w:rPr>
              <w:t> </w:t>
            </w:r>
            <w:r w:rsidRPr="002E256D">
              <w:rPr>
                <w:lang w:val="fr-FR"/>
              </w:rPr>
              <w:t>: Organisation des Nations Unies pour les établissements humains (ONU-HABITAT)</w:t>
            </w:r>
            <w:bookmarkStart w:id="4" w:name="hit_last"/>
            <w:bookmarkEnd w:id="4"/>
          </w:p>
          <w:p w:rsidR="00707FF6" w:rsidRDefault="00070E0D" w:rsidP="004434F0">
            <w:pPr>
              <w:spacing w:before="40" w:after="120"/>
              <w:ind w:right="113"/>
              <w:rPr>
                <w:lang w:val="fr-FR"/>
              </w:rPr>
            </w:pPr>
            <w:r w:rsidRPr="00987DEF">
              <w:rPr>
                <w:i/>
                <w:lang w:val="fr-FR"/>
              </w:rPr>
              <w:t>Autres organismes concernés</w:t>
            </w:r>
            <w:r w:rsidR="00987DEF">
              <w:rPr>
                <w:lang w:val="fr-FR"/>
              </w:rPr>
              <w:t> </w:t>
            </w:r>
            <w:r w:rsidRPr="002E256D">
              <w:rPr>
                <w:lang w:val="fr-FR"/>
              </w:rPr>
              <w:t>: PNUE</w:t>
            </w:r>
          </w:p>
          <w:p w:rsidR="00F05850" w:rsidRPr="002E256D" w:rsidRDefault="00F05850" w:rsidP="004434F0">
            <w:pPr>
              <w:spacing w:before="40" w:after="120"/>
              <w:ind w:right="113"/>
            </w:pPr>
            <w:r w:rsidRPr="00987DEF">
              <w:rPr>
                <w:i/>
                <w:lang w:val="fr-FR"/>
              </w:rPr>
              <w:t>Niveau II</w:t>
            </w:r>
          </w:p>
        </w:tc>
      </w:tr>
      <w:tr w:rsidR="00707FF6" w:rsidRPr="002E256D" w:rsidTr="00E70D0F">
        <w:trPr>
          <w:cantSplit/>
        </w:trPr>
        <w:tc>
          <w:tcPr>
            <w:tcW w:w="7370" w:type="dxa"/>
            <w:tcBorders>
              <w:bottom w:val="single" w:sz="12" w:space="0" w:color="auto"/>
            </w:tcBorders>
            <w:shd w:val="clear" w:color="auto" w:fill="auto"/>
          </w:tcPr>
          <w:p w:rsidR="00707FF6" w:rsidRPr="002E256D" w:rsidRDefault="00070E0D" w:rsidP="002E256D">
            <w:pPr>
              <w:spacing w:before="40" w:after="120"/>
              <w:ind w:right="113"/>
            </w:pPr>
            <w:r w:rsidRPr="002E256D">
              <w:rPr>
                <w:lang w:val="fr-FR"/>
              </w:rPr>
              <w:t>Le Comité des transports intérieurs fournit des exemples de pratiques et de politiques optimales pour la mise au point de systèmes de transports urbains durables, c</w:t>
            </w:r>
            <w:r w:rsidR="002E256D" w:rsidRPr="002E256D">
              <w:rPr>
                <w:lang w:val="fr-FR"/>
              </w:rPr>
              <w:t>’</w:t>
            </w:r>
            <w:r w:rsidRPr="002E256D">
              <w:rPr>
                <w:lang w:val="fr-FR"/>
              </w:rPr>
              <w:t>est-à-dire efficaces, interconnectés, financièrement abordables, sûrs et respectueux de l</w:t>
            </w:r>
            <w:r w:rsidR="002E256D" w:rsidRPr="002E256D">
              <w:rPr>
                <w:lang w:val="fr-FR"/>
              </w:rPr>
              <w:t>’</w:t>
            </w:r>
            <w:r w:rsidRPr="002E256D">
              <w:rPr>
                <w:lang w:val="fr-FR"/>
              </w:rPr>
              <w:t>environnement, offrant à tous une mobilité et une accessibilité améliorées dans les environnements urbains à forte densité.</w:t>
            </w:r>
          </w:p>
          <w:p w:rsidR="00707FF6" w:rsidRPr="002E256D" w:rsidRDefault="00070E0D" w:rsidP="002E256D">
            <w:pPr>
              <w:spacing w:before="40" w:after="120"/>
              <w:ind w:right="113"/>
            </w:pPr>
            <w:r w:rsidRPr="002E256D">
              <w:rPr>
                <w:lang w:val="fr-FR"/>
              </w:rPr>
              <w:t>Les informations statistiques recueillies par le WP.6, comme indiqué à propos des objectifs précédents, pourraient contribuer au suivi de cet indicateur.</w:t>
            </w:r>
          </w:p>
        </w:tc>
      </w:tr>
    </w:tbl>
    <w:p w:rsidR="00707FF6" w:rsidRPr="00D50E69" w:rsidRDefault="00070E0D" w:rsidP="00987DEF">
      <w:pPr>
        <w:pStyle w:val="ParNoG"/>
        <w:tabs>
          <w:tab w:val="clear" w:pos="1701"/>
        </w:tabs>
        <w:spacing w:before="120"/>
      </w:pPr>
      <w:r w:rsidRPr="00D50E69">
        <w:rPr>
          <w:lang w:val="fr-FR"/>
        </w:rPr>
        <w:t>Les activités de suivi et de contrôle des progrès accomplis en vue d</w:t>
      </w:r>
      <w:r w:rsidR="002E256D">
        <w:rPr>
          <w:lang w:val="fr-FR"/>
        </w:rPr>
        <w:t>’</w:t>
      </w:r>
      <w:r w:rsidRPr="00D50E69">
        <w:rPr>
          <w:lang w:val="fr-FR"/>
        </w:rPr>
        <w:t>atteindre les objectifs de développement durable sont coordonnées par le Département des affaires économiques et sociales de l</w:t>
      </w:r>
      <w:r w:rsidR="002E256D">
        <w:rPr>
          <w:lang w:val="fr-FR"/>
        </w:rPr>
        <w:t>’</w:t>
      </w:r>
      <w:r w:rsidRPr="00D50E69">
        <w:rPr>
          <w:lang w:val="fr-FR"/>
        </w:rPr>
        <w:t>ONU, agissant en qualité de secrétariat du Groupe d</w:t>
      </w:r>
      <w:r w:rsidR="002E256D">
        <w:rPr>
          <w:lang w:val="fr-FR"/>
        </w:rPr>
        <w:t>’</w:t>
      </w:r>
      <w:r w:rsidRPr="00D50E69">
        <w:rPr>
          <w:lang w:val="fr-FR"/>
        </w:rPr>
        <w:t>experts des Nations</w:t>
      </w:r>
      <w:r w:rsidR="00DC0861">
        <w:rPr>
          <w:lang w:val="fr-FR"/>
        </w:rPr>
        <w:t> </w:t>
      </w:r>
      <w:r w:rsidRPr="00D50E69">
        <w:rPr>
          <w:lang w:val="fr-FR"/>
        </w:rPr>
        <w:t>Unies et de l</w:t>
      </w:r>
      <w:r w:rsidR="002E256D">
        <w:rPr>
          <w:lang w:val="fr-FR"/>
        </w:rPr>
        <w:t>’</w:t>
      </w:r>
      <w:r w:rsidRPr="00D50E69">
        <w:rPr>
          <w:lang w:val="fr-FR"/>
        </w:rPr>
        <w:t>extérieur chargé des indicateurs relatifs aux objectifs de développement durable. Il existe également un certain nombre d</w:t>
      </w:r>
      <w:r w:rsidR="002E256D">
        <w:rPr>
          <w:lang w:val="fr-FR"/>
        </w:rPr>
        <w:t>’</w:t>
      </w:r>
      <w:r w:rsidRPr="00D50E69">
        <w:rPr>
          <w:lang w:val="fr-FR"/>
        </w:rPr>
        <w:t>initiatives qui sont menées parallèlement à ce Groupe d</w:t>
      </w:r>
      <w:r w:rsidR="002E256D">
        <w:rPr>
          <w:lang w:val="fr-FR"/>
        </w:rPr>
        <w:t>’</w:t>
      </w:r>
      <w:r w:rsidRPr="00D50E69">
        <w:rPr>
          <w:lang w:val="fr-FR"/>
        </w:rPr>
        <w:t>experts, notamment un projet lancé par l</w:t>
      </w:r>
      <w:r w:rsidR="002E256D">
        <w:rPr>
          <w:lang w:val="fr-FR"/>
        </w:rPr>
        <w:t>’</w:t>
      </w:r>
      <w:r w:rsidRPr="00D50E69">
        <w:rPr>
          <w:lang w:val="fr-FR"/>
        </w:rPr>
        <w:t>Organisation mondiale de la Santé sur le suivi des indicateurs relatifs à la sécurité routière, et un autre mené par la Banque mondiale par l</w:t>
      </w:r>
      <w:r w:rsidR="002E256D">
        <w:rPr>
          <w:lang w:val="fr-FR"/>
        </w:rPr>
        <w:t>’</w:t>
      </w:r>
      <w:r w:rsidRPr="00D50E69">
        <w:rPr>
          <w:lang w:val="fr-FR"/>
        </w:rPr>
        <w:t>intermédiaire de son Cadre de suivi mondial.</w:t>
      </w:r>
    </w:p>
    <w:p w:rsidR="00707FF6" w:rsidRPr="00D50E69" w:rsidRDefault="00070E0D" w:rsidP="004434F0">
      <w:pPr>
        <w:pStyle w:val="ParNoG"/>
        <w:tabs>
          <w:tab w:val="clear" w:pos="1701"/>
        </w:tabs>
      </w:pPr>
      <w:r w:rsidRPr="00D50E69">
        <w:rPr>
          <w:lang w:val="fr-FR"/>
        </w:rPr>
        <w:lastRenderedPageBreak/>
        <w:t xml:space="preserve">Sur le plan statistique, la CEE continue de participer activement, dans le cadre de son sous-programme </w:t>
      </w:r>
      <w:r w:rsidR="00DC0861">
        <w:rPr>
          <w:lang w:val="fr-FR"/>
        </w:rPr>
        <w:t>« </w:t>
      </w:r>
      <w:r w:rsidRPr="00D50E69">
        <w:rPr>
          <w:lang w:val="fr-FR"/>
        </w:rPr>
        <w:t>Statistiques</w:t>
      </w:r>
      <w:r w:rsidR="00DC0861">
        <w:rPr>
          <w:lang w:val="fr-FR"/>
        </w:rPr>
        <w:t> »</w:t>
      </w:r>
      <w:r w:rsidRPr="00D50E69">
        <w:rPr>
          <w:lang w:val="fr-FR"/>
        </w:rPr>
        <w:t>, à l</w:t>
      </w:r>
      <w:r w:rsidR="002E256D">
        <w:rPr>
          <w:lang w:val="fr-FR"/>
        </w:rPr>
        <w:t>’</w:t>
      </w:r>
      <w:r w:rsidRPr="00D50E69">
        <w:rPr>
          <w:lang w:val="fr-FR"/>
        </w:rPr>
        <w:t>élaboration du dispositif de suivi statistique des objectifs de développement durable, en sa qualité de membre du Groupe d</w:t>
      </w:r>
      <w:r w:rsidR="002E256D">
        <w:rPr>
          <w:lang w:val="fr-FR"/>
        </w:rPr>
        <w:t>’</w:t>
      </w:r>
      <w:r w:rsidRPr="00D50E69">
        <w:rPr>
          <w:lang w:val="fr-FR"/>
        </w:rPr>
        <w:t>experts des Nations</w:t>
      </w:r>
      <w:r w:rsidR="00DC0861">
        <w:rPr>
          <w:lang w:val="fr-FR"/>
        </w:rPr>
        <w:t> </w:t>
      </w:r>
      <w:r w:rsidRPr="00D50E69">
        <w:rPr>
          <w:lang w:val="fr-FR"/>
        </w:rPr>
        <w:t>Unies et de l</w:t>
      </w:r>
      <w:r w:rsidR="002E256D">
        <w:rPr>
          <w:lang w:val="fr-FR"/>
        </w:rPr>
        <w:t>’</w:t>
      </w:r>
      <w:r w:rsidRPr="00D50E69">
        <w:rPr>
          <w:lang w:val="fr-FR"/>
        </w:rPr>
        <w:t>extérieur chargé des indicateurs relatifs aux objectifs de développement durable et du Groupe des Amis de la présidence sur les indicateurs de progrès autres que le produit intérieur brut de la Commission de statistique de l</w:t>
      </w:r>
      <w:r w:rsidR="002E256D">
        <w:rPr>
          <w:lang w:val="fr-FR"/>
        </w:rPr>
        <w:t>’</w:t>
      </w:r>
      <w:r w:rsidR="00DC0861">
        <w:rPr>
          <w:lang w:val="fr-FR"/>
        </w:rPr>
        <w:t>ONU.</w:t>
      </w:r>
    </w:p>
    <w:p w:rsidR="00707FF6" w:rsidRPr="00D50E69" w:rsidRDefault="00070E0D" w:rsidP="00B34729">
      <w:pPr>
        <w:pStyle w:val="ParNoG"/>
        <w:tabs>
          <w:tab w:val="clear" w:pos="1701"/>
        </w:tabs>
      </w:pPr>
      <w:r w:rsidRPr="00D50E69">
        <w:rPr>
          <w:lang w:val="fr-FR"/>
        </w:rPr>
        <w:t>En outre, le WP.6, organe intergouvernemental relevant du Comité des transports intérieurs, s</w:t>
      </w:r>
      <w:r w:rsidR="002E256D">
        <w:rPr>
          <w:lang w:val="fr-FR"/>
        </w:rPr>
        <w:t>’</w:t>
      </w:r>
      <w:r w:rsidRPr="00D50E69">
        <w:rPr>
          <w:lang w:val="fr-FR"/>
        </w:rPr>
        <w:t>emploie à mettre au point un ensemble de méthodes et de termes en vue de l</w:t>
      </w:r>
      <w:r w:rsidR="002E256D">
        <w:rPr>
          <w:lang w:val="fr-FR"/>
        </w:rPr>
        <w:t>’</w:t>
      </w:r>
      <w:r w:rsidRPr="00D50E69">
        <w:rPr>
          <w:lang w:val="fr-FR"/>
        </w:rPr>
        <w:t>harmonisation des statistiques sur les transports et à collecter auprès des États membres des données sur les transports, notamment sur la sécurité routière, et à diffuser ces données. À cet égard, en 2015, les statistiques de la CEE sur les transports et sur la sécurité routière ont été publiées en ligne dans les trois langues de la CEE, et des cartes d</w:t>
      </w:r>
      <w:r w:rsidR="002E256D">
        <w:rPr>
          <w:lang w:val="fr-FR"/>
        </w:rPr>
        <w:t>’</w:t>
      </w:r>
      <w:r w:rsidRPr="00D50E69">
        <w:rPr>
          <w:lang w:val="fr-FR"/>
        </w:rPr>
        <w:t>information nationales (</w:t>
      </w:r>
      <w:r w:rsidR="00DC0861">
        <w:rPr>
          <w:lang w:val="fr-FR"/>
        </w:rPr>
        <w:t>« </w:t>
      </w:r>
      <w:r w:rsidRPr="00D50E69">
        <w:rPr>
          <w:lang w:val="fr-FR"/>
        </w:rPr>
        <w:t>Infocards</w:t>
      </w:r>
      <w:r w:rsidR="00DC0861">
        <w:rPr>
          <w:lang w:val="fr-FR"/>
        </w:rPr>
        <w:t> »</w:t>
      </w:r>
      <w:r w:rsidRPr="00D50E69">
        <w:rPr>
          <w:lang w:val="fr-FR"/>
        </w:rPr>
        <w:t>) sont présentées dans le document ECE/TRANS/2017/23. Le</w:t>
      </w:r>
      <w:r w:rsidR="006C38CA">
        <w:rPr>
          <w:lang w:val="fr-FR"/>
        </w:rPr>
        <w:t> </w:t>
      </w:r>
      <w:r w:rsidR="00B71B07">
        <w:rPr>
          <w:lang w:val="fr-FR"/>
        </w:rPr>
        <w:t>s</w:t>
      </w:r>
      <w:r w:rsidRPr="00D50E69">
        <w:rPr>
          <w:lang w:val="fr-FR"/>
        </w:rPr>
        <w:t>ecrétariat a également recensé les activités du CTI en faveur de la réalisation des objectifs de développement durable et établi un document sur les relations entre les Conventions des Nations Unies relatives aux transports et les objectifs de développement durable (www.unece.org/fileadmin/DAM/trans/conventn/UN_Transport_Agreements_and_</w:t>
      </w:r>
      <w:r w:rsidR="00F05850">
        <w:rPr>
          <w:lang w:val="fr-FR"/>
        </w:rPr>
        <w:br/>
      </w:r>
      <w:r w:rsidRPr="00D50E69">
        <w:rPr>
          <w:lang w:val="fr-FR"/>
        </w:rPr>
        <w:t>Conventions.pdf).</w:t>
      </w:r>
    </w:p>
    <w:p w:rsidR="00707FF6" w:rsidRPr="00D50E69" w:rsidRDefault="00070E0D" w:rsidP="00C95E8C">
      <w:pPr>
        <w:pStyle w:val="HChG"/>
        <w:spacing w:before="340" w:line="280" w:lineRule="exact"/>
      </w:pPr>
      <w:r w:rsidRPr="00D50E69">
        <w:rPr>
          <w:lang w:val="fr-FR"/>
        </w:rPr>
        <w:tab/>
        <w:t>II.</w:t>
      </w:r>
      <w:r w:rsidRPr="00D50E69">
        <w:rPr>
          <w:lang w:val="fr-FR"/>
        </w:rPr>
        <w:tab/>
        <w:t xml:space="preserve">Suivi des objectifs de développement durable </w:t>
      </w:r>
      <w:r w:rsidR="00DC0861">
        <w:rPr>
          <w:lang w:val="fr-FR"/>
        </w:rPr>
        <w:br/>
      </w:r>
      <w:r w:rsidRPr="00D50E69">
        <w:rPr>
          <w:lang w:val="fr-FR"/>
        </w:rPr>
        <w:t xml:space="preserve">et rôle du CTI et de ses organes </w:t>
      </w:r>
      <w:r w:rsidRPr="00C95E8C">
        <w:t>subsidiaires</w:t>
      </w:r>
      <w:r w:rsidRPr="00D50E69">
        <w:rPr>
          <w:lang w:val="fr-FR"/>
        </w:rPr>
        <w:t xml:space="preserve"> </w:t>
      </w:r>
    </w:p>
    <w:p w:rsidR="00707FF6" w:rsidRPr="006C38CA" w:rsidRDefault="00070E0D" w:rsidP="00B34729">
      <w:pPr>
        <w:pStyle w:val="ParNoG"/>
        <w:tabs>
          <w:tab w:val="clear" w:pos="1701"/>
        </w:tabs>
        <w:rPr>
          <w:spacing w:val="-2"/>
        </w:rPr>
      </w:pPr>
      <w:r w:rsidRPr="006C38CA">
        <w:rPr>
          <w:spacing w:val="-2"/>
          <w:lang w:val="fr-FR"/>
        </w:rPr>
        <w:t>Les tableaux ci-dessus montrent que le CTI a un rôle potentiel à jouer dans le suivi des objectifs de développement durable. À la quatrième réunion du Groupe d</w:t>
      </w:r>
      <w:r w:rsidR="002E256D" w:rsidRPr="006C38CA">
        <w:rPr>
          <w:spacing w:val="-2"/>
          <w:lang w:val="fr-FR"/>
        </w:rPr>
        <w:t>’</w:t>
      </w:r>
      <w:r w:rsidRPr="006C38CA">
        <w:rPr>
          <w:spacing w:val="-2"/>
          <w:lang w:val="fr-FR"/>
        </w:rPr>
        <w:t>experts des Nations</w:t>
      </w:r>
      <w:r w:rsidR="00DC0861" w:rsidRPr="006C38CA">
        <w:rPr>
          <w:spacing w:val="-2"/>
          <w:lang w:val="fr-FR"/>
        </w:rPr>
        <w:t> </w:t>
      </w:r>
      <w:r w:rsidRPr="006C38CA">
        <w:rPr>
          <w:spacing w:val="-2"/>
          <w:lang w:val="fr-FR"/>
        </w:rPr>
        <w:t>Unies et de l</w:t>
      </w:r>
      <w:r w:rsidR="002E256D" w:rsidRPr="006C38CA">
        <w:rPr>
          <w:spacing w:val="-2"/>
          <w:lang w:val="fr-FR"/>
        </w:rPr>
        <w:t>’</w:t>
      </w:r>
      <w:r w:rsidRPr="006C38CA">
        <w:rPr>
          <w:spacing w:val="-2"/>
          <w:lang w:val="fr-FR"/>
        </w:rPr>
        <w:t>extérieur chargé des indicateurs relatifs aux objectifs de développement durable (17 et 18</w:t>
      </w:r>
      <w:r w:rsidR="00DC0861" w:rsidRPr="006C38CA">
        <w:rPr>
          <w:spacing w:val="-2"/>
          <w:lang w:val="fr-FR"/>
        </w:rPr>
        <w:t> </w:t>
      </w:r>
      <w:r w:rsidRPr="006C38CA">
        <w:rPr>
          <w:spacing w:val="-2"/>
          <w:lang w:val="fr-FR"/>
        </w:rPr>
        <w:t>novembre 2016, Genève) le secrétariat du WP.6 a pu obtenir que la CEE joue un rôle en ce qui concerne l</w:t>
      </w:r>
      <w:r w:rsidR="002E256D" w:rsidRPr="006C38CA">
        <w:rPr>
          <w:spacing w:val="-2"/>
          <w:lang w:val="fr-FR"/>
        </w:rPr>
        <w:t>’</w:t>
      </w:r>
      <w:r w:rsidRPr="006C38CA">
        <w:rPr>
          <w:spacing w:val="-2"/>
          <w:lang w:val="fr-FR"/>
        </w:rPr>
        <w:t>indicateur</w:t>
      </w:r>
      <w:r w:rsidR="00DC0861" w:rsidRPr="006C38CA">
        <w:rPr>
          <w:spacing w:val="-2"/>
          <w:lang w:val="fr-FR"/>
        </w:rPr>
        <w:t> </w:t>
      </w:r>
      <w:r w:rsidRPr="006C38CA">
        <w:rPr>
          <w:spacing w:val="-2"/>
          <w:lang w:val="fr-FR"/>
        </w:rPr>
        <w:t>9.1.2 de l</w:t>
      </w:r>
      <w:r w:rsidR="002E256D" w:rsidRPr="006C38CA">
        <w:rPr>
          <w:spacing w:val="-2"/>
          <w:lang w:val="fr-FR"/>
        </w:rPr>
        <w:t>’</w:t>
      </w:r>
      <w:r w:rsidRPr="006C38CA">
        <w:rPr>
          <w:spacing w:val="-2"/>
          <w:lang w:val="fr-FR"/>
        </w:rPr>
        <w:t>objectif</w:t>
      </w:r>
      <w:r w:rsidR="00DC0861" w:rsidRPr="006C38CA">
        <w:rPr>
          <w:spacing w:val="-2"/>
          <w:lang w:val="fr-FR"/>
        </w:rPr>
        <w:t> </w:t>
      </w:r>
      <w:r w:rsidRPr="006C38CA">
        <w:rPr>
          <w:spacing w:val="-2"/>
          <w:lang w:val="fr-FR"/>
        </w:rPr>
        <w:t xml:space="preserve">9, eu égard aux données </w:t>
      </w:r>
      <w:r w:rsidRPr="006C38CA">
        <w:rPr>
          <w:lang w:val="fr-FR"/>
        </w:rPr>
        <w:t>abondantes et à l</w:t>
      </w:r>
      <w:r w:rsidR="002E256D" w:rsidRPr="006C38CA">
        <w:rPr>
          <w:lang w:val="fr-FR"/>
        </w:rPr>
        <w:t>’</w:t>
      </w:r>
      <w:r w:rsidRPr="006C38CA">
        <w:rPr>
          <w:lang w:val="fr-FR"/>
        </w:rPr>
        <w:t xml:space="preserve">expérience méthodologique dont </w:t>
      </w:r>
      <w:r w:rsidR="00DC0861" w:rsidRPr="006C38CA">
        <w:rPr>
          <w:lang w:val="fr-FR"/>
        </w:rPr>
        <w:t>nous disposons dans ce domaine.</w:t>
      </w:r>
    </w:p>
    <w:p w:rsidR="00707FF6" w:rsidRPr="00D50E69" w:rsidRDefault="00070E0D" w:rsidP="00B34729">
      <w:pPr>
        <w:pStyle w:val="ParNoG"/>
        <w:tabs>
          <w:tab w:val="clear" w:pos="1701"/>
        </w:tabs>
      </w:pPr>
      <w:r w:rsidRPr="00D50E69">
        <w:rPr>
          <w:lang w:val="fr-FR"/>
        </w:rPr>
        <w:t>Le secrétariat contribue également à l</w:t>
      </w:r>
      <w:r w:rsidR="002E256D">
        <w:rPr>
          <w:lang w:val="fr-FR"/>
        </w:rPr>
        <w:t>’</w:t>
      </w:r>
      <w:r w:rsidRPr="00D50E69">
        <w:rPr>
          <w:lang w:val="fr-FR"/>
        </w:rPr>
        <w:t>élaboration des initiatives de l</w:t>
      </w:r>
      <w:r w:rsidR="002E256D">
        <w:rPr>
          <w:lang w:val="fr-FR"/>
        </w:rPr>
        <w:t>’</w:t>
      </w:r>
      <w:r w:rsidRPr="00D50E69">
        <w:rPr>
          <w:lang w:val="fr-FR"/>
        </w:rPr>
        <w:t>OMS et de la</w:t>
      </w:r>
      <w:r w:rsidR="00DC0861">
        <w:rPr>
          <w:lang w:val="fr-FR"/>
        </w:rPr>
        <w:t> </w:t>
      </w:r>
      <w:r w:rsidRPr="00D50E69">
        <w:rPr>
          <w:lang w:val="fr-FR"/>
        </w:rPr>
        <w:t>Banque mondiale. Ce travail s</w:t>
      </w:r>
      <w:r w:rsidR="002E256D">
        <w:rPr>
          <w:lang w:val="fr-FR"/>
        </w:rPr>
        <w:t>’</w:t>
      </w:r>
      <w:r w:rsidRPr="00D50E69">
        <w:rPr>
          <w:lang w:val="fr-FR"/>
        </w:rPr>
        <w:t>accompagne de discussions avec d</w:t>
      </w:r>
      <w:r w:rsidR="002E256D">
        <w:rPr>
          <w:lang w:val="fr-FR"/>
        </w:rPr>
        <w:t>’</w:t>
      </w:r>
      <w:r w:rsidRPr="00D50E69">
        <w:rPr>
          <w:lang w:val="fr-FR"/>
        </w:rPr>
        <w:t>autres entités chargées de coordonner la mise au point des indicateurs pour les objectifs 3 et 11, en vue d</w:t>
      </w:r>
      <w:r w:rsidR="002E256D">
        <w:rPr>
          <w:lang w:val="fr-FR"/>
        </w:rPr>
        <w:t>’</w:t>
      </w:r>
      <w:r w:rsidRPr="00D50E69">
        <w:rPr>
          <w:lang w:val="fr-FR"/>
        </w:rPr>
        <w:t>établir un partenariat étroit.</w:t>
      </w:r>
    </w:p>
    <w:p w:rsidR="00707FF6" w:rsidRPr="00D50E69" w:rsidRDefault="00070E0D" w:rsidP="00B34729">
      <w:pPr>
        <w:pStyle w:val="ParNoG"/>
        <w:tabs>
          <w:tab w:val="clear" w:pos="1701"/>
        </w:tabs>
      </w:pPr>
      <w:r w:rsidRPr="00D50E69">
        <w:rPr>
          <w:lang w:val="fr-FR"/>
        </w:rPr>
        <w:t>À l</w:t>
      </w:r>
      <w:r w:rsidR="002E256D">
        <w:rPr>
          <w:lang w:val="fr-FR"/>
        </w:rPr>
        <w:t>’</w:t>
      </w:r>
      <w:r w:rsidRPr="00D50E69">
        <w:rPr>
          <w:lang w:val="fr-FR"/>
        </w:rPr>
        <w:t>évidence, il serait préférable que ces activités soient coordonnées au niveau du</w:t>
      </w:r>
      <w:r w:rsidR="00DC0861">
        <w:rPr>
          <w:lang w:val="fr-FR"/>
        </w:rPr>
        <w:t> </w:t>
      </w:r>
      <w:r w:rsidRPr="00D50E69">
        <w:rPr>
          <w:lang w:val="fr-FR"/>
        </w:rPr>
        <w:t>CTI par le Groupe de travail des statistiques des transports, lequel a surveillé le suivi des objectifs de développement durable jusqu</w:t>
      </w:r>
      <w:r w:rsidR="002E256D">
        <w:rPr>
          <w:lang w:val="fr-FR"/>
        </w:rPr>
        <w:t>’</w:t>
      </w:r>
      <w:r w:rsidRPr="00D50E69">
        <w:rPr>
          <w:lang w:val="fr-FR"/>
        </w:rPr>
        <w:t>à ce jour et dont le secrétariat a participé aux discussions mentionnées ci-dessus. Le WP.6 a déjà consacré un point de l</w:t>
      </w:r>
      <w:r w:rsidR="002E256D">
        <w:rPr>
          <w:lang w:val="fr-FR"/>
        </w:rPr>
        <w:t>’</w:t>
      </w:r>
      <w:r w:rsidRPr="00D50E69">
        <w:rPr>
          <w:lang w:val="fr-FR"/>
        </w:rPr>
        <w:t>ordre du jour de sa session annuelle aux objectifs de développement durable. Si le WP.6 participe davantage à toutes les activités pertinentes relatives aux objectifs de développement durable, il est possible</w:t>
      </w:r>
      <w:r w:rsidR="00B71B07">
        <w:rPr>
          <w:lang w:val="fr-FR"/>
        </w:rPr>
        <w:t xml:space="preserve"> que</w:t>
      </w:r>
      <w:r w:rsidRPr="00D50E69">
        <w:rPr>
          <w:lang w:val="fr-FR"/>
        </w:rPr>
        <w:t xml:space="preserve"> celui-ci doive prévoir des ressources supplémentaires ou adapter certaines de ses activités actuelles. Compte tenu de l</w:t>
      </w:r>
      <w:r w:rsidR="002E256D">
        <w:rPr>
          <w:lang w:val="fr-FR"/>
        </w:rPr>
        <w:t>’</w:t>
      </w:r>
      <w:r w:rsidRPr="00D50E69">
        <w:rPr>
          <w:lang w:val="fr-FR"/>
        </w:rPr>
        <w:t xml:space="preserve">importance du programme de développement durable, le Comité souhaitera peut-être </w:t>
      </w:r>
      <w:r w:rsidRPr="00B71B07">
        <w:rPr>
          <w:b/>
          <w:lang w:val="fr-FR"/>
        </w:rPr>
        <w:t>demander</w:t>
      </w:r>
      <w:r w:rsidRPr="00D50E69">
        <w:rPr>
          <w:lang w:val="fr-FR"/>
        </w:rPr>
        <w:t xml:space="preserve"> au WP.6 de renforcer ses travaux et sa participation aux activités liées à la réalisation des objectifs de développement durable.</w:t>
      </w:r>
    </w:p>
    <w:p w:rsidR="00A90C5D" w:rsidRDefault="00070E0D" w:rsidP="00CD7456">
      <w:pPr>
        <w:pStyle w:val="ParNoG"/>
        <w:rPr>
          <w:lang w:val="fr-FR"/>
        </w:rPr>
      </w:pPr>
      <w:r w:rsidRPr="00D50E69">
        <w:rPr>
          <w:lang w:val="fr-FR"/>
        </w:rPr>
        <w:t xml:space="preserve">Sur la base des informations contenues dans le présent document et des informations fournies par le secrétariat à sa soixante-huitième session (ECE/TRANS/2016/6), le CTI souhaitera peut-être </w:t>
      </w:r>
      <w:r w:rsidRPr="00B71B07">
        <w:rPr>
          <w:b/>
          <w:lang w:val="fr-FR"/>
        </w:rPr>
        <w:t>encourager</w:t>
      </w:r>
      <w:r w:rsidRPr="00D50E69">
        <w:rPr>
          <w:lang w:val="fr-FR"/>
        </w:rPr>
        <w:t xml:space="preserve"> les États membres à s</w:t>
      </w:r>
      <w:r w:rsidR="002E256D">
        <w:rPr>
          <w:lang w:val="fr-FR"/>
        </w:rPr>
        <w:t>’</w:t>
      </w:r>
      <w:r w:rsidRPr="00D50E69">
        <w:rPr>
          <w:lang w:val="fr-FR"/>
        </w:rPr>
        <w:t>adresser à leurs organes de coordination chargés des objectifs de développement durable en vue d</w:t>
      </w:r>
      <w:r w:rsidR="002E256D">
        <w:rPr>
          <w:lang w:val="fr-FR"/>
        </w:rPr>
        <w:t>’</w:t>
      </w:r>
      <w:r w:rsidRPr="00D50E69">
        <w:rPr>
          <w:lang w:val="fr-FR"/>
        </w:rPr>
        <w:t>assurer un rôle important au CTI, à ses organes subsidiaires et à son secrétariat dans le suivi des objectifs de développement durable, en tant que dépositaire possible ou autre organisme concerné, pour un ou plusieurs des indicateurs mentionnés ci-</w:t>
      </w:r>
      <w:r w:rsidRPr="00CD7456">
        <w:t>dessus</w:t>
      </w:r>
      <w:r w:rsidRPr="00D50E69">
        <w:rPr>
          <w:lang w:val="fr-FR"/>
        </w:rPr>
        <w:t>.</w:t>
      </w:r>
    </w:p>
    <w:p w:rsidR="00D50E69" w:rsidRPr="00D50E69" w:rsidRDefault="00D50E69" w:rsidP="00CD7456">
      <w:pPr>
        <w:pStyle w:val="SingleTxtG"/>
        <w:spacing w:before="200" w:after="0" w:line="220" w:lineRule="atLeast"/>
        <w:jc w:val="center"/>
        <w:rPr>
          <w:u w:val="single"/>
          <w:lang w:val="fr-FR"/>
        </w:rPr>
      </w:pPr>
      <w:r>
        <w:rPr>
          <w:u w:val="single"/>
          <w:lang w:val="fr-FR"/>
        </w:rPr>
        <w:tab/>
      </w:r>
      <w:r>
        <w:rPr>
          <w:u w:val="single"/>
          <w:lang w:val="fr-FR"/>
        </w:rPr>
        <w:tab/>
      </w:r>
      <w:r>
        <w:rPr>
          <w:u w:val="single"/>
          <w:lang w:val="fr-FR"/>
        </w:rPr>
        <w:tab/>
      </w:r>
    </w:p>
    <w:sectPr w:rsidR="00D50E69" w:rsidRPr="00D50E69" w:rsidSect="003D46F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E0" w:rsidRDefault="004348E0" w:rsidP="00F95C08">
      <w:pPr>
        <w:spacing w:line="240" w:lineRule="auto"/>
      </w:pPr>
    </w:p>
  </w:endnote>
  <w:endnote w:type="continuationSeparator" w:id="0">
    <w:p w:rsidR="004348E0" w:rsidRPr="00AC3823" w:rsidRDefault="004348E0" w:rsidP="00AC3823">
      <w:pPr>
        <w:pStyle w:val="Pieddepage"/>
      </w:pPr>
    </w:p>
  </w:endnote>
  <w:endnote w:type="continuationNotice" w:id="1">
    <w:p w:rsidR="004348E0" w:rsidRDefault="004348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F5" w:rsidRPr="003D46F5" w:rsidRDefault="003D46F5" w:rsidP="003D46F5">
    <w:pPr>
      <w:pStyle w:val="Pieddepage"/>
      <w:tabs>
        <w:tab w:val="right" w:pos="9638"/>
      </w:tabs>
    </w:pPr>
    <w:r w:rsidRPr="003D46F5">
      <w:rPr>
        <w:b/>
        <w:sz w:val="18"/>
      </w:rPr>
      <w:fldChar w:fldCharType="begin"/>
    </w:r>
    <w:r w:rsidRPr="003D46F5">
      <w:rPr>
        <w:b/>
        <w:sz w:val="18"/>
      </w:rPr>
      <w:instrText xml:space="preserve"> PAGE  \* MERGEFORMAT </w:instrText>
    </w:r>
    <w:r w:rsidRPr="003D46F5">
      <w:rPr>
        <w:b/>
        <w:sz w:val="18"/>
      </w:rPr>
      <w:fldChar w:fldCharType="separate"/>
    </w:r>
    <w:r w:rsidR="006007B4">
      <w:rPr>
        <w:b/>
        <w:noProof/>
        <w:sz w:val="18"/>
      </w:rPr>
      <w:t>2</w:t>
    </w:r>
    <w:r w:rsidRPr="003D46F5">
      <w:rPr>
        <w:b/>
        <w:sz w:val="18"/>
      </w:rPr>
      <w:fldChar w:fldCharType="end"/>
    </w:r>
    <w:r>
      <w:rPr>
        <w:b/>
        <w:sz w:val="18"/>
      </w:rPr>
      <w:tab/>
    </w:r>
    <w:r>
      <w:t>GE.16-21903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F5" w:rsidRPr="003D46F5" w:rsidRDefault="003D46F5" w:rsidP="003D46F5">
    <w:pPr>
      <w:pStyle w:val="Pieddepage"/>
      <w:tabs>
        <w:tab w:val="right" w:pos="9638"/>
      </w:tabs>
      <w:rPr>
        <w:b/>
        <w:sz w:val="18"/>
      </w:rPr>
    </w:pPr>
    <w:r>
      <w:t>GE.16-21903</w:t>
    </w:r>
    <w:r>
      <w:tab/>
    </w:r>
    <w:r w:rsidRPr="003D46F5">
      <w:rPr>
        <w:b/>
        <w:sz w:val="18"/>
      </w:rPr>
      <w:fldChar w:fldCharType="begin"/>
    </w:r>
    <w:r w:rsidRPr="003D46F5">
      <w:rPr>
        <w:b/>
        <w:sz w:val="18"/>
      </w:rPr>
      <w:instrText xml:space="preserve"> PAGE  \* MERGEFORMAT </w:instrText>
    </w:r>
    <w:r w:rsidRPr="003D46F5">
      <w:rPr>
        <w:b/>
        <w:sz w:val="18"/>
      </w:rPr>
      <w:fldChar w:fldCharType="separate"/>
    </w:r>
    <w:r w:rsidR="006007B4">
      <w:rPr>
        <w:b/>
        <w:noProof/>
        <w:sz w:val="18"/>
      </w:rPr>
      <w:t>3</w:t>
    </w:r>
    <w:r w:rsidRPr="003D46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D46F5" w:rsidRDefault="003D46F5" w:rsidP="003D46F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F501C85" wp14:editId="1F6315E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16-21903  (F)    211216    221216</w:t>
    </w:r>
    <w:r>
      <w:rPr>
        <w:sz w:val="20"/>
      </w:rPr>
      <w:br/>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sidRPr="003D46F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E0" w:rsidRPr="00AC3823" w:rsidRDefault="004348E0" w:rsidP="00AC3823">
      <w:pPr>
        <w:pStyle w:val="Pieddepage"/>
        <w:tabs>
          <w:tab w:val="right" w:pos="2155"/>
        </w:tabs>
        <w:spacing w:after="80" w:line="240" w:lineRule="atLeast"/>
        <w:ind w:left="680"/>
        <w:rPr>
          <w:u w:val="single"/>
        </w:rPr>
      </w:pPr>
      <w:r>
        <w:rPr>
          <w:u w:val="single"/>
        </w:rPr>
        <w:tab/>
      </w:r>
    </w:p>
  </w:footnote>
  <w:footnote w:type="continuationSeparator" w:id="0">
    <w:p w:rsidR="004348E0" w:rsidRPr="00AC3823" w:rsidRDefault="004348E0" w:rsidP="00AC3823">
      <w:pPr>
        <w:pStyle w:val="Pieddepage"/>
        <w:tabs>
          <w:tab w:val="right" w:pos="2155"/>
        </w:tabs>
        <w:spacing w:after="80" w:line="240" w:lineRule="atLeast"/>
        <w:ind w:left="680"/>
        <w:rPr>
          <w:u w:val="single"/>
        </w:rPr>
      </w:pPr>
      <w:r>
        <w:rPr>
          <w:u w:val="single"/>
        </w:rPr>
        <w:tab/>
      </w:r>
    </w:p>
  </w:footnote>
  <w:footnote w:type="continuationNotice" w:id="1">
    <w:p w:rsidR="004348E0" w:rsidRPr="00AC3823" w:rsidRDefault="004348E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F5" w:rsidRPr="003D46F5" w:rsidRDefault="003D46F5">
    <w:pPr>
      <w:pStyle w:val="En-tte"/>
    </w:pPr>
    <w:r>
      <w:t>ECE/TRANS/2017/6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F5" w:rsidRPr="003D46F5" w:rsidRDefault="003D46F5" w:rsidP="003D46F5">
    <w:pPr>
      <w:pStyle w:val="En-tte"/>
      <w:jc w:val="right"/>
    </w:pPr>
    <w:r>
      <w:t>ECE/TRANS/2017/6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E0"/>
    <w:rsid w:val="0000699F"/>
    <w:rsid w:val="00017F94"/>
    <w:rsid w:val="00023842"/>
    <w:rsid w:val="000334F9"/>
    <w:rsid w:val="00070E0D"/>
    <w:rsid w:val="0007796D"/>
    <w:rsid w:val="000B7790"/>
    <w:rsid w:val="00111F2F"/>
    <w:rsid w:val="0014365E"/>
    <w:rsid w:val="00143C66"/>
    <w:rsid w:val="00176178"/>
    <w:rsid w:val="001F525A"/>
    <w:rsid w:val="00223272"/>
    <w:rsid w:val="00227F29"/>
    <w:rsid w:val="0024779E"/>
    <w:rsid w:val="00257168"/>
    <w:rsid w:val="002744B8"/>
    <w:rsid w:val="002832AC"/>
    <w:rsid w:val="002D7C93"/>
    <w:rsid w:val="002E256D"/>
    <w:rsid w:val="00305801"/>
    <w:rsid w:val="003916DE"/>
    <w:rsid w:val="003D46F5"/>
    <w:rsid w:val="004150A0"/>
    <w:rsid w:val="00426F6C"/>
    <w:rsid w:val="004348E0"/>
    <w:rsid w:val="00441C3B"/>
    <w:rsid w:val="004434F0"/>
    <w:rsid w:val="00446FE5"/>
    <w:rsid w:val="00452396"/>
    <w:rsid w:val="004837D8"/>
    <w:rsid w:val="004B0132"/>
    <w:rsid w:val="004E468C"/>
    <w:rsid w:val="005069F0"/>
    <w:rsid w:val="005505B7"/>
    <w:rsid w:val="00573BE5"/>
    <w:rsid w:val="00586ED3"/>
    <w:rsid w:val="00596AA9"/>
    <w:rsid w:val="005C45C2"/>
    <w:rsid w:val="006007B4"/>
    <w:rsid w:val="006C38CA"/>
    <w:rsid w:val="0071550D"/>
    <w:rsid w:val="0071601D"/>
    <w:rsid w:val="007A62E6"/>
    <w:rsid w:val="007F20FA"/>
    <w:rsid w:val="0080684C"/>
    <w:rsid w:val="00862F94"/>
    <w:rsid w:val="00871C75"/>
    <w:rsid w:val="008776DC"/>
    <w:rsid w:val="009705C8"/>
    <w:rsid w:val="00987DEF"/>
    <w:rsid w:val="009A5355"/>
    <w:rsid w:val="009C1CF4"/>
    <w:rsid w:val="009F6B74"/>
    <w:rsid w:val="00A30353"/>
    <w:rsid w:val="00A90C5D"/>
    <w:rsid w:val="00AC3823"/>
    <w:rsid w:val="00AE1B06"/>
    <w:rsid w:val="00AE323C"/>
    <w:rsid w:val="00AF0CB5"/>
    <w:rsid w:val="00B00181"/>
    <w:rsid w:val="00B00B0D"/>
    <w:rsid w:val="00B233C3"/>
    <w:rsid w:val="00B34729"/>
    <w:rsid w:val="00B439AF"/>
    <w:rsid w:val="00B71B07"/>
    <w:rsid w:val="00B765F7"/>
    <w:rsid w:val="00B87252"/>
    <w:rsid w:val="00B90DF0"/>
    <w:rsid w:val="00BA0CA9"/>
    <w:rsid w:val="00C02897"/>
    <w:rsid w:val="00C95E8C"/>
    <w:rsid w:val="00CD7456"/>
    <w:rsid w:val="00D3439C"/>
    <w:rsid w:val="00D50E69"/>
    <w:rsid w:val="00D53C1C"/>
    <w:rsid w:val="00DB1831"/>
    <w:rsid w:val="00DC0861"/>
    <w:rsid w:val="00DD3BFD"/>
    <w:rsid w:val="00DF6678"/>
    <w:rsid w:val="00E30777"/>
    <w:rsid w:val="00E47714"/>
    <w:rsid w:val="00E70D0F"/>
    <w:rsid w:val="00E85C74"/>
    <w:rsid w:val="00EA6547"/>
    <w:rsid w:val="00EF2E22"/>
    <w:rsid w:val="00F0585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50E6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50E6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2225</Words>
  <Characters>12243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ECE/TRANS/2017/6</vt:lpstr>
    </vt:vector>
  </TitlesOfParts>
  <Company>DCM</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ECE/TRANS/2017/6</dc:title>
  <dc:subject>final</dc:subject>
  <dc:creator>Deschamps</dc:creator>
  <cp:keywords/>
  <dc:description/>
  <cp:lastModifiedBy>DESCHAMPS</cp:lastModifiedBy>
  <cp:revision>2</cp:revision>
  <cp:lastPrinted>2014-05-14T10:59:00Z</cp:lastPrinted>
  <dcterms:created xsi:type="dcterms:W3CDTF">2016-12-22T11:16:00Z</dcterms:created>
  <dcterms:modified xsi:type="dcterms:W3CDTF">2016-12-22T11:16:00Z</dcterms:modified>
</cp:coreProperties>
</file>