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7A6541" w:rsidP="00306CAE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 w:rsidR="00306CAE">
              <w:rPr>
                <w:b/>
                <w:sz w:val="40"/>
                <w:szCs w:val="40"/>
              </w:rPr>
              <w:t>28</w:t>
            </w:r>
          </w:p>
        </w:tc>
      </w:tr>
      <w:tr w:rsidR="007A6541" w:rsidTr="00E17570">
        <w:trPr>
          <w:cantSplit/>
          <w:trHeight w:hRule="exact" w:val="3271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7A6541" w:rsidP="00E12574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>or Europe</w:t>
            </w:r>
          </w:p>
          <w:p w:rsidR="007A6541" w:rsidRPr="007A6541" w:rsidRDefault="007A6541" w:rsidP="00E12574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7A6541" w:rsidRPr="007A6541" w:rsidRDefault="007A6541" w:rsidP="00E12574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>Working Party on the Transport of Dangerous Goods</w:t>
            </w:r>
          </w:p>
          <w:p w:rsidR="007A6541" w:rsidRPr="007A6541" w:rsidRDefault="007A6541" w:rsidP="007A6541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7A6541" w:rsidRPr="007A6541" w:rsidRDefault="007A6541" w:rsidP="007A6541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7A6541" w:rsidRPr="007A6541" w:rsidRDefault="007A6541" w:rsidP="007A6541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7A6541" w:rsidRPr="007A6541" w:rsidRDefault="00E109D9" w:rsidP="007A654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Thirtieth</w:t>
            </w:r>
            <w:r w:rsidR="007A6541" w:rsidRPr="007A6541">
              <w:rPr>
                <w:b/>
                <w:lang w:val="en-US"/>
              </w:rPr>
              <w:t xml:space="preserve"> session</w:t>
            </w:r>
          </w:p>
          <w:p w:rsidR="007A6541" w:rsidRPr="007A6541" w:rsidRDefault="007A6541" w:rsidP="007A6541">
            <w:r w:rsidRPr="007A6541">
              <w:rPr>
                <w:lang w:val="en-US"/>
              </w:rPr>
              <w:t>Geneva, 2</w:t>
            </w:r>
            <w:r w:rsidR="00E109D9">
              <w:rPr>
                <w:lang w:val="en-US"/>
              </w:rPr>
              <w:t>3</w:t>
            </w:r>
            <w:r w:rsidR="0080216C">
              <w:rPr>
                <w:lang w:val="en-US"/>
              </w:rPr>
              <w:t>-</w:t>
            </w:r>
            <w:r w:rsidR="00E109D9">
              <w:rPr>
                <w:lang w:val="en-US"/>
              </w:rPr>
              <w:t>27</w:t>
            </w:r>
            <w:r w:rsidRPr="007A6541">
              <w:rPr>
                <w:lang w:val="en-US"/>
              </w:rPr>
              <w:t xml:space="preserve"> </w:t>
            </w:r>
            <w:r w:rsidR="0013311E">
              <w:rPr>
                <w:lang w:val="en-US"/>
              </w:rPr>
              <w:t>January 201</w:t>
            </w:r>
            <w:r w:rsidR="00444034">
              <w:rPr>
                <w:lang w:val="en-US"/>
              </w:rPr>
              <w:t>7</w:t>
            </w:r>
          </w:p>
          <w:p w:rsidR="007A6541" w:rsidRPr="007A6541" w:rsidRDefault="007A6541" w:rsidP="00E12574">
            <w:r w:rsidRPr="007A6541">
              <w:t xml:space="preserve">Agenda item </w:t>
            </w:r>
            <w:r w:rsidR="00E17570">
              <w:t>6</w:t>
            </w:r>
          </w:p>
          <w:p w:rsidR="007A6541" w:rsidRPr="007A6541" w:rsidRDefault="00E17570" w:rsidP="007849F7">
            <w:pPr>
              <w:rPr>
                <w:b/>
              </w:rPr>
            </w:pPr>
            <w:r>
              <w:rPr>
                <w:b/>
              </w:rPr>
              <w:t>Report of informal working groups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7A6541" w:rsidRPr="0013311E" w:rsidRDefault="00E17570" w:rsidP="009C4596">
            <w:pPr>
              <w:spacing w:before="120"/>
            </w:pPr>
            <w:r>
              <w:t>25</w:t>
            </w:r>
            <w:r w:rsidR="0013311E" w:rsidRPr="0013311E">
              <w:t xml:space="preserve"> January</w:t>
            </w:r>
            <w:r w:rsidR="007A6541" w:rsidRPr="0013311E">
              <w:t xml:space="preserve"> 201</w:t>
            </w:r>
            <w:r w:rsidR="00E109D9">
              <w:t>7</w:t>
            </w:r>
          </w:p>
        </w:tc>
      </w:tr>
    </w:tbl>
    <w:p w:rsidR="009821D4" w:rsidRPr="00306CAE" w:rsidRDefault="009821D4" w:rsidP="00306CAE">
      <w:pPr>
        <w:pStyle w:val="HChG"/>
      </w:pPr>
      <w:r w:rsidRPr="0099292F">
        <w:rPr>
          <w:lang w:val="de-DE"/>
        </w:rPr>
        <w:tab/>
      </w:r>
      <w:r w:rsidRPr="0099292F">
        <w:rPr>
          <w:lang w:val="de-DE"/>
        </w:rPr>
        <w:tab/>
      </w:r>
      <w:r w:rsidR="00E17570">
        <w:t>LNG</w:t>
      </w:r>
    </w:p>
    <w:p w:rsidR="00E923BA" w:rsidRDefault="009821D4" w:rsidP="00306CAE">
      <w:pPr>
        <w:pStyle w:val="H1G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="00E17570">
        <w:rPr>
          <w:lang w:val="en-US" w:bidi="en-GB"/>
        </w:rPr>
        <w:t xml:space="preserve">Transmitted by </w:t>
      </w:r>
      <w:r w:rsidR="00DA3362">
        <w:rPr>
          <w:lang w:val="en-US" w:bidi="en-GB"/>
        </w:rPr>
        <w:t>the Netherlands</w:t>
      </w:r>
      <w:r w:rsidR="00DA3362">
        <w:rPr>
          <w:lang w:val="en-US" w:bidi="en-GB"/>
        </w:rPr>
        <w:t xml:space="preserve"> and </w:t>
      </w:r>
      <w:r w:rsidR="00E17570">
        <w:rPr>
          <w:lang w:val="en-US" w:bidi="en-GB"/>
        </w:rPr>
        <w:t>Switzerland</w:t>
      </w:r>
      <w:bookmarkStart w:id="0" w:name="_GoBack"/>
      <w:bookmarkEnd w:id="0"/>
    </w:p>
    <w:p w:rsidR="00405A66" w:rsidRPr="00405A66" w:rsidRDefault="00405A66" w:rsidP="00634DC6">
      <w:pPr>
        <w:spacing w:line="276" w:lineRule="auto"/>
        <w:ind w:left="1134" w:right="1133"/>
        <w:jc w:val="both"/>
      </w:pPr>
      <w:r>
        <w:t xml:space="preserve">In comparison with the amendments proposed in ECE/TRANS/WP15/AC.2/2017/17 two changes are proposed in this informal document. The first change is that the amendments refer now to Chapter 30 and Annex 8, </w:t>
      </w:r>
      <w:r w:rsidRPr="00405A66">
        <w:rPr>
          <w:b/>
          <w:i/>
        </w:rPr>
        <w:t>Section 1</w:t>
      </w:r>
      <w:r>
        <w:t xml:space="preserve"> of ES-TRIN. The second change is the footnote which will be placed under all the below mentioned articles. The UNECE secretariat will draft a text, which refers to the relevant version of ES-TRIN in all the working languages.</w:t>
      </w:r>
    </w:p>
    <w:p w:rsidR="00405A66" w:rsidRDefault="00405A66" w:rsidP="00634DC6">
      <w:pPr>
        <w:ind w:left="426" w:firstLine="708"/>
        <w:jc w:val="both"/>
        <w:rPr>
          <w:b/>
          <w:sz w:val="28"/>
          <w:szCs w:val="28"/>
        </w:rPr>
      </w:pPr>
    </w:p>
    <w:p w:rsidR="00CE6E35" w:rsidRPr="00882939" w:rsidRDefault="00E17570" w:rsidP="00634DC6">
      <w:pPr>
        <w:ind w:left="426" w:firstLine="708"/>
        <w:jc w:val="both"/>
        <w:rPr>
          <w:b/>
          <w:sz w:val="24"/>
          <w:szCs w:val="24"/>
        </w:rPr>
      </w:pPr>
      <w:r w:rsidRPr="00882939">
        <w:rPr>
          <w:b/>
          <w:sz w:val="24"/>
          <w:szCs w:val="24"/>
        </w:rPr>
        <w:t>Revised amendments</w:t>
      </w:r>
    </w:p>
    <w:p w:rsidR="00E923BA" w:rsidRPr="00E923BA" w:rsidRDefault="00E923BA" w:rsidP="00634DC6">
      <w:pPr>
        <w:ind w:left="426" w:firstLine="708"/>
        <w:jc w:val="both"/>
        <w:rPr>
          <w:b/>
          <w:sz w:val="28"/>
          <w:szCs w:val="28"/>
          <w:lang w:val="en-US" w:bidi="en-GB"/>
        </w:rPr>
      </w:pPr>
    </w:p>
    <w:p w:rsidR="00E17570" w:rsidRPr="00B95C20" w:rsidRDefault="00E17570" w:rsidP="00634DC6">
      <w:pPr>
        <w:spacing w:after="120" w:line="276" w:lineRule="auto"/>
        <w:ind w:left="1134" w:right="1134"/>
        <w:jc w:val="both"/>
        <w:rPr>
          <w:i/>
        </w:rPr>
      </w:pPr>
      <w:r w:rsidRPr="00B95C20">
        <w:rPr>
          <w:i/>
        </w:rPr>
        <w:t>7.1.3.31</w:t>
      </w:r>
    </w:p>
    <w:p w:rsidR="00E17570" w:rsidRDefault="00E17570" w:rsidP="00634DC6">
      <w:pPr>
        <w:spacing w:after="120" w:line="276" w:lineRule="auto"/>
        <w:ind w:left="1134" w:right="1134"/>
        <w:jc w:val="both"/>
        <w:rPr>
          <w:b/>
          <w:u w:val="single"/>
        </w:rPr>
      </w:pPr>
      <w:r>
        <w:t xml:space="preserve">The use of engines running on fuels having a flashpoint </w:t>
      </w:r>
      <w:r w:rsidRPr="006F0C71">
        <w:rPr>
          <w:strike/>
        </w:rPr>
        <w:t>below</w:t>
      </w:r>
      <w:r>
        <w:t xml:space="preserve"> </w:t>
      </w:r>
      <w:r w:rsidRPr="006F0C71">
        <w:rPr>
          <w:b/>
          <w:u w:val="single"/>
        </w:rPr>
        <w:t>equal to or lower than</w:t>
      </w:r>
      <w:r>
        <w:t xml:space="preserve"> 55 ºC (e.g. petrol engines) is prohibited. This </w:t>
      </w:r>
      <w:r w:rsidRPr="006F0C71">
        <w:rPr>
          <w:strike/>
        </w:rPr>
        <w:t>requirement</w:t>
      </w:r>
      <w:r>
        <w:t xml:space="preserve"> </w:t>
      </w:r>
      <w:r w:rsidRPr="006F0C71">
        <w:rPr>
          <w:b/>
          <w:u w:val="single"/>
        </w:rPr>
        <w:t>provision</w:t>
      </w:r>
      <w:r>
        <w:t xml:space="preserve"> does not apply to</w:t>
      </w:r>
      <w:r w:rsidRPr="006F0C71">
        <w:rPr>
          <w:b/>
          <w:u w:val="single"/>
        </w:rPr>
        <w:t>:</w:t>
      </w:r>
    </w:p>
    <w:p w:rsidR="00E17570" w:rsidRDefault="00E17570" w:rsidP="00634DC6">
      <w:pPr>
        <w:spacing w:after="120" w:line="276" w:lineRule="auto"/>
        <w:ind w:left="1134" w:right="1134"/>
        <w:jc w:val="both"/>
        <w:rPr>
          <w:b/>
          <w:u w:val="single"/>
        </w:rPr>
      </w:pPr>
      <w:r>
        <w:t>- the petrol-operated outboard motors of lifeboats</w:t>
      </w:r>
      <w:r>
        <w:rPr>
          <w:b/>
          <w:u w:val="single"/>
        </w:rPr>
        <w:t>;</w:t>
      </w:r>
    </w:p>
    <w:p w:rsidR="00E17570" w:rsidRDefault="00E17570" w:rsidP="00634DC6">
      <w:pPr>
        <w:spacing w:after="120" w:line="276" w:lineRule="auto"/>
        <w:ind w:left="1134" w:right="1134"/>
        <w:jc w:val="both"/>
      </w:pPr>
      <w:r>
        <w:t xml:space="preserve">- </w:t>
      </w:r>
      <w:r w:rsidRPr="006F0C71">
        <w:rPr>
          <w:b/>
          <w:u w:val="single"/>
        </w:rPr>
        <w:t xml:space="preserve">the propulsion and auxiliary systems which </w:t>
      </w:r>
      <w:r>
        <w:rPr>
          <w:b/>
          <w:u w:val="single"/>
        </w:rPr>
        <w:t>meet the requirements</w:t>
      </w:r>
      <w:r w:rsidRPr="006F0C71">
        <w:rPr>
          <w:b/>
          <w:u w:val="single"/>
        </w:rPr>
        <w:t xml:space="preserve"> </w:t>
      </w:r>
      <w:r>
        <w:rPr>
          <w:b/>
          <w:u w:val="single"/>
        </w:rPr>
        <w:t>of</w:t>
      </w:r>
      <w:r w:rsidRPr="006F0C71">
        <w:rPr>
          <w:b/>
          <w:u w:val="single"/>
        </w:rPr>
        <w:t xml:space="preserve"> Chapter 30 and Annex 8</w:t>
      </w:r>
      <w:r>
        <w:rPr>
          <w:b/>
          <w:u w:val="single"/>
        </w:rPr>
        <w:t>, Section 1</w:t>
      </w:r>
      <w:r w:rsidRPr="006F0C71">
        <w:rPr>
          <w:b/>
          <w:u w:val="single"/>
        </w:rPr>
        <w:t xml:space="preserve"> of the European Standard laying down Technical Requirements for Inland Navigation vessels (ES-TRIN) as amended</w:t>
      </w:r>
      <w:r>
        <w:t>.</w:t>
      </w:r>
    </w:p>
    <w:p w:rsidR="00E17570" w:rsidRDefault="00E17570" w:rsidP="00634DC6">
      <w:pPr>
        <w:spacing w:after="120" w:line="276" w:lineRule="auto"/>
        <w:ind w:left="1134" w:right="1134"/>
        <w:jc w:val="both"/>
        <w:rPr>
          <w:i/>
        </w:rPr>
      </w:pPr>
    </w:p>
    <w:p w:rsidR="00E17570" w:rsidRPr="00B95C20" w:rsidRDefault="00E17570" w:rsidP="00634DC6">
      <w:pPr>
        <w:spacing w:after="120" w:line="276" w:lineRule="auto"/>
        <w:ind w:left="1134" w:right="1134"/>
        <w:jc w:val="both"/>
        <w:rPr>
          <w:i/>
        </w:rPr>
      </w:pPr>
      <w:r w:rsidRPr="00B95C20">
        <w:rPr>
          <w:i/>
        </w:rPr>
        <w:t>7.2.3.31.1</w:t>
      </w:r>
    </w:p>
    <w:p w:rsidR="00E17570" w:rsidRDefault="00E17570" w:rsidP="00634DC6">
      <w:pPr>
        <w:spacing w:after="120" w:line="276" w:lineRule="auto"/>
        <w:ind w:left="1134" w:right="1134"/>
        <w:jc w:val="both"/>
        <w:rPr>
          <w:b/>
          <w:u w:val="single"/>
        </w:rPr>
      </w:pPr>
      <w:r>
        <w:t xml:space="preserve">The use of engines running on fuels having a flashpoint </w:t>
      </w:r>
      <w:r w:rsidRPr="006F0C71">
        <w:rPr>
          <w:strike/>
        </w:rPr>
        <w:t>below</w:t>
      </w:r>
      <w:r>
        <w:t xml:space="preserve"> </w:t>
      </w:r>
      <w:r w:rsidRPr="006F0C71">
        <w:rPr>
          <w:b/>
          <w:u w:val="single"/>
        </w:rPr>
        <w:t>equal to or lower than</w:t>
      </w:r>
      <w:r>
        <w:t xml:space="preserve"> 55 ºC (e.g. petrol engines) is prohibited. This </w:t>
      </w:r>
      <w:r w:rsidRPr="006F0C71">
        <w:rPr>
          <w:strike/>
        </w:rPr>
        <w:t>requirement</w:t>
      </w:r>
      <w:r>
        <w:t xml:space="preserve"> </w:t>
      </w:r>
      <w:r w:rsidRPr="006F0C71">
        <w:rPr>
          <w:b/>
          <w:u w:val="single"/>
        </w:rPr>
        <w:t>provision</w:t>
      </w:r>
      <w:r>
        <w:t xml:space="preserve"> does not apply to</w:t>
      </w:r>
      <w:r w:rsidRPr="006F0C71">
        <w:rPr>
          <w:b/>
          <w:u w:val="single"/>
        </w:rPr>
        <w:t>:</w:t>
      </w:r>
    </w:p>
    <w:p w:rsidR="00E17570" w:rsidRDefault="00E17570" w:rsidP="00634DC6">
      <w:pPr>
        <w:spacing w:after="120" w:line="276" w:lineRule="auto"/>
        <w:ind w:left="1134" w:right="1134"/>
        <w:jc w:val="both"/>
        <w:rPr>
          <w:b/>
          <w:u w:val="single"/>
        </w:rPr>
      </w:pPr>
      <w:r>
        <w:t xml:space="preserve">- the </w:t>
      </w:r>
      <w:r w:rsidRPr="00B95C20">
        <w:rPr>
          <w:b/>
          <w:u w:val="single"/>
        </w:rPr>
        <w:t>petrol-operated</w:t>
      </w:r>
      <w:r>
        <w:t xml:space="preserve"> outboard motors of lifeboats</w:t>
      </w:r>
      <w:r>
        <w:rPr>
          <w:b/>
          <w:u w:val="single"/>
        </w:rPr>
        <w:t>;</w:t>
      </w:r>
    </w:p>
    <w:p w:rsidR="00E17570" w:rsidRDefault="00E17570" w:rsidP="00634DC6">
      <w:pPr>
        <w:spacing w:after="120" w:line="276" w:lineRule="auto"/>
        <w:ind w:left="1134" w:right="1134"/>
        <w:jc w:val="both"/>
      </w:pPr>
      <w:r>
        <w:t xml:space="preserve">- </w:t>
      </w:r>
      <w:r w:rsidRPr="006F0C71">
        <w:rPr>
          <w:b/>
          <w:u w:val="single"/>
        </w:rPr>
        <w:t xml:space="preserve">the propulsion and auxiliary systems which </w:t>
      </w:r>
      <w:r>
        <w:rPr>
          <w:b/>
          <w:u w:val="single"/>
        </w:rPr>
        <w:t>meet the requirements</w:t>
      </w:r>
      <w:r w:rsidRPr="006F0C71">
        <w:rPr>
          <w:b/>
          <w:u w:val="single"/>
        </w:rPr>
        <w:t xml:space="preserve"> </w:t>
      </w:r>
      <w:r>
        <w:rPr>
          <w:b/>
          <w:u w:val="single"/>
        </w:rPr>
        <w:t>of</w:t>
      </w:r>
      <w:r w:rsidRPr="006F0C71">
        <w:rPr>
          <w:b/>
          <w:u w:val="single"/>
        </w:rPr>
        <w:t xml:space="preserve"> Chapter 30 and Annex 8</w:t>
      </w:r>
      <w:r>
        <w:rPr>
          <w:b/>
          <w:u w:val="single"/>
        </w:rPr>
        <w:t>, Section 1</w:t>
      </w:r>
      <w:r w:rsidRPr="006F0C71">
        <w:rPr>
          <w:b/>
          <w:u w:val="single"/>
        </w:rPr>
        <w:t xml:space="preserve"> of the European Standard laying down Technical Requirements for Inland Navigation vessels (ES-TRIN) as amended</w:t>
      </w:r>
      <w:r>
        <w:t>.</w:t>
      </w:r>
    </w:p>
    <w:p w:rsidR="00405A66" w:rsidRDefault="00405A66" w:rsidP="00E17570">
      <w:pPr>
        <w:spacing w:after="120" w:line="276" w:lineRule="auto"/>
        <w:ind w:left="1134" w:right="1134"/>
        <w:jc w:val="both"/>
        <w:rPr>
          <w:i/>
        </w:rPr>
      </w:pPr>
    </w:p>
    <w:p w:rsidR="00E17570" w:rsidRPr="006A4BEC" w:rsidRDefault="00E17570" w:rsidP="00306CAE">
      <w:pPr>
        <w:keepNext/>
        <w:keepLines/>
        <w:spacing w:after="120" w:line="276" w:lineRule="auto"/>
        <w:ind w:left="1134" w:right="1134"/>
        <w:jc w:val="both"/>
        <w:rPr>
          <w:i/>
        </w:rPr>
      </w:pPr>
      <w:r w:rsidRPr="006A4BEC">
        <w:rPr>
          <w:i/>
        </w:rPr>
        <w:lastRenderedPageBreak/>
        <w:t>9.1.0.31.1</w:t>
      </w:r>
    </w:p>
    <w:p w:rsidR="00E17570" w:rsidRDefault="00E17570" w:rsidP="00306CAE">
      <w:pPr>
        <w:keepNext/>
        <w:keepLines/>
        <w:spacing w:after="120" w:line="276" w:lineRule="auto"/>
        <w:ind w:left="1134" w:right="1134"/>
        <w:jc w:val="both"/>
        <w:rPr>
          <w:b/>
          <w:u w:val="single"/>
        </w:rPr>
      </w:pPr>
      <w:r>
        <w:t>Only internal combustion engines running on fuel having a flashpoint above 55</w:t>
      </w:r>
      <w:r w:rsidRPr="00B95C20">
        <w:t xml:space="preserve"> </w:t>
      </w:r>
      <w:r>
        <w:t xml:space="preserve">ºC are allowed. </w:t>
      </w:r>
      <w:r w:rsidRPr="00B95C20">
        <w:rPr>
          <w:b/>
          <w:u w:val="single"/>
        </w:rPr>
        <w:t>This provision does not apply to internal combustion engines which are part of propulsion and auxiliary systems</w:t>
      </w:r>
      <w:r>
        <w:rPr>
          <w:b/>
          <w:u w:val="single"/>
        </w:rPr>
        <w:t>.</w:t>
      </w:r>
      <w:r w:rsidRPr="00B95C20">
        <w:rPr>
          <w:b/>
          <w:u w:val="single"/>
        </w:rPr>
        <w:t xml:space="preserve"> </w:t>
      </w:r>
      <w:r>
        <w:rPr>
          <w:b/>
          <w:u w:val="single"/>
        </w:rPr>
        <w:t xml:space="preserve">These systems shall </w:t>
      </w:r>
      <w:r w:rsidRPr="00B95C20">
        <w:rPr>
          <w:b/>
          <w:u w:val="single"/>
        </w:rPr>
        <w:t xml:space="preserve"> </w:t>
      </w:r>
      <w:r>
        <w:rPr>
          <w:b/>
          <w:u w:val="single"/>
        </w:rPr>
        <w:t>meet the requirements</w:t>
      </w:r>
      <w:r w:rsidRPr="00B95C20">
        <w:rPr>
          <w:b/>
          <w:u w:val="single"/>
        </w:rPr>
        <w:t xml:space="preserve"> of Chapter 30 and Annex 8</w:t>
      </w:r>
      <w:r>
        <w:rPr>
          <w:b/>
          <w:u w:val="single"/>
        </w:rPr>
        <w:t>, Section 1</w:t>
      </w:r>
      <w:r w:rsidRPr="00B95C20">
        <w:rPr>
          <w:b/>
          <w:u w:val="single"/>
        </w:rPr>
        <w:t xml:space="preserve"> of the European Standard laying down Technical Requirements for Inland Navigation vessels (ES-TRIN) as amended.</w:t>
      </w:r>
    </w:p>
    <w:p w:rsidR="00E17570" w:rsidRDefault="00E17570" w:rsidP="00E17570">
      <w:pPr>
        <w:spacing w:after="120" w:line="276" w:lineRule="auto"/>
        <w:ind w:left="1134" w:right="1134"/>
        <w:jc w:val="both"/>
        <w:rPr>
          <w:i/>
        </w:rPr>
      </w:pPr>
    </w:p>
    <w:p w:rsidR="00E17570" w:rsidRPr="006A4BEC" w:rsidRDefault="00E17570" w:rsidP="00E17570">
      <w:pPr>
        <w:spacing w:after="120" w:line="276" w:lineRule="auto"/>
        <w:ind w:left="1134" w:right="1134"/>
        <w:jc w:val="both"/>
        <w:rPr>
          <w:i/>
        </w:rPr>
      </w:pPr>
      <w:r w:rsidRPr="006A4BEC">
        <w:rPr>
          <w:i/>
        </w:rPr>
        <w:t>9.3.1.31.1</w:t>
      </w:r>
    </w:p>
    <w:p w:rsidR="00E17570" w:rsidRDefault="00E17570" w:rsidP="00E17570">
      <w:pPr>
        <w:spacing w:after="120" w:line="276" w:lineRule="auto"/>
        <w:ind w:left="1134" w:right="1134"/>
        <w:jc w:val="both"/>
        <w:rPr>
          <w:b/>
          <w:u w:val="single"/>
        </w:rPr>
      </w:pPr>
      <w:r>
        <w:t xml:space="preserve">Only internal combustion engines running on fuel </w:t>
      </w:r>
      <w:r w:rsidRPr="00B95C20">
        <w:rPr>
          <w:strike/>
        </w:rPr>
        <w:t>with</w:t>
      </w:r>
      <w:r>
        <w:t xml:space="preserve"> </w:t>
      </w:r>
      <w:r w:rsidRPr="00B95C20">
        <w:rPr>
          <w:b/>
          <w:u w:val="single"/>
        </w:rPr>
        <w:t>having</w:t>
      </w:r>
      <w:r>
        <w:t xml:space="preserve"> a flashpoint above 55</w:t>
      </w:r>
      <w:r w:rsidRPr="00B95C20">
        <w:t xml:space="preserve"> </w:t>
      </w:r>
      <w:r>
        <w:t xml:space="preserve">ºC are allowed. </w:t>
      </w:r>
      <w:r w:rsidRPr="00B95C20">
        <w:rPr>
          <w:b/>
          <w:u w:val="single"/>
        </w:rPr>
        <w:t>This provision does not apply to internal combustion engines which are part of propulsion and auxiliary systems</w:t>
      </w:r>
      <w:r>
        <w:rPr>
          <w:b/>
          <w:u w:val="single"/>
        </w:rPr>
        <w:t>. These systems shall</w:t>
      </w:r>
      <w:r w:rsidRPr="00B95C20">
        <w:rPr>
          <w:b/>
          <w:u w:val="single"/>
        </w:rPr>
        <w:t xml:space="preserve"> </w:t>
      </w:r>
      <w:r>
        <w:rPr>
          <w:b/>
          <w:u w:val="single"/>
        </w:rPr>
        <w:t>meet the requirements</w:t>
      </w:r>
      <w:r w:rsidRPr="00B95C20">
        <w:rPr>
          <w:b/>
          <w:u w:val="single"/>
        </w:rPr>
        <w:t xml:space="preserve"> of Chapter 30 and Annex 8</w:t>
      </w:r>
      <w:r>
        <w:rPr>
          <w:b/>
          <w:u w:val="single"/>
        </w:rPr>
        <w:t>, Section 1</w:t>
      </w:r>
      <w:r w:rsidRPr="00B95C20">
        <w:rPr>
          <w:b/>
          <w:u w:val="single"/>
        </w:rPr>
        <w:t xml:space="preserve"> of the European Standard laying down Technical Requirements for Inland Navigation vessels (ES-TRIN) as amended.</w:t>
      </w:r>
    </w:p>
    <w:p w:rsidR="00E17570" w:rsidRDefault="00E17570" w:rsidP="00E17570">
      <w:pPr>
        <w:spacing w:after="120" w:line="276" w:lineRule="auto"/>
        <w:ind w:left="1134" w:right="1134"/>
        <w:jc w:val="both"/>
        <w:rPr>
          <w:i/>
        </w:rPr>
      </w:pPr>
    </w:p>
    <w:p w:rsidR="00E17570" w:rsidRPr="006A4BEC" w:rsidRDefault="00E17570" w:rsidP="00E17570">
      <w:pPr>
        <w:spacing w:after="120" w:line="276" w:lineRule="auto"/>
        <w:ind w:left="1134" w:right="1134"/>
        <w:jc w:val="both"/>
        <w:rPr>
          <w:i/>
        </w:rPr>
      </w:pPr>
      <w:r w:rsidRPr="006A4BEC">
        <w:rPr>
          <w:i/>
        </w:rPr>
        <w:t>9.3.2.31.1</w:t>
      </w:r>
    </w:p>
    <w:p w:rsidR="00E17570" w:rsidRDefault="00E17570" w:rsidP="00E17570">
      <w:pPr>
        <w:spacing w:after="120" w:line="276" w:lineRule="auto"/>
        <w:ind w:left="1134" w:right="1134"/>
        <w:jc w:val="both"/>
        <w:rPr>
          <w:b/>
          <w:u w:val="single"/>
        </w:rPr>
      </w:pPr>
      <w:r>
        <w:t xml:space="preserve">Only internal combustion engines running on fuel </w:t>
      </w:r>
      <w:r w:rsidRPr="00B95C20">
        <w:rPr>
          <w:strike/>
        </w:rPr>
        <w:t>with</w:t>
      </w:r>
      <w:r>
        <w:t xml:space="preserve"> </w:t>
      </w:r>
      <w:r w:rsidRPr="00B95C20">
        <w:rPr>
          <w:b/>
          <w:u w:val="single"/>
        </w:rPr>
        <w:t>having</w:t>
      </w:r>
      <w:r>
        <w:t xml:space="preserve"> a flashpoint above 55</w:t>
      </w:r>
      <w:r w:rsidRPr="00B95C20">
        <w:t xml:space="preserve"> </w:t>
      </w:r>
      <w:r>
        <w:t xml:space="preserve">ºC are allowed. </w:t>
      </w:r>
      <w:r w:rsidRPr="00B95C20">
        <w:rPr>
          <w:b/>
          <w:u w:val="single"/>
        </w:rPr>
        <w:t>This provision does not apply to internal combustion engines which are part of propulsion and auxiliary systems</w:t>
      </w:r>
      <w:r>
        <w:rPr>
          <w:b/>
          <w:u w:val="single"/>
        </w:rPr>
        <w:t>. These systems shall</w:t>
      </w:r>
      <w:r w:rsidRPr="00B95C20">
        <w:rPr>
          <w:b/>
          <w:u w:val="single"/>
        </w:rPr>
        <w:t xml:space="preserve"> </w:t>
      </w:r>
      <w:r>
        <w:rPr>
          <w:b/>
          <w:u w:val="single"/>
        </w:rPr>
        <w:t>meet the requirements</w:t>
      </w:r>
      <w:r w:rsidRPr="00B95C20">
        <w:rPr>
          <w:b/>
          <w:u w:val="single"/>
        </w:rPr>
        <w:t xml:space="preserve"> of Chapter 30 and Annex 8</w:t>
      </w:r>
      <w:r>
        <w:rPr>
          <w:b/>
          <w:u w:val="single"/>
        </w:rPr>
        <w:t>, Section 1</w:t>
      </w:r>
      <w:r w:rsidRPr="00B95C20">
        <w:rPr>
          <w:b/>
          <w:u w:val="single"/>
        </w:rPr>
        <w:t xml:space="preserve"> of the European Standard laying down Technical Requirements for Inland Navigation vessels (ES-TRIN) as amended.</w:t>
      </w:r>
    </w:p>
    <w:p w:rsidR="00E17570" w:rsidRDefault="00E17570" w:rsidP="00E17570">
      <w:pPr>
        <w:spacing w:after="120" w:line="276" w:lineRule="auto"/>
        <w:ind w:right="1134"/>
        <w:jc w:val="both"/>
        <w:rPr>
          <w:i/>
        </w:rPr>
      </w:pPr>
    </w:p>
    <w:p w:rsidR="00E17570" w:rsidRPr="006A4BEC" w:rsidRDefault="00E17570" w:rsidP="00E17570">
      <w:pPr>
        <w:spacing w:after="120" w:line="276" w:lineRule="auto"/>
        <w:ind w:left="1134" w:right="1134"/>
        <w:jc w:val="both"/>
        <w:rPr>
          <w:i/>
        </w:rPr>
      </w:pPr>
      <w:r w:rsidRPr="006A4BEC">
        <w:rPr>
          <w:i/>
        </w:rPr>
        <w:t>9.3.3.31.1</w:t>
      </w:r>
    </w:p>
    <w:p w:rsidR="00E17570" w:rsidRDefault="00E17570" w:rsidP="00E17570">
      <w:pPr>
        <w:spacing w:after="120" w:line="276" w:lineRule="auto"/>
        <w:ind w:left="1134" w:right="1134"/>
        <w:jc w:val="both"/>
        <w:rPr>
          <w:b/>
          <w:u w:val="single"/>
        </w:rPr>
      </w:pPr>
      <w:r>
        <w:t xml:space="preserve">Only internal combustion engines running on fuel </w:t>
      </w:r>
      <w:r w:rsidRPr="00B95C20">
        <w:rPr>
          <w:strike/>
        </w:rPr>
        <w:t>with</w:t>
      </w:r>
      <w:r>
        <w:t xml:space="preserve"> </w:t>
      </w:r>
      <w:r w:rsidRPr="00B95C20">
        <w:rPr>
          <w:b/>
          <w:u w:val="single"/>
        </w:rPr>
        <w:t>having</w:t>
      </w:r>
      <w:r>
        <w:t xml:space="preserve"> a flashpoint above 55</w:t>
      </w:r>
      <w:r w:rsidRPr="00B95C20">
        <w:t xml:space="preserve"> </w:t>
      </w:r>
      <w:r>
        <w:t xml:space="preserve">ºC are allowed. </w:t>
      </w:r>
      <w:r w:rsidRPr="00B95C20">
        <w:rPr>
          <w:b/>
          <w:u w:val="single"/>
        </w:rPr>
        <w:t>This provision does not apply to internal combustion engines which are part of propulsion and auxiliary systems</w:t>
      </w:r>
      <w:r>
        <w:rPr>
          <w:b/>
          <w:u w:val="single"/>
        </w:rPr>
        <w:t>. These systems shall</w:t>
      </w:r>
      <w:r w:rsidRPr="00B95C20">
        <w:rPr>
          <w:b/>
          <w:u w:val="single"/>
        </w:rPr>
        <w:t xml:space="preserve"> </w:t>
      </w:r>
      <w:r>
        <w:rPr>
          <w:b/>
          <w:u w:val="single"/>
        </w:rPr>
        <w:t>meet the requirements</w:t>
      </w:r>
      <w:r w:rsidRPr="00B95C20">
        <w:rPr>
          <w:b/>
          <w:u w:val="single"/>
        </w:rPr>
        <w:t xml:space="preserve"> of Chapter 30 and Annex 8</w:t>
      </w:r>
      <w:r>
        <w:rPr>
          <w:b/>
          <w:u w:val="single"/>
        </w:rPr>
        <w:t>, Section 1</w:t>
      </w:r>
      <w:r w:rsidRPr="00B95C20">
        <w:rPr>
          <w:b/>
          <w:u w:val="single"/>
        </w:rPr>
        <w:t xml:space="preserve"> of the European Standard laying down Technical Requirements for Inland Navigation vessels (ES-TRIN) as amended.</w:t>
      </w:r>
    </w:p>
    <w:p w:rsidR="00E17570" w:rsidRDefault="00E17570" w:rsidP="00E17570">
      <w:pPr>
        <w:spacing w:after="120" w:line="276" w:lineRule="auto"/>
        <w:ind w:left="1134" w:right="1134"/>
        <w:jc w:val="both"/>
      </w:pPr>
    </w:p>
    <w:p w:rsidR="00E17570" w:rsidRPr="00405A66" w:rsidRDefault="00E17570" w:rsidP="00E17570">
      <w:pPr>
        <w:spacing w:after="120" w:line="276" w:lineRule="auto"/>
        <w:ind w:left="1134" w:right="1134"/>
        <w:jc w:val="both"/>
        <w:rPr>
          <w:i/>
        </w:rPr>
      </w:pPr>
      <w:r w:rsidRPr="00405A66">
        <w:rPr>
          <w:i/>
        </w:rPr>
        <w:t>Add the following note to all the mentioned articles</w:t>
      </w:r>
      <w:r w:rsidR="00405A66">
        <w:rPr>
          <w:i/>
        </w:rPr>
        <w:t xml:space="preserve"> above</w:t>
      </w:r>
      <w:r w:rsidRPr="00405A66">
        <w:rPr>
          <w:i/>
        </w:rPr>
        <w:t>:</w:t>
      </w:r>
    </w:p>
    <w:p w:rsidR="00E17570" w:rsidRPr="00E17570" w:rsidRDefault="00E17570" w:rsidP="00E17570">
      <w:pPr>
        <w:spacing w:after="120" w:line="276" w:lineRule="auto"/>
        <w:ind w:left="1134" w:right="1134"/>
        <w:jc w:val="both"/>
      </w:pPr>
      <w:r w:rsidRPr="00E17570">
        <w:rPr>
          <w:vertAlign w:val="superscript"/>
        </w:rPr>
        <w:t>x</w:t>
      </w:r>
      <w:r>
        <w:t xml:space="preserve"> </w:t>
      </w:r>
      <w:r w:rsidR="00405A66">
        <w:t>To be drafted by the UN ECE Secretariat</w:t>
      </w:r>
      <w:r w:rsidRPr="00E17570">
        <w:rPr>
          <w:vertAlign w:val="superscript"/>
        </w:rPr>
        <w:t xml:space="preserve"> </w:t>
      </w:r>
    </w:p>
    <w:p w:rsidR="00A17622" w:rsidRPr="00E17570" w:rsidRDefault="00E82DBD" w:rsidP="000C0F28">
      <w:pPr>
        <w:spacing w:before="240"/>
        <w:ind w:left="1134" w:right="1134"/>
        <w:jc w:val="center"/>
        <w:rPr>
          <w:u w:val="single"/>
          <w:lang w:val="en-US"/>
        </w:rPr>
      </w:pPr>
      <w:r w:rsidRPr="00E17570">
        <w:rPr>
          <w:u w:val="single"/>
          <w:lang w:val="en-US"/>
        </w:rPr>
        <w:tab/>
      </w:r>
      <w:r w:rsidRPr="00E17570">
        <w:rPr>
          <w:u w:val="single"/>
          <w:lang w:val="en-US"/>
        </w:rPr>
        <w:tab/>
      </w:r>
      <w:r w:rsidRPr="00E17570">
        <w:rPr>
          <w:u w:val="single"/>
          <w:lang w:val="en-US"/>
        </w:rPr>
        <w:tab/>
      </w:r>
    </w:p>
    <w:sectPr w:rsidR="00A17622" w:rsidRPr="00E17570" w:rsidSect="00306C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40" w:rsidRDefault="001A0340" w:rsidP="007371FC">
      <w:pPr>
        <w:spacing w:line="240" w:lineRule="auto"/>
      </w:pPr>
      <w:r>
        <w:separator/>
      </w:r>
    </w:p>
  </w:endnote>
  <w:endnote w:type="continuationSeparator" w:id="0">
    <w:p w:rsidR="001A0340" w:rsidRDefault="001A0340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AE" w:rsidRDefault="00306CAE" w:rsidP="00306CAE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3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306CAE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Default="00CA579A" w:rsidP="00306CAE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36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40" w:rsidRDefault="001A0340" w:rsidP="007371FC">
      <w:pPr>
        <w:spacing w:line="240" w:lineRule="auto"/>
      </w:pPr>
      <w:r>
        <w:separator/>
      </w:r>
    </w:p>
  </w:footnote>
  <w:footnote w:type="continuationSeparator" w:id="0">
    <w:p w:rsidR="001A0340" w:rsidRDefault="001A0340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AE" w:rsidRPr="00306CAE" w:rsidRDefault="00306CAE" w:rsidP="00306CAE">
    <w:pPr>
      <w:pStyle w:val="Header"/>
      <w:rPr>
        <w:lang w:val="fr-CH"/>
      </w:rPr>
    </w:pPr>
    <w:r>
      <w:rPr>
        <w:lang w:val="fr-CH"/>
      </w:rPr>
      <w:t>INF.28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</w:t>
    </w:r>
    <w:r w:rsidR="00CB1332">
      <w:rPr>
        <w:lang w:val="fr-CH"/>
      </w:rPr>
      <w:t>NF.</w:t>
    </w:r>
    <w:r w:rsidR="00306CAE">
      <w:rPr>
        <w:lang w:val="fr-CH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 w15:restartNumberingAfterBreak="0">
    <w:nsid w:val="10F11799"/>
    <w:multiLevelType w:val="hybridMultilevel"/>
    <w:tmpl w:val="E4063C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12FF"/>
    <w:multiLevelType w:val="hybridMultilevel"/>
    <w:tmpl w:val="D6226E9E"/>
    <w:lvl w:ilvl="0" w:tplc="C982076E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830" w:hanging="360"/>
      </w:pPr>
    </w:lvl>
    <w:lvl w:ilvl="2" w:tplc="0413001B" w:tentative="1">
      <w:start w:val="1"/>
      <w:numFmt w:val="lowerRoman"/>
      <w:lvlText w:val="%3."/>
      <w:lvlJc w:val="right"/>
      <w:pPr>
        <w:ind w:left="5550" w:hanging="180"/>
      </w:pPr>
    </w:lvl>
    <w:lvl w:ilvl="3" w:tplc="0413000F" w:tentative="1">
      <w:start w:val="1"/>
      <w:numFmt w:val="decimal"/>
      <w:lvlText w:val="%4."/>
      <w:lvlJc w:val="left"/>
      <w:pPr>
        <w:ind w:left="6270" w:hanging="360"/>
      </w:pPr>
    </w:lvl>
    <w:lvl w:ilvl="4" w:tplc="04130019" w:tentative="1">
      <w:start w:val="1"/>
      <w:numFmt w:val="lowerLetter"/>
      <w:lvlText w:val="%5."/>
      <w:lvlJc w:val="left"/>
      <w:pPr>
        <w:ind w:left="6990" w:hanging="360"/>
      </w:pPr>
    </w:lvl>
    <w:lvl w:ilvl="5" w:tplc="0413001B" w:tentative="1">
      <w:start w:val="1"/>
      <w:numFmt w:val="lowerRoman"/>
      <w:lvlText w:val="%6."/>
      <w:lvlJc w:val="right"/>
      <w:pPr>
        <w:ind w:left="7710" w:hanging="180"/>
      </w:pPr>
    </w:lvl>
    <w:lvl w:ilvl="6" w:tplc="0413000F" w:tentative="1">
      <w:start w:val="1"/>
      <w:numFmt w:val="decimal"/>
      <w:lvlText w:val="%7."/>
      <w:lvlJc w:val="left"/>
      <w:pPr>
        <w:ind w:left="8430" w:hanging="360"/>
      </w:pPr>
    </w:lvl>
    <w:lvl w:ilvl="7" w:tplc="04130019" w:tentative="1">
      <w:start w:val="1"/>
      <w:numFmt w:val="lowerLetter"/>
      <w:lvlText w:val="%8."/>
      <w:lvlJc w:val="left"/>
      <w:pPr>
        <w:ind w:left="9150" w:hanging="360"/>
      </w:pPr>
    </w:lvl>
    <w:lvl w:ilvl="8" w:tplc="0413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3" w15:restartNumberingAfterBreak="0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3431551"/>
    <w:multiLevelType w:val="hybridMultilevel"/>
    <w:tmpl w:val="CE24E99E"/>
    <w:lvl w:ilvl="0" w:tplc="04130019">
      <w:start w:val="1"/>
      <w:numFmt w:val="lowerLetter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5D5257C"/>
    <w:multiLevelType w:val="hybridMultilevel"/>
    <w:tmpl w:val="72546610"/>
    <w:lvl w:ilvl="0" w:tplc="0413000F">
      <w:start w:val="1"/>
      <w:numFmt w:val="decimal"/>
      <w:lvlText w:val="%1."/>
      <w:lvlJc w:val="left"/>
      <w:pPr>
        <w:ind w:left="2982" w:hanging="360"/>
      </w:pPr>
    </w:lvl>
    <w:lvl w:ilvl="1" w:tplc="04130019" w:tentative="1">
      <w:start w:val="1"/>
      <w:numFmt w:val="lowerLetter"/>
      <w:lvlText w:val="%2."/>
      <w:lvlJc w:val="left"/>
      <w:pPr>
        <w:ind w:left="3702" w:hanging="360"/>
      </w:pPr>
    </w:lvl>
    <w:lvl w:ilvl="2" w:tplc="0413001B" w:tentative="1">
      <w:start w:val="1"/>
      <w:numFmt w:val="lowerRoman"/>
      <w:lvlText w:val="%3."/>
      <w:lvlJc w:val="right"/>
      <w:pPr>
        <w:ind w:left="4422" w:hanging="180"/>
      </w:pPr>
    </w:lvl>
    <w:lvl w:ilvl="3" w:tplc="0413000F" w:tentative="1">
      <w:start w:val="1"/>
      <w:numFmt w:val="decimal"/>
      <w:lvlText w:val="%4."/>
      <w:lvlJc w:val="left"/>
      <w:pPr>
        <w:ind w:left="5142" w:hanging="360"/>
      </w:pPr>
    </w:lvl>
    <w:lvl w:ilvl="4" w:tplc="04130019" w:tentative="1">
      <w:start w:val="1"/>
      <w:numFmt w:val="lowerLetter"/>
      <w:lvlText w:val="%5."/>
      <w:lvlJc w:val="left"/>
      <w:pPr>
        <w:ind w:left="5862" w:hanging="360"/>
      </w:pPr>
    </w:lvl>
    <w:lvl w:ilvl="5" w:tplc="0413001B" w:tentative="1">
      <w:start w:val="1"/>
      <w:numFmt w:val="lowerRoman"/>
      <w:lvlText w:val="%6."/>
      <w:lvlJc w:val="right"/>
      <w:pPr>
        <w:ind w:left="6582" w:hanging="180"/>
      </w:pPr>
    </w:lvl>
    <w:lvl w:ilvl="6" w:tplc="0413000F" w:tentative="1">
      <w:start w:val="1"/>
      <w:numFmt w:val="decimal"/>
      <w:lvlText w:val="%7."/>
      <w:lvlJc w:val="left"/>
      <w:pPr>
        <w:ind w:left="7302" w:hanging="360"/>
      </w:pPr>
    </w:lvl>
    <w:lvl w:ilvl="7" w:tplc="04130019" w:tentative="1">
      <w:start w:val="1"/>
      <w:numFmt w:val="lowerLetter"/>
      <w:lvlText w:val="%8."/>
      <w:lvlJc w:val="left"/>
      <w:pPr>
        <w:ind w:left="8022" w:hanging="360"/>
      </w:pPr>
    </w:lvl>
    <w:lvl w:ilvl="8" w:tplc="0413001B" w:tentative="1">
      <w:start w:val="1"/>
      <w:numFmt w:val="lowerRoman"/>
      <w:lvlText w:val="%9."/>
      <w:lvlJc w:val="right"/>
      <w:pPr>
        <w:ind w:left="8742" w:hanging="180"/>
      </w:pPr>
    </w:lvl>
  </w:abstractNum>
  <w:abstractNum w:abstractNumId="6" w15:restartNumberingAfterBreak="0">
    <w:nsid w:val="6A9940C5"/>
    <w:multiLevelType w:val="hybridMultilevel"/>
    <w:tmpl w:val="137A9AA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5E9"/>
    <w:rsid w:val="000572AC"/>
    <w:rsid w:val="0009215A"/>
    <w:rsid w:val="000A1BBF"/>
    <w:rsid w:val="000C0F28"/>
    <w:rsid w:val="000E5E12"/>
    <w:rsid w:val="001049E9"/>
    <w:rsid w:val="0013311E"/>
    <w:rsid w:val="001A0340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570A4"/>
    <w:rsid w:val="0026064F"/>
    <w:rsid w:val="002741B1"/>
    <w:rsid w:val="00291734"/>
    <w:rsid w:val="00306CAE"/>
    <w:rsid w:val="003201F7"/>
    <w:rsid w:val="00341654"/>
    <w:rsid w:val="00355F2D"/>
    <w:rsid w:val="003947CF"/>
    <w:rsid w:val="003B218E"/>
    <w:rsid w:val="00405A66"/>
    <w:rsid w:val="00424ED7"/>
    <w:rsid w:val="00433D21"/>
    <w:rsid w:val="004346B7"/>
    <w:rsid w:val="00444034"/>
    <w:rsid w:val="00450B66"/>
    <w:rsid w:val="00456A30"/>
    <w:rsid w:val="00465FCB"/>
    <w:rsid w:val="00466FB6"/>
    <w:rsid w:val="00484ECD"/>
    <w:rsid w:val="004E5ED2"/>
    <w:rsid w:val="00510455"/>
    <w:rsid w:val="005145F5"/>
    <w:rsid w:val="00532839"/>
    <w:rsid w:val="00545339"/>
    <w:rsid w:val="0058305A"/>
    <w:rsid w:val="00584A84"/>
    <w:rsid w:val="0058789B"/>
    <w:rsid w:val="00591A7D"/>
    <w:rsid w:val="00593C65"/>
    <w:rsid w:val="005A1742"/>
    <w:rsid w:val="00617FB6"/>
    <w:rsid w:val="006212FB"/>
    <w:rsid w:val="006325E9"/>
    <w:rsid w:val="00633C6A"/>
    <w:rsid w:val="00634DC6"/>
    <w:rsid w:val="00643AEA"/>
    <w:rsid w:val="00645F15"/>
    <w:rsid w:val="00654D83"/>
    <w:rsid w:val="00680D5A"/>
    <w:rsid w:val="00694AE4"/>
    <w:rsid w:val="00696626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D0357"/>
    <w:rsid w:val="007F2A73"/>
    <w:rsid w:val="00800447"/>
    <w:rsid w:val="0080216C"/>
    <w:rsid w:val="0084661B"/>
    <w:rsid w:val="00846B80"/>
    <w:rsid w:val="00882939"/>
    <w:rsid w:val="00882E0E"/>
    <w:rsid w:val="009101E9"/>
    <w:rsid w:val="00912335"/>
    <w:rsid w:val="00972D93"/>
    <w:rsid w:val="009741A3"/>
    <w:rsid w:val="009821D4"/>
    <w:rsid w:val="0099218A"/>
    <w:rsid w:val="00995C51"/>
    <w:rsid w:val="009B5A28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5EC4"/>
    <w:rsid w:val="00B866C2"/>
    <w:rsid w:val="00BB6857"/>
    <w:rsid w:val="00BB77E8"/>
    <w:rsid w:val="00BE6D65"/>
    <w:rsid w:val="00BF3BCC"/>
    <w:rsid w:val="00C22999"/>
    <w:rsid w:val="00C41B4E"/>
    <w:rsid w:val="00C47DA1"/>
    <w:rsid w:val="00C70C66"/>
    <w:rsid w:val="00CA579A"/>
    <w:rsid w:val="00CB1332"/>
    <w:rsid w:val="00CB7CF1"/>
    <w:rsid w:val="00CC359D"/>
    <w:rsid w:val="00CE6E35"/>
    <w:rsid w:val="00D10F20"/>
    <w:rsid w:val="00D20EEA"/>
    <w:rsid w:val="00D32503"/>
    <w:rsid w:val="00D7183A"/>
    <w:rsid w:val="00D87D00"/>
    <w:rsid w:val="00D90582"/>
    <w:rsid w:val="00DA3362"/>
    <w:rsid w:val="00DB531F"/>
    <w:rsid w:val="00DB57E7"/>
    <w:rsid w:val="00DB5B3D"/>
    <w:rsid w:val="00DC5A3E"/>
    <w:rsid w:val="00DD51EF"/>
    <w:rsid w:val="00E109D9"/>
    <w:rsid w:val="00E12574"/>
    <w:rsid w:val="00E17570"/>
    <w:rsid w:val="00E8037C"/>
    <w:rsid w:val="00E82DBD"/>
    <w:rsid w:val="00E923BA"/>
    <w:rsid w:val="00EA37CA"/>
    <w:rsid w:val="00EA58F6"/>
    <w:rsid w:val="00EB0A82"/>
    <w:rsid w:val="00EB743A"/>
    <w:rsid w:val="00EC3D8D"/>
    <w:rsid w:val="00ED557F"/>
    <w:rsid w:val="00EF10C6"/>
    <w:rsid w:val="00EF5F2D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CCE0E"/>
  <w15:chartTrackingRefBased/>
  <w15:docId w15:val="{46089AEF-51E0-48D4-A011-DD189A66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0D0B-A6CA-4B8A-B3BA-206382E3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cp:lastModifiedBy>Lucille</cp:lastModifiedBy>
  <cp:revision>4</cp:revision>
  <cp:lastPrinted>2017-01-25T14:38:00Z</cp:lastPrinted>
  <dcterms:created xsi:type="dcterms:W3CDTF">2017-01-25T14:36:00Z</dcterms:created>
  <dcterms:modified xsi:type="dcterms:W3CDTF">2017-01-25T14:39:00Z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