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4F6DDB" w:rsidRPr="004F6DDB" w:rsidTr="001F17E0">
        <w:trPr>
          <w:cantSplit/>
          <w:trHeight w:hRule="exact" w:val="851"/>
        </w:trPr>
        <w:tc>
          <w:tcPr>
            <w:tcW w:w="1276" w:type="dxa"/>
            <w:tcBorders>
              <w:bottom w:val="single" w:sz="4" w:space="0" w:color="auto"/>
            </w:tcBorders>
            <w:vAlign w:val="bottom"/>
          </w:tcPr>
          <w:p w:rsidR="004F6DDB" w:rsidRPr="004F6DDB" w:rsidRDefault="004F6DDB" w:rsidP="004F6DDB">
            <w:pPr>
              <w:suppressAutoHyphens/>
              <w:spacing w:after="0" w:line="240" w:lineRule="atLeast"/>
              <w:rPr>
                <w:rFonts w:ascii="Times New Roman" w:hAnsi="Times New Roman" w:cs="Times New Roman"/>
                <w:lang w:eastAsia="en-US"/>
              </w:rPr>
            </w:pPr>
          </w:p>
        </w:tc>
        <w:tc>
          <w:tcPr>
            <w:tcW w:w="8363" w:type="dxa"/>
            <w:gridSpan w:val="2"/>
            <w:tcBorders>
              <w:bottom w:val="single" w:sz="4" w:space="0" w:color="auto"/>
            </w:tcBorders>
            <w:vAlign w:val="bottom"/>
          </w:tcPr>
          <w:p w:rsidR="004F6DDB" w:rsidRPr="004F6DDB" w:rsidRDefault="004F6DDB" w:rsidP="004F6DDB">
            <w:pPr>
              <w:suppressAutoHyphens/>
              <w:spacing w:after="0" w:line="240" w:lineRule="atLeast"/>
              <w:ind w:left="6095"/>
              <w:jc w:val="right"/>
              <w:rPr>
                <w:rFonts w:ascii="Times New Roman" w:hAnsi="Times New Roman" w:cs="Times New Roman"/>
                <w:lang w:eastAsia="en-US"/>
              </w:rPr>
            </w:pPr>
            <w:r w:rsidRPr="004F6DDB">
              <w:rPr>
                <w:rFonts w:ascii="Times New Roman" w:hAnsi="Times New Roman" w:cs="Times New Roman"/>
                <w:b/>
                <w:sz w:val="40"/>
                <w:szCs w:val="40"/>
                <w:lang w:eastAsia="en-US"/>
              </w:rPr>
              <w:t>INF.</w:t>
            </w:r>
            <w:r>
              <w:rPr>
                <w:rFonts w:ascii="Times New Roman" w:hAnsi="Times New Roman" w:cs="Times New Roman"/>
                <w:b/>
                <w:sz w:val="40"/>
                <w:szCs w:val="40"/>
                <w:lang w:eastAsia="en-US"/>
              </w:rPr>
              <w:t>2</w:t>
            </w:r>
            <w:r w:rsidRPr="004F6DDB">
              <w:rPr>
                <w:rFonts w:ascii="Times New Roman" w:hAnsi="Times New Roman" w:cs="Times New Roman"/>
                <w:b/>
                <w:sz w:val="40"/>
                <w:szCs w:val="40"/>
                <w:lang w:eastAsia="en-US"/>
              </w:rPr>
              <w:t>1</w:t>
            </w:r>
          </w:p>
        </w:tc>
      </w:tr>
      <w:tr w:rsidR="004F6DDB" w:rsidRPr="004F6DDB" w:rsidTr="001F17E0">
        <w:trPr>
          <w:cantSplit/>
          <w:trHeight w:hRule="exact" w:val="3686"/>
        </w:trPr>
        <w:tc>
          <w:tcPr>
            <w:tcW w:w="6804" w:type="dxa"/>
            <w:gridSpan w:val="2"/>
            <w:tcBorders>
              <w:bottom w:val="single" w:sz="12" w:space="0" w:color="auto"/>
            </w:tcBorders>
          </w:tcPr>
          <w:p w:rsidR="004F6DDB" w:rsidRPr="004F6DDB" w:rsidRDefault="004F6DDB" w:rsidP="004F6DDB">
            <w:pPr>
              <w:suppressAutoHyphens/>
              <w:spacing w:before="120" w:after="120" w:line="240" w:lineRule="atLeast"/>
              <w:rPr>
                <w:rFonts w:ascii="Times New Roman" w:hAnsi="Times New Roman" w:cs="Times New Roman"/>
                <w:b/>
                <w:sz w:val="28"/>
                <w:szCs w:val="28"/>
                <w:lang w:eastAsia="en-US"/>
              </w:rPr>
            </w:pPr>
            <w:r w:rsidRPr="004F6DDB">
              <w:rPr>
                <w:rFonts w:ascii="Times New Roman" w:hAnsi="Times New Roman" w:cs="Times New Roman"/>
                <w:b/>
                <w:sz w:val="28"/>
                <w:szCs w:val="28"/>
                <w:lang w:eastAsia="en-US"/>
              </w:rPr>
              <w:t xml:space="preserve">Economic Commission for </w:t>
            </w:r>
            <w:smartTag w:uri="urn:schemas-microsoft-com:office:smarttags" w:element="place">
              <w:r w:rsidRPr="004F6DDB">
                <w:rPr>
                  <w:rFonts w:ascii="Times New Roman" w:hAnsi="Times New Roman" w:cs="Times New Roman"/>
                  <w:b/>
                  <w:sz w:val="28"/>
                  <w:szCs w:val="28"/>
                  <w:lang w:eastAsia="en-US"/>
                </w:rPr>
                <w:t>Europe</w:t>
              </w:r>
            </w:smartTag>
          </w:p>
          <w:p w:rsidR="004F6DDB" w:rsidRPr="004F6DDB" w:rsidRDefault="004F6DDB" w:rsidP="004F6DDB">
            <w:pPr>
              <w:suppressAutoHyphens/>
              <w:spacing w:before="120" w:after="0" w:line="240" w:lineRule="atLeast"/>
              <w:rPr>
                <w:rFonts w:ascii="Times New Roman" w:hAnsi="Times New Roman" w:cs="Times New Roman"/>
                <w:sz w:val="28"/>
                <w:szCs w:val="28"/>
                <w:lang w:eastAsia="en-US"/>
              </w:rPr>
            </w:pPr>
            <w:r w:rsidRPr="004F6DDB">
              <w:rPr>
                <w:rFonts w:ascii="Times New Roman" w:hAnsi="Times New Roman" w:cs="Times New Roman"/>
                <w:sz w:val="28"/>
                <w:szCs w:val="28"/>
                <w:lang w:eastAsia="en-US"/>
              </w:rPr>
              <w:t>Inland Transport Committee</w:t>
            </w:r>
          </w:p>
          <w:p w:rsidR="004F6DDB" w:rsidRPr="004F6DDB" w:rsidRDefault="004F6DDB" w:rsidP="004F6DDB">
            <w:pPr>
              <w:suppressAutoHyphens/>
              <w:spacing w:before="120" w:after="0" w:line="240" w:lineRule="atLeast"/>
              <w:rPr>
                <w:rFonts w:ascii="Times New Roman" w:hAnsi="Times New Roman" w:cs="Times New Roman"/>
                <w:b/>
                <w:lang w:eastAsia="en-US"/>
              </w:rPr>
            </w:pPr>
            <w:r w:rsidRPr="004F6DDB">
              <w:rPr>
                <w:rFonts w:ascii="Times New Roman" w:hAnsi="Times New Roman" w:cs="Times New Roman"/>
                <w:b/>
                <w:lang w:eastAsia="en-US"/>
              </w:rPr>
              <w:t>Working Party on the Transport of Dangerous Goods</w:t>
            </w:r>
          </w:p>
          <w:p w:rsidR="004F6DDB" w:rsidRPr="004F6DDB" w:rsidRDefault="004F6DDB" w:rsidP="004F6DDB">
            <w:pPr>
              <w:suppressAutoHyphens/>
              <w:spacing w:before="120" w:after="0" w:line="240" w:lineRule="atLeast"/>
              <w:rPr>
                <w:rFonts w:ascii="Times New Roman" w:hAnsi="Times New Roman" w:cs="Times New Roman"/>
                <w:b/>
                <w:lang w:eastAsia="en-US"/>
              </w:rPr>
            </w:pPr>
            <w:r w:rsidRPr="004F6DDB">
              <w:rPr>
                <w:rFonts w:ascii="Times New Roman" w:hAnsi="Times New Roman" w:cs="Times New Roman"/>
                <w:b/>
                <w:lang w:eastAsia="en-US"/>
              </w:rPr>
              <w:t>Joint Meeting of Experts on the Regulations annexed to the</w:t>
            </w:r>
            <w:r w:rsidRPr="004F6DDB">
              <w:rPr>
                <w:rFonts w:ascii="Times New Roman" w:hAnsi="Times New Roman" w:cs="Times New Roman"/>
                <w:b/>
                <w:lang w:eastAsia="en-US"/>
              </w:rPr>
              <w:br/>
              <w:t>European Agreement concerning the International Carriage</w:t>
            </w:r>
            <w:r w:rsidRPr="004F6DDB">
              <w:rPr>
                <w:rFonts w:ascii="Times New Roman" w:hAnsi="Times New Roman" w:cs="Times New Roman"/>
                <w:b/>
                <w:lang w:eastAsia="en-US"/>
              </w:rPr>
              <w:br/>
              <w:t>of Dangerous Goods by Inland Waterways (ADN)</w:t>
            </w:r>
            <w:r w:rsidRPr="004F6DDB">
              <w:rPr>
                <w:rFonts w:ascii="Times New Roman" w:hAnsi="Times New Roman" w:cs="Times New Roman"/>
                <w:b/>
                <w:lang w:eastAsia="en-US"/>
              </w:rPr>
              <w:br/>
              <w:t>(ADN Safety Committee)</w:t>
            </w:r>
          </w:p>
          <w:p w:rsidR="004F6DDB" w:rsidRPr="004F6DDB" w:rsidRDefault="004F6DDB" w:rsidP="004F6DDB">
            <w:pPr>
              <w:suppressAutoHyphens/>
              <w:spacing w:before="120" w:after="0" w:line="240" w:lineRule="atLeast"/>
              <w:rPr>
                <w:rFonts w:ascii="Times New Roman" w:hAnsi="Times New Roman" w:cs="Times New Roman"/>
                <w:b/>
                <w:lang w:eastAsia="en-US"/>
              </w:rPr>
            </w:pPr>
            <w:r w:rsidRPr="004F6DDB">
              <w:rPr>
                <w:rFonts w:ascii="Times New Roman" w:hAnsi="Times New Roman" w:cs="Times New Roman"/>
                <w:b/>
                <w:lang w:eastAsia="en-US"/>
              </w:rPr>
              <w:t>Thirtieth session</w:t>
            </w:r>
          </w:p>
          <w:p w:rsidR="004F6DDB" w:rsidRPr="004F6DDB" w:rsidRDefault="004F6DDB" w:rsidP="004F6DDB">
            <w:pPr>
              <w:suppressAutoHyphens/>
              <w:spacing w:after="0" w:line="240" w:lineRule="atLeast"/>
              <w:rPr>
                <w:rFonts w:ascii="Times New Roman" w:hAnsi="Times New Roman" w:cs="Times New Roman"/>
                <w:lang w:eastAsia="en-US"/>
              </w:rPr>
            </w:pPr>
            <w:r w:rsidRPr="004F6DDB">
              <w:rPr>
                <w:rFonts w:ascii="Times New Roman" w:hAnsi="Times New Roman" w:cs="Times New Roman"/>
                <w:lang w:eastAsia="en-US"/>
              </w:rPr>
              <w:t>Geneva, 23–27 January 2017</w:t>
            </w:r>
            <w:r w:rsidRPr="004F6DDB">
              <w:rPr>
                <w:rFonts w:ascii="Times New Roman" w:hAnsi="Times New Roman" w:cs="Times New Roman"/>
                <w:lang w:eastAsia="en-US"/>
              </w:rPr>
              <w:br/>
              <w:t>Item 5 (b) of the provisional agenda</w:t>
            </w:r>
          </w:p>
          <w:p w:rsidR="004F6DDB" w:rsidRPr="004F6DDB" w:rsidRDefault="004F6DDB" w:rsidP="004F6DDB">
            <w:pPr>
              <w:suppressAutoHyphens/>
              <w:spacing w:after="0" w:line="240" w:lineRule="atLeast"/>
              <w:rPr>
                <w:rFonts w:ascii="Times New Roman" w:hAnsi="Times New Roman" w:cs="Times New Roman"/>
                <w:b/>
                <w:bCs/>
                <w:lang w:val="en-US" w:eastAsia="en-US"/>
              </w:rPr>
            </w:pPr>
            <w:r w:rsidRPr="004F6DDB">
              <w:rPr>
                <w:rFonts w:ascii="Times New Roman" w:hAnsi="Times New Roman" w:cs="Times New Roman"/>
                <w:b/>
                <w:lang w:eastAsia="en-US"/>
              </w:rPr>
              <w:t>Proposals for amendments to the Regulations annexed to ADN</w:t>
            </w:r>
            <w:r w:rsidRPr="004F6DDB">
              <w:rPr>
                <w:rFonts w:ascii="Times New Roman" w:hAnsi="Times New Roman" w:cs="Times New Roman"/>
                <w:b/>
                <w:bCs/>
                <w:lang w:eastAsia="en-US"/>
              </w:rPr>
              <w:t>:</w:t>
            </w:r>
          </w:p>
          <w:p w:rsidR="004F6DDB" w:rsidRPr="004F6DDB" w:rsidRDefault="004F6DDB" w:rsidP="004F6DDB">
            <w:pPr>
              <w:suppressAutoHyphens/>
              <w:spacing w:after="0" w:line="240" w:lineRule="atLeast"/>
              <w:rPr>
                <w:rFonts w:ascii="Times New Roman" w:hAnsi="Times New Roman" w:cs="Times New Roman"/>
                <w:b/>
                <w:bCs/>
                <w:lang w:val="en-US" w:eastAsia="en-US"/>
              </w:rPr>
            </w:pPr>
            <w:r w:rsidRPr="004F6DDB">
              <w:rPr>
                <w:rFonts w:ascii="Times New Roman" w:hAnsi="Times New Roman" w:cs="Times New Roman"/>
                <w:b/>
                <w:lang w:eastAsia="en-US"/>
              </w:rPr>
              <w:t>other proposals</w:t>
            </w:r>
          </w:p>
        </w:tc>
        <w:tc>
          <w:tcPr>
            <w:tcW w:w="2835" w:type="dxa"/>
            <w:tcBorders>
              <w:bottom w:val="single" w:sz="12" w:space="0" w:color="auto"/>
            </w:tcBorders>
          </w:tcPr>
          <w:p w:rsidR="004F6DDB" w:rsidRPr="004F6DDB" w:rsidRDefault="004F6DDB" w:rsidP="004F6DDB">
            <w:pPr>
              <w:suppressAutoHyphens/>
              <w:spacing w:before="120" w:after="0" w:line="240" w:lineRule="atLeast"/>
              <w:rPr>
                <w:rFonts w:ascii="Times New Roman" w:hAnsi="Times New Roman" w:cs="Times New Roman"/>
                <w:lang w:eastAsia="en-US"/>
              </w:rPr>
            </w:pPr>
          </w:p>
          <w:p w:rsidR="004F6DDB" w:rsidRPr="004F6DDB" w:rsidRDefault="004F6DDB" w:rsidP="004F6DDB">
            <w:pPr>
              <w:suppressAutoHyphens/>
              <w:spacing w:before="120" w:after="0" w:line="240" w:lineRule="atLeast"/>
              <w:rPr>
                <w:rFonts w:ascii="Times New Roman" w:hAnsi="Times New Roman" w:cs="Times New Roman"/>
                <w:lang w:eastAsia="en-US"/>
              </w:rPr>
            </w:pPr>
          </w:p>
          <w:p w:rsidR="004F6DDB" w:rsidRPr="004F6DDB" w:rsidRDefault="004F6DDB" w:rsidP="004F6DDB">
            <w:pPr>
              <w:suppressAutoHyphens/>
              <w:spacing w:before="120" w:after="0" w:line="240" w:lineRule="atLeast"/>
              <w:rPr>
                <w:rFonts w:ascii="Times New Roman" w:hAnsi="Times New Roman" w:cs="Times New Roman"/>
                <w:lang w:eastAsia="en-US"/>
              </w:rPr>
            </w:pPr>
            <w:r w:rsidRPr="004F6DDB">
              <w:rPr>
                <w:rFonts w:ascii="Times New Roman" w:hAnsi="Times New Roman" w:cs="Times New Roman"/>
                <w:lang w:eastAsia="en-US"/>
              </w:rPr>
              <w:t>English</w:t>
            </w:r>
          </w:p>
          <w:p w:rsidR="004F6DDB" w:rsidRPr="004F6DDB" w:rsidRDefault="004F6DDB" w:rsidP="004F6DDB">
            <w:pPr>
              <w:suppressAutoHyphens/>
              <w:spacing w:before="120" w:after="0" w:line="240" w:lineRule="atLeast"/>
              <w:rPr>
                <w:rFonts w:ascii="Times New Roman" w:hAnsi="Times New Roman" w:cs="Times New Roman"/>
                <w:lang w:eastAsia="en-US"/>
              </w:rPr>
            </w:pPr>
            <w:r w:rsidRPr="004F6DDB">
              <w:rPr>
                <w:rFonts w:ascii="Times New Roman" w:hAnsi="Times New Roman" w:cs="Times New Roman"/>
                <w:b/>
                <w:lang w:eastAsia="en-US"/>
              </w:rPr>
              <w:t>23</w:t>
            </w:r>
            <w:r w:rsidRPr="004F6DDB">
              <w:rPr>
                <w:rFonts w:ascii="Times New Roman" w:hAnsi="Times New Roman" w:cs="Times New Roman"/>
                <w:b/>
                <w:vertAlign w:val="superscript"/>
                <w:lang w:eastAsia="en-US"/>
              </w:rPr>
              <w:t xml:space="preserve"> </w:t>
            </w:r>
            <w:r w:rsidRPr="004F6DDB">
              <w:rPr>
                <w:rFonts w:ascii="Times New Roman" w:hAnsi="Times New Roman" w:cs="Times New Roman"/>
                <w:b/>
                <w:lang w:eastAsia="en-US"/>
              </w:rPr>
              <w:t>January 2017</w:t>
            </w:r>
          </w:p>
        </w:tc>
      </w:tr>
    </w:tbl>
    <w:p w:rsidR="00E20B57" w:rsidRPr="00545423" w:rsidRDefault="004F6DDB" w:rsidP="004F6DDB">
      <w:pPr>
        <w:pStyle w:val="HChG"/>
        <w:rPr>
          <w:b w:val="0"/>
          <w:sz w:val="24"/>
          <w:szCs w:val="24"/>
        </w:rPr>
      </w:pPr>
      <w:r>
        <w:rPr>
          <w:sz w:val="24"/>
          <w:szCs w:val="24"/>
        </w:rPr>
        <w:tab/>
      </w:r>
      <w:r>
        <w:rPr>
          <w:sz w:val="24"/>
          <w:szCs w:val="24"/>
        </w:rPr>
        <w:tab/>
      </w:r>
      <w:r w:rsidR="00474D78" w:rsidRPr="00717A1F">
        <w:rPr>
          <w:lang w:val="fr-CH"/>
        </w:rPr>
        <w:t>Use of the land-based power supply network by vessels carrying dang</w:t>
      </w:r>
      <w:bookmarkStart w:id="0" w:name="_GoBack"/>
      <w:bookmarkEnd w:id="0"/>
      <w:r w:rsidR="00474D78" w:rsidRPr="00717A1F">
        <w:rPr>
          <w:lang w:val="fr-CH"/>
        </w:rPr>
        <w:t>erous goods – Requirements governing the connection and connecting cable between ship and shore</w:t>
      </w:r>
    </w:p>
    <w:p w:rsidR="00A13D0C" w:rsidRPr="00325560" w:rsidRDefault="004F6DDB" w:rsidP="004F6DDB">
      <w:pPr>
        <w:pStyle w:val="H1G"/>
        <w:rPr>
          <w:b w:val="0"/>
          <w:szCs w:val="24"/>
        </w:rPr>
      </w:pPr>
      <w:r>
        <w:rPr>
          <w:lang w:val="fr-CH" w:eastAsia="en-US"/>
        </w:rPr>
        <w:tab/>
      </w:r>
      <w:r>
        <w:rPr>
          <w:lang w:val="fr-CH" w:eastAsia="en-US"/>
        </w:rPr>
        <w:tab/>
      </w:r>
      <w:r w:rsidR="00D93397" w:rsidRPr="004F6DDB">
        <w:rPr>
          <w:lang w:eastAsia="en-US"/>
        </w:rPr>
        <w:t>Transmitted</w:t>
      </w:r>
      <w:r w:rsidR="00D93397" w:rsidRPr="00325560">
        <w:rPr>
          <w:szCs w:val="24"/>
          <w:lang w:val="en-US"/>
        </w:rPr>
        <w:t xml:space="preserve"> by the Central Commission for the Navigation of the Rhine</w:t>
      </w:r>
    </w:p>
    <w:p w:rsidR="00325560" w:rsidRPr="00325560" w:rsidRDefault="00E3657A" w:rsidP="00E3657A">
      <w:pPr>
        <w:pStyle w:val="HChG"/>
        <w:rPr>
          <w:b w:val="0"/>
          <w:color w:val="00000A"/>
          <w:kern w:val="2"/>
          <w:szCs w:val="28"/>
        </w:rPr>
      </w:pPr>
      <w:bookmarkStart w:id="1" w:name="_TT_HIDE_HIDDEN_16"/>
      <w:r>
        <w:rPr>
          <w:lang w:val="fr-CH"/>
        </w:rPr>
        <w:tab/>
      </w:r>
      <w:r>
        <w:rPr>
          <w:lang w:val="fr-CH"/>
        </w:rPr>
        <w:tab/>
      </w:r>
      <w:r w:rsidR="00325560" w:rsidRPr="00E3657A">
        <w:rPr>
          <w:lang w:val="fr-CH"/>
        </w:rPr>
        <w:t>Introduction</w:t>
      </w:r>
    </w:p>
    <w:bookmarkEnd w:id="1"/>
    <w:p w:rsidR="00325560" w:rsidRPr="00325560" w:rsidRDefault="00325560" w:rsidP="00E3657A">
      <w:pPr>
        <w:pStyle w:val="SingleTxtG"/>
        <w:numPr>
          <w:ilvl w:val="0"/>
          <w:numId w:val="46"/>
        </w:numPr>
        <w:tabs>
          <w:tab w:val="left" w:pos="1701"/>
        </w:tabs>
        <w:ind w:left="1134" w:firstLine="0"/>
      </w:pPr>
      <w:r w:rsidRPr="00325560">
        <w:t xml:space="preserve">The Central Commission for the Navigation of the Rhine is currently examining the regulatory preconditions for mandatory connection at holding areas equipped with land-based power connections. </w:t>
      </w:r>
    </w:p>
    <w:p w:rsidR="00325560" w:rsidRPr="00325560" w:rsidRDefault="00E3657A" w:rsidP="00E3657A">
      <w:pPr>
        <w:pStyle w:val="HChG"/>
        <w:rPr>
          <w:b w:val="0"/>
          <w:color w:val="00000A"/>
          <w:kern w:val="2"/>
          <w:szCs w:val="28"/>
        </w:rPr>
      </w:pPr>
      <w:r>
        <w:rPr>
          <w:lang w:val="fr-CH"/>
        </w:rPr>
        <w:tab/>
      </w:r>
      <w:r>
        <w:rPr>
          <w:lang w:val="fr-CH"/>
        </w:rPr>
        <w:tab/>
      </w:r>
      <w:r w:rsidR="00325560" w:rsidRPr="00E3657A">
        <w:rPr>
          <w:lang w:val="fr-CH"/>
        </w:rPr>
        <w:t>Background</w:t>
      </w:r>
    </w:p>
    <w:p w:rsidR="00325560" w:rsidRPr="00325560" w:rsidRDefault="00325560" w:rsidP="00E3657A">
      <w:pPr>
        <w:pStyle w:val="SingleTxtG"/>
        <w:numPr>
          <w:ilvl w:val="0"/>
          <w:numId w:val="46"/>
        </w:numPr>
        <w:tabs>
          <w:tab w:val="left" w:pos="1701"/>
        </w:tabs>
        <w:ind w:left="1134" w:firstLine="0"/>
      </w:pPr>
      <w:r w:rsidRPr="00325560">
        <w:t>Vessels are required to comply with the technical requirements of the Rhine Vessel Inspection Regulations (RVIR) and in particular article 9.08 concerning the connection with the shore or other external networks. Article 9.08 (1) says that “Incoming supply lines from land-based networks or other external networks to the installations of the onboard network [shall] have a permanent connection on board in the form of fixed terminals or fixed plug sockets. Cables and their connections shall not be subjected to any pulling load.”</w:t>
      </w:r>
    </w:p>
    <w:p w:rsidR="00325560" w:rsidRPr="00325560" w:rsidRDefault="00325560" w:rsidP="00E3657A">
      <w:pPr>
        <w:pStyle w:val="SingleTxtG"/>
        <w:numPr>
          <w:ilvl w:val="0"/>
          <w:numId w:val="46"/>
        </w:numPr>
        <w:tabs>
          <w:tab w:val="left" w:pos="1701"/>
        </w:tabs>
        <w:ind w:left="1134" w:firstLine="0"/>
      </w:pPr>
      <w:r w:rsidRPr="00325560">
        <w:t>Vessels carrying dangerous goods shall comply with the requirements of the regulations annexed to the ADN Agreement. These regulations envisage a number of provisions governing the use of electrical cables. In summary, under the ADN, the use of electrical cables in the cargo zone or protected area is prohibited with exceptions.</w:t>
      </w:r>
    </w:p>
    <w:p w:rsidR="00325560" w:rsidRPr="00325560" w:rsidRDefault="00325560" w:rsidP="00E3657A">
      <w:pPr>
        <w:pStyle w:val="SingleTxtG"/>
        <w:numPr>
          <w:ilvl w:val="0"/>
          <w:numId w:val="46"/>
        </w:numPr>
        <w:tabs>
          <w:tab w:val="left" w:pos="1701"/>
        </w:tabs>
        <w:ind w:left="1134" w:firstLine="0"/>
      </w:pPr>
      <w:r w:rsidRPr="00325560">
        <w:t>These regulatory provisions (ADN, RVIR) can pose additional practical problems when connecting to the land-based power network.</w:t>
      </w:r>
    </w:p>
    <w:p w:rsidR="00325560" w:rsidRPr="00325560" w:rsidRDefault="00E3657A" w:rsidP="00E3657A">
      <w:pPr>
        <w:pStyle w:val="SingleTxtG"/>
        <w:tabs>
          <w:tab w:val="left" w:pos="1701"/>
        </w:tabs>
      </w:pPr>
      <w:r>
        <w:rPr>
          <w:color w:val="00000A"/>
        </w:rPr>
        <w:tab/>
      </w:r>
      <w:r w:rsidR="00325560" w:rsidRPr="00325560">
        <w:rPr>
          <w:color w:val="00000A"/>
        </w:rPr>
        <w:t>a)</w:t>
      </w:r>
      <w:r w:rsidR="00325560" w:rsidRPr="00325560">
        <w:rPr>
          <w:color w:val="00000A"/>
        </w:rPr>
        <w:tab/>
      </w:r>
      <w:r w:rsidR="00325560" w:rsidRPr="00325560">
        <w:t>The cable connection from the ship to the quay is a critical point. The risk of imposing a tensile load on the cable during connection is to be avoided. Moreover, in the case of vessels carrying dangerous goods, the cable connection must not be located in the cargo zone or protected area.</w:t>
      </w:r>
    </w:p>
    <w:p w:rsidR="00325560" w:rsidRPr="00E3657A" w:rsidRDefault="00E3657A" w:rsidP="00E3657A">
      <w:pPr>
        <w:pStyle w:val="SingleTxtG"/>
        <w:tabs>
          <w:tab w:val="left" w:pos="1701"/>
        </w:tabs>
      </w:pPr>
      <w:r>
        <w:lastRenderedPageBreak/>
        <w:tab/>
      </w:r>
      <w:r w:rsidR="00325560" w:rsidRPr="00325560">
        <w:t>b)</w:t>
      </w:r>
      <w:r w:rsidR="00325560" w:rsidRPr="00325560">
        <w:tab/>
        <w:t xml:space="preserve">If the shore connections are not adjacent to the shipboard connections, a cable is to be run the length of the vessel. This cable can either be on the quay or the ship’s deck. Under current ADN provisions, the cable must be laid on the quay and come aboard the vessel either at its bow or stern (outside the cargo zone). </w:t>
      </w:r>
    </w:p>
    <w:p w:rsidR="00325560" w:rsidRPr="00325560" w:rsidRDefault="00325560" w:rsidP="00E3657A">
      <w:pPr>
        <w:pStyle w:val="SingleTxtG"/>
        <w:numPr>
          <w:ilvl w:val="0"/>
          <w:numId w:val="46"/>
        </w:numPr>
        <w:tabs>
          <w:tab w:val="left" w:pos="1701"/>
        </w:tabs>
        <w:ind w:left="1134" w:firstLine="0"/>
      </w:pPr>
      <w:r w:rsidRPr="00325560">
        <w:t>One way of mitigating these practical difficulties would be to add one more exception to the list defined in paragraphs 7.X.3.51.2 and 9.3.X.56.3 of the ADN.</w:t>
      </w:r>
    </w:p>
    <w:p w:rsidR="00325560" w:rsidRPr="00325560" w:rsidRDefault="00325560" w:rsidP="00E3657A">
      <w:pPr>
        <w:pStyle w:val="SingleTxtG"/>
        <w:numPr>
          <w:ilvl w:val="0"/>
          <w:numId w:val="46"/>
        </w:numPr>
        <w:tabs>
          <w:tab w:val="left" w:pos="1701"/>
        </w:tabs>
        <w:ind w:left="1134" w:firstLine="0"/>
      </w:pPr>
      <w:r w:rsidRPr="00325560">
        <w:t>The conditions governing the exception should prevent the greatest risk, namely spark formation at the point of connection when connecting/removing the cable. To reduce the risks, the connecting cable should be connected to the vessel’s electrical power system outside the cargo zone or protected area. The following amendment could be discussed by the ADN safety committee experts and be incorporated into the ADN:</w:t>
      </w:r>
    </w:p>
    <w:p w:rsidR="00325560" w:rsidRPr="00325560" w:rsidRDefault="00325560" w:rsidP="00E3657A">
      <w:pPr>
        <w:autoSpaceDE w:val="0"/>
        <w:autoSpaceDN w:val="0"/>
        <w:adjustRightInd w:val="0"/>
        <w:spacing w:before="60" w:after="0" w:line="240" w:lineRule="auto"/>
        <w:ind w:left="1701" w:right="1132" w:hanging="425"/>
        <w:jc w:val="both"/>
        <w:rPr>
          <w:rFonts w:ascii="TimesNewRomanPSMT" w:hAnsi="TimesNewRomanPSMT" w:cs="TimesNewRomanPSMT"/>
          <w:i/>
          <w:sz w:val="22"/>
          <w:szCs w:val="22"/>
        </w:rPr>
      </w:pPr>
      <w:bookmarkStart w:id="2" w:name="_TT_HIDE_HIDDEN_19"/>
      <w:r w:rsidRPr="00325560">
        <w:rPr>
          <w:rFonts w:ascii="TimesNewRomanPSMT" w:hAnsi="TimesNewRomanPSMT"/>
          <w:i/>
          <w:sz w:val="22"/>
          <w:szCs w:val="22"/>
          <w:lang w:val="en-US"/>
        </w:rPr>
        <w:t>„7.X.3.51.2</w:t>
      </w:r>
      <w:r w:rsidRPr="00325560">
        <w:rPr>
          <w:rFonts w:ascii="TimesNewRomanPSMT" w:hAnsi="TimesNewRomanPSMT"/>
          <w:i/>
          <w:sz w:val="22"/>
          <w:szCs w:val="22"/>
          <w:lang w:val="en-US"/>
        </w:rPr>
        <w:tab/>
        <w:t>The use of movable electric cables is prohibited in the protected area. This provision does not apply to:</w:t>
      </w:r>
    </w:p>
    <w:p w:rsidR="00325560" w:rsidRPr="00325560" w:rsidRDefault="00325560" w:rsidP="00E3657A">
      <w:pPr>
        <w:autoSpaceDE w:val="0"/>
        <w:autoSpaceDN w:val="0"/>
        <w:adjustRightInd w:val="0"/>
        <w:spacing w:before="60" w:after="0" w:line="240" w:lineRule="auto"/>
        <w:ind w:left="2127" w:right="1132" w:hanging="425"/>
        <w:jc w:val="both"/>
        <w:rPr>
          <w:rFonts w:ascii="TimesNewRomanPSMT" w:hAnsi="TimesNewRomanPSMT" w:cs="TimesNewRomanPSMT"/>
          <w:i/>
          <w:sz w:val="22"/>
          <w:szCs w:val="22"/>
        </w:rPr>
      </w:pPr>
      <w:bookmarkStart w:id="3" w:name="_TT_HIDE_HIDDEN_20"/>
      <w:bookmarkEnd w:id="2"/>
      <w:r w:rsidRPr="00325560">
        <w:rPr>
          <w:rFonts w:ascii="TimesNewRomanPSMT" w:hAnsi="TimesNewRomanPSMT"/>
          <w:i/>
          <w:sz w:val="22"/>
          <w:szCs w:val="22"/>
          <w:lang w:val="en-US"/>
        </w:rPr>
        <w:t>-</w:t>
      </w:r>
      <w:r w:rsidRPr="00325560">
        <w:rPr>
          <w:rFonts w:ascii="TimesNewRomanPSMT" w:hAnsi="TimesNewRomanPSMT"/>
          <w:i/>
          <w:sz w:val="22"/>
          <w:szCs w:val="22"/>
          <w:lang w:val="en-US"/>
        </w:rPr>
        <w:tab/>
        <w:t>intrinsically safe electric circuits;</w:t>
      </w:r>
    </w:p>
    <w:p w:rsidR="00325560" w:rsidRPr="00325560" w:rsidRDefault="00325560" w:rsidP="00E3657A">
      <w:pPr>
        <w:autoSpaceDE w:val="0"/>
        <w:autoSpaceDN w:val="0"/>
        <w:adjustRightInd w:val="0"/>
        <w:spacing w:before="60" w:after="0" w:line="240" w:lineRule="auto"/>
        <w:ind w:left="2127" w:right="1132" w:hanging="425"/>
        <w:jc w:val="both"/>
        <w:rPr>
          <w:rFonts w:ascii="TimesNewRomanPSMT" w:hAnsi="TimesNewRomanPSMT" w:cs="TimesNewRomanPSMT"/>
          <w:i/>
          <w:sz w:val="22"/>
          <w:szCs w:val="22"/>
        </w:rPr>
      </w:pPr>
      <w:bookmarkStart w:id="4" w:name="_TT_HIDE_HIDDEN_21"/>
      <w:bookmarkEnd w:id="3"/>
      <w:r w:rsidRPr="00325560">
        <w:rPr>
          <w:rFonts w:ascii="TimesNewRomanPSMT" w:hAnsi="TimesNewRomanPSMT"/>
          <w:i/>
          <w:sz w:val="22"/>
          <w:szCs w:val="22"/>
          <w:lang w:val="en-US"/>
        </w:rPr>
        <w:t>-</w:t>
      </w:r>
      <w:r w:rsidRPr="00325560">
        <w:rPr>
          <w:rFonts w:ascii="TimesNewRomanPSMT" w:hAnsi="TimesNewRomanPSMT"/>
          <w:i/>
          <w:sz w:val="22"/>
          <w:szCs w:val="22"/>
          <w:lang w:val="en-US"/>
        </w:rPr>
        <w:tab/>
        <w:t>electric cables for connecting signal lights or gangway lighting, provided the socket is permanently fitted to the vessel close to the signal mast or gangway;</w:t>
      </w:r>
    </w:p>
    <w:p w:rsidR="00325560" w:rsidRPr="00325560" w:rsidRDefault="00325560" w:rsidP="00E3657A">
      <w:pPr>
        <w:autoSpaceDE w:val="0"/>
        <w:autoSpaceDN w:val="0"/>
        <w:adjustRightInd w:val="0"/>
        <w:spacing w:before="60" w:after="0" w:line="240" w:lineRule="auto"/>
        <w:ind w:left="2127" w:right="1132" w:hanging="425"/>
        <w:jc w:val="both"/>
        <w:rPr>
          <w:rFonts w:ascii="TimesNewRomanPSMT" w:hAnsi="TimesNewRomanPSMT" w:cs="TimesNewRomanPSMT"/>
          <w:i/>
          <w:sz w:val="22"/>
          <w:szCs w:val="22"/>
        </w:rPr>
      </w:pPr>
      <w:bookmarkStart w:id="5" w:name="_TT_HIDE_HIDDEN_22"/>
      <w:bookmarkEnd w:id="4"/>
      <w:r w:rsidRPr="00325560">
        <w:rPr>
          <w:rFonts w:ascii="TimesNewRomanPSMT" w:hAnsi="TimesNewRomanPSMT"/>
          <w:i/>
          <w:sz w:val="22"/>
          <w:szCs w:val="22"/>
          <w:lang w:val="en-US"/>
        </w:rPr>
        <w:t>-</w:t>
      </w:r>
      <w:r w:rsidRPr="00325560">
        <w:rPr>
          <w:rFonts w:ascii="TimesNewRomanPSMT" w:hAnsi="TimesNewRomanPSMT"/>
          <w:i/>
          <w:sz w:val="22"/>
          <w:szCs w:val="22"/>
          <w:lang w:val="en-US"/>
        </w:rPr>
        <w:tab/>
        <w:t>electric cables for connecting submerged pumps on board oil separator vessels;</w:t>
      </w:r>
    </w:p>
    <w:bookmarkEnd w:id="5"/>
    <w:p w:rsidR="00325560" w:rsidRPr="00325560" w:rsidRDefault="00325560" w:rsidP="00E3657A">
      <w:pPr>
        <w:autoSpaceDE w:val="0"/>
        <w:autoSpaceDN w:val="0"/>
        <w:adjustRightInd w:val="0"/>
        <w:spacing w:before="60" w:after="0" w:line="240" w:lineRule="auto"/>
        <w:ind w:left="2127" w:right="1132" w:hanging="425"/>
        <w:jc w:val="both"/>
        <w:rPr>
          <w:rFonts w:ascii="TimesNewRomanPSMT" w:hAnsi="TimesNewRomanPSMT" w:cs="TimesNewRomanPSMT"/>
          <w:i/>
          <w:sz w:val="22"/>
          <w:szCs w:val="22"/>
          <w:u w:val="single"/>
        </w:rPr>
      </w:pPr>
      <w:r w:rsidRPr="00325560">
        <w:rPr>
          <w:rFonts w:ascii="TimesNewRomanPSMT" w:hAnsi="TimesNewRomanPSMT"/>
          <w:i/>
          <w:sz w:val="22"/>
          <w:szCs w:val="22"/>
          <w:u w:val="single"/>
        </w:rPr>
        <w:t xml:space="preserve">- </w:t>
      </w:r>
      <w:r>
        <w:rPr>
          <w:rFonts w:ascii="TimesNewRomanPSMT" w:hAnsi="TimesNewRomanPSMT"/>
          <w:i/>
          <w:sz w:val="22"/>
          <w:szCs w:val="22"/>
          <w:u w:val="single"/>
        </w:rPr>
        <w:tab/>
      </w:r>
      <w:r w:rsidRPr="00325560">
        <w:rPr>
          <w:rFonts w:ascii="TimesNewRomanPSMT" w:hAnsi="TimesNewRomanPSMT"/>
          <w:i/>
          <w:sz w:val="22"/>
          <w:szCs w:val="22"/>
          <w:u w:val="single"/>
        </w:rPr>
        <w:t>electric cables for connecting the vessel’s power network to a land-based power network if the vessel’s power network connection is located outside the cargo zone.</w:t>
      </w:r>
      <w:bookmarkStart w:id="6" w:name="_TT_HIDE_HIDDEN_23"/>
    </w:p>
    <w:p w:rsidR="00325560" w:rsidRPr="00325560" w:rsidRDefault="00325560" w:rsidP="00E3657A">
      <w:pPr>
        <w:spacing w:after="0" w:line="240" w:lineRule="auto"/>
        <w:ind w:right="1132" w:hanging="425"/>
        <w:rPr>
          <w:rFonts w:ascii="TimesNewRomanPSMT" w:hAnsi="TimesNewRomanPSMT" w:cs="TimesNewRomanPSMT"/>
          <w:i/>
          <w:sz w:val="22"/>
          <w:szCs w:val="22"/>
        </w:rPr>
      </w:pPr>
      <w:bookmarkStart w:id="7" w:name="_TT_HIDE_HIDDEN_24"/>
      <w:bookmarkEnd w:id="6"/>
    </w:p>
    <w:p w:rsidR="00325560" w:rsidRPr="00325560" w:rsidRDefault="00325560" w:rsidP="00E3657A">
      <w:pPr>
        <w:autoSpaceDE w:val="0"/>
        <w:autoSpaceDN w:val="0"/>
        <w:adjustRightInd w:val="0"/>
        <w:spacing w:after="0" w:line="240" w:lineRule="auto"/>
        <w:ind w:left="426" w:right="1132" w:hanging="425"/>
        <w:jc w:val="both"/>
        <w:rPr>
          <w:rFonts w:ascii="TimesNewRomanPSMT" w:hAnsi="TimesNewRomanPSMT" w:cs="TimesNewRomanPSMT"/>
          <w:i/>
          <w:sz w:val="22"/>
          <w:szCs w:val="22"/>
        </w:rPr>
      </w:pPr>
      <w:bookmarkStart w:id="8" w:name="_TT_HIDE_HIDDEN_25"/>
      <w:bookmarkEnd w:id="7"/>
    </w:p>
    <w:p w:rsidR="00325560" w:rsidRPr="00325560" w:rsidRDefault="00325560" w:rsidP="00E3657A">
      <w:pPr>
        <w:autoSpaceDE w:val="0"/>
        <w:autoSpaceDN w:val="0"/>
        <w:adjustRightInd w:val="0"/>
        <w:spacing w:after="0" w:line="240" w:lineRule="auto"/>
        <w:ind w:left="1701" w:right="1132" w:hanging="425"/>
        <w:jc w:val="both"/>
        <w:rPr>
          <w:rFonts w:ascii="TimesNewRomanPSMT" w:hAnsi="TimesNewRomanPSMT" w:cs="TimesNewRomanPSMT"/>
          <w:i/>
          <w:sz w:val="22"/>
          <w:szCs w:val="22"/>
        </w:rPr>
      </w:pPr>
      <w:bookmarkStart w:id="9" w:name="_TT_HIDE_HIDDEN_26"/>
      <w:bookmarkEnd w:id="8"/>
      <w:r w:rsidRPr="00325560">
        <w:rPr>
          <w:rFonts w:ascii="TimesNewRomanPSMT" w:hAnsi="TimesNewRomanPSMT"/>
          <w:i/>
          <w:sz w:val="22"/>
          <w:szCs w:val="22"/>
          <w:lang w:val="en-US"/>
        </w:rPr>
        <w:t>9.3.X.56.3</w:t>
      </w:r>
      <w:r w:rsidRPr="00325560">
        <w:rPr>
          <w:rFonts w:ascii="TimesNewRomanPSMT" w:hAnsi="TimesNewRomanPSMT"/>
          <w:i/>
          <w:sz w:val="22"/>
          <w:szCs w:val="22"/>
          <w:lang w:val="en-US"/>
        </w:rPr>
        <w:tab/>
        <w:t xml:space="preserve">Movable cables are prohibited in the cargo area, except </w:t>
      </w:r>
    </w:p>
    <w:p w:rsidR="00325560" w:rsidRPr="00325560" w:rsidRDefault="00325560" w:rsidP="00E3657A">
      <w:pPr>
        <w:autoSpaceDE w:val="0"/>
        <w:autoSpaceDN w:val="0"/>
        <w:adjustRightInd w:val="0"/>
        <w:spacing w:before="60" w:after="0" w:line="240" w:lineRule="auto"/>
        <w:ind w:left="2127" w:right="1132" w:hanging="425"/>
        <w:jc w:val="both"/>
        <w:rPr>
          <w:rFonts w:ascii="TimesNewRomanPSMT" w:hAnsi="TimesNewRomanPSMT" w:cs="TimesNewRomanPSMT"/>
          <w:i/>
          <w:sz w:val="22"/>
          <w:szCs w:val="22"/>
        </w:rPr>
      </w:pPr>
      <w:bookmarkStart w:id="10" w:name="_TT_HIDE_HIDDEN_27"/>
      <w:bookmarkEnd w:id="9"/>
      <w:r w:rsidRPr="00325560">
        <w:rPr>
          <w:rFonts w:ascii="TimesNewRomanPSMT" w:hAnsi="TimesNewRomanPSMT"/>
          <w:i/>
          <w:sz w:val="22"/>
          <w:szCs w:val="22"/>
          <w:lang w:val="en-US"/>
        </w:rPr>
        <w:t>-</w:t>
      </w:r>
      <w:r w:rsidRPr="00325560">
        <w:rPr>
          <w:rFonts w:ascii="TimesNewRomanPSMT" w:hAnsi="TimesNewRomanPSMT"/>
          <w:i/>
          <w:sz w:val="22"/>
          <w:szCs w:val="22"/>
          <w:lang w:val="en-US"/>
        </w:rPr>
        <w:tab/>
        <w:t>for intrinsically safe electric circuits</w:t>
      </w:r>
    </w:p>
    <w:p w:rsidR="00325560" w:rsidRPr="00325560" w:rsidRDefault="00325560" w:rsidP="00E3657A">
      <w:pPr>
        <w:autoSpaceDE w:val="0"/>
        <w:autoSpaceDN w:val="0"/>
        <w:adjustRightInd w:val="0"/>
        <w:spacing w:before="60" w:after="0" w:line="240" w:lineRule="auto"/>
        <w:ind w:left="2127" w:right="1132" w:hanging="425"/>
        <w:jc w:val="both"/>
        <w:rPr>
          <w:rFonts w:ascii="TimesNewRomanPSMT" w:hAnsi="TimesNewRomanPSMT" w:cs="TimesNewRomanPSMT"/>
          <w:i/>
          <w:sz w:val="22"/>
          <w:szCs w:val="22"/>
        </w:rPr>
      </w:pPr>
      <w:bookmarkStart w:id="11" w:name="_TT_HIDE_HIDDEN_28"/>
      <w:bookmarkEnd w:id="10"/>
      <w:r w:rsidRPr="00325560">
        <w:rPr>
          <w:rFonts w:ascii="TimesNewRomanPSMT" w:hAnsi="TimesNewRomanPSMT"/>
          <w:i/>
          <w:sz w:val="22"/>
          <w:szCs w:val="22"/>
          <w:lang w:val="en-US"/>
        </w:rPr>
        <w:t>-</w:t>
      </w:r>
      <w:r w:rsidRPr="00325560">
        <w:rPr>
          <w:rFonts w:ascii="TimesNewRomanPSMT" w:hAnsi="TimesNewRomanPSMT"/>
          <w:i/>
          <w:sz w:val="22"/>
          <w:szCs w:val="22"/>
          <w:lang w:val="en-US"/>
        </w:rPr>
        <w:tab/>
        <w:t>for the supply of signal lights and gangway lighting</w:t>
      </w:r>
    </w:p>
    <w:bookmarkEnd w:id="11"/>
    <w:p w:rsidR="00325560" w:rsidRPr="00325560" w:rsidRDefault="00325560" w:rsidP="00E3657A">
      <w:pPr>
        <w:autoSpaceDE w:val="0"/>
        <w:autoSpaceDN w:val="0"/>
        <w:adjustRightInd w:val="0"/>
        <w:spacing w:before="60" w:after="0" w:line="240" w:lineRule="auto"/>
        <w:ind w:left="2127" w:right="1132" w:hanging="425"/>
        <w:jc w:val="both"/>
        <w:rPr>
          <w:rFonts w:ascii="TimesNewRomanPSMT" w:hAnsi="TimesNewRomanPSMT" w:cs="TimesNewRomanPSMT"/>
          <w:sz w:val="22"/>
          <w:szCs w:val="22"/>
          <w:u w:val="single"/>
        </w:rPr>
      </w:pPr>
      <w:r w:rsidRPr="00325560">
        <w:rPr>
          <w:rFonts w:ascii="TimesNewRomanPSMT" w:hAnsi="TimesNewRomanPSMT"/>
          <w:i/>
          <w:sz w:val="22"/>
          <w:szCs w:val="22"/>
          <w:u w:val="single"/>
        </w:rPr>
        <w:t xml:space="preserve">- </w:t>
      </w:r>
      <w:r>
        <w:rPr>
          <w:rFonts w:ascii="TimesNewRomanPSMT" w:hAnsi="TimesNewRomanPSMT"/>
          <w:i/>
          <w:sz w:val="22"/>
          <w:szCs w:val="22"/>
          <w:u w:val="single"/>
        </w:rPr>
        <w:tab/>
      </w:r>
      <w:r w:rsidRPr="00325560">
        <w:rPr>
          <w:rFonts w:ascii="TimesNewRomanPSMT" w:hAnsi="TimesNewRomanPSMT"/>
          <w:i/>
          <w:sz w:val="22"/>
          <w:szCs w:val="22"/>
          <w:u w:val="single"/>
        </w:rPr>
        <w:t>for connecting the vessel’s power network to a land-based power network.”</w:t>
      </w:r>
      <w:bookmarkStart w:id="12" w:name="_TT_HIDE_HIDDEN_29"/>
    </w:p>
    <w:p w:rsidR="00325560" w:rsidRPr="00325560" w:rsidRDefault="00325560" w:rsidP="00325560">
      <w:pPr>
        <w:suppressAutoHyphens/>
        <w:spacing w:after="0" w:line="240" w:lineRule="atLeast"/>
        <w:ind w:left="426" w:hanging="426"/>
        <w:jc w:val="both"/>
        <w:rPr>
          <w:color w:val="00000A"/>
          <w:kern w:val="2"/>
          <w:u w:val="single"/>
        </w:rPr>
      </w:pPr>
      <w:bookmarkStart w:id="13" w:name="_TT_HIDE_HIDDEN_30"/>
      <w:bookmarkEnd w:id="12"/>
    </w:p>
    <w:bookmarkEnd w:id="13"/>
    <w:p w:rsidR="00325560" w:rsidRPr="00325560" w:rsidRDefault="00325560" w:rsidP="00E3657A">
      <w:pPr>
        <w:pStyle w:val="SingleTxtG"/>
        <w:numPr>
          <w:ilvl w:val="0"/>
          <w:numId w:val="46"/>
        </w:numPr>
        <w:tabs>
          <w:tab w:val="left" w:pos="1701"/>
        </w:tabs>
        <w:ind w:left="1134" w:firstLine="0"/>
      </w:pPr>
      <w:r w:rsidRPr="00325560">
        <w:t>This proposal was discussed informally with a number of experts. This generated the following points for discussion:</w:t>
      </w:r>
    </w:p>
    <w:p w:rsidR="00325560" w:rsidRPr="00325560" w:rsidRDefault="00E3657A" w:rsidP="00E3657A">
      <w:pPr>
        <w:pStyle w:val="SingleTxtG"/>
        <w:tabs>
          <w:tab w:val="left" w:pos="1701"/>
        </w:tabs>
      </w:pPr>
      <w:r>
        <w:tab/>
      </w:r>
      <w:r w:rsidR="00325560" w:rsidRPr="00325560">
        <w:t>a)</w:t>
      </w:r>
      <w:r w:rsidR="00325560" w:rsidRPr="00325560">
        <w:tab/>
        <w:t>The current strength on the connecting cable between the vessel’s power network and the land-based power network is greater than on the cable for connecting the signal lights. The risks are thus not identical.</w:t>
      </w:r>
    </w:p>
    <w:p w:rsidR="00325560" w:rsidRPr="00325560" w:rsidRDefault="00E3657A" w:rsidP="00E3657A">
      <w:pPr>
        <w:pStyle w:val="SingleTxtG"/>
        <w:tabs>
          <w:tab w:val="left" w:pos="1701"/>
        </w:tabs>
      </w:pPr>
      <w:r>
        <w:tab/>
      </w:r>
      <w:r w:rsidR="00325560" w:rsidRPr="00325560">
        <w:t>b)</w:t>
      </w:r>
      <w:r w:rsidR="00325560" w:rsidRPr="00325560">
        <w:tab/>
        <w:t>If the connection to the land-based power network is defined in a binding manner, this will in future require more frequent handling of the connecting cable between the vessel’s power network and the land-based power network. In the process, the cable could be laid over edges and damaged.</w:t>
      </w:r>
    </w:p>
    <w:p w:rsidR="00325560" w:rsidRPr="00325560" w:rsidRDefault="00E3657A" w:rsidP="00E3657A">
      <w:pPr>
        <w:pStyle w:val="SingleTxtG"/>
        <w:tabs>
          <w:tab w:val="left" w:pos="1701"/>
        </w:tabs>
      </w:pPr>
      <w:r>
        <w:tab/>
      </w:r>
      <w:r w:rsidR="00325560" w:rsidRPr="00325560">
        <w:t>c)</w:t>
      </w:r>
      <w:r w:rsidR="00325560" w:rsidRPr="00325560">
        <w:tab/>
        <w:t>The cable is to be stored such that it does not impede loading and unloading and is not damaged during these activities.</w:t>
      </w:r>
    </w:p>
    <w:p w:rsidR="00325560" w:rsidRPr="00325560" w:rsidRDefault="00E3657A" w:rsidP="00E3657A">
      <w:pPr>
        <w:pStyle w:val="SingleTxtG"/>
        <w:tabs>
          <w:tab w:val="left" w:pos="1701"/>
        </w:tabs>
      </w:pPr>
      <w:r>
        <w:tab/>
      </w:r>
      <w:r w:rsidR="00325560" w:rsidRPr="00325560">
        <w:t>d)</w:t>
      </w:r>
      <w:r w:rsidR="00325560" w:rsidRPr="00325560">
        <w:tab/>
        <w:t>The cable first needs to be connected with the land-based power connection and the on-board power connection. Power can then be applied to it.</w:t>
      </w:r>
    </w:p>
    <w:p w:rsidR="00325560" w:rsidRPr="00325560" w:rsidRDefault="00E3657A" w:rsidP="00E3657A">
      <w:pPr>
        <w:pStyle w:val="SingleTxtG"/>
        <w:tabs>
          <w:tab w:val="left" w:pos="1701"/>
        </w:tabs>
      </w:pPr>
      <w:r>
        <w:tab/>
      </w:r>
      <w:r w:rsidR="00325560" w:rsidRPr="00325560">
        <w:t>e)</w:t>
      </w:r>
      <w:r w:rsidR="00325560" w:rsidRPr="00325560">
        <w:tab/>
        <w:t>It would be desirable for the same regulations to apply to all vessels (i.e. irrespective of whether they are carrying dangerous goods or not) failing which applying the regulations would become more complex, potentially giving rise to misunderstandings.</w:t>
      </w:r>
    </w:p>
    <w:p w:rsidR="00325560" w:rsidRPr="00325560" w:rsidRDefault="00325560" w:rsidP="00E3657A">
      <w:pPr>
        <w:pStyle w:val="SingleTxtG"/>
        <w:numPr>
          <w:ilvl w:val="0"/>
          <w:numId w:val="46"/>
        </w:numPr>
        <w:tabs>
          <w:tab w:val="left" w:pos="1701"/>
        </w:tabs>
        <w:ind w:left="1134" w:firstLine="0"/>
      </w:pPr>
      <w:r w:rsidRPr="00325560">
        <w:lastRenderedPageBreak/>
        <w:t>Concerning the timetable, it should be noted that the new edition of the ADN will be published on 1</w:t>
      </w:r>
      <w:r w:rsidRPr="00E3657A">
        <w:t>st</w:t>
      </w:r>
      <w:r w:rsidR="006E3CBA" w:rsidRPr="00E3657A">
        <w:t> </w:t>
      </w:r>
      <w:r w:rsidRPr="00325560">
        <w:t>January 2019.</w:t>
      </w:r>
    </w:p>
    <w:p w:rsidR="00325560" w:rsidRPr="00325560" w:rsidRDefault="00325560" w:rsidP="00E3657A">
      <w:pPr>
        <w:pStyle w:val="SingleTxtG"/>
        <w:tabs>
          <w:tab w:val="left" w:pos="1701"/>
        </w:tabs>
      </w:pPr>
      <w:r w:rsidRPr="00325560">
        <w:t>This timetable would be consistent with the adoption in December 2017 of a CCNR resolution amending the RPR. This resolution could come into force on 1</w:t>
      </w:r>
      <w:r w:rsidRPr="00325560">
        <w:rPr>
          <w:vertAlign w:val="superscript"/>
        </w:rPr>
        <w:t xml:space="preserve">st </w:t>
      </w:r>
      <w:r w:rsidRPr="00325560">
        <w:t>December 2018.</w:t>
      </w:r>
    </w:p>
    <w:p w:rsidR="00325560" w:rsidRPr="00325560" w:rsidRDefault="00E3657A" w:rsidP="00E3657A">
      <w:pPr>
        <w:pStyle w:val="HChG"/>
        <w:rPr>
          <w:b w:val="0"/>
          <w:color w:val="00000A"/>
          <w:kern w:val="2"/>
          <w:szCs w:val="28"/>
        </w:rPr>
      </w:pPr>
      <w:r w:rsidRPr="00E3657A">
        <w:tab/>
      </w:r>
      <w:r w:rsidRPr="00E3657A">
        <w:tab/>
      </w:r>
      <w:r w:rsidR="00325560" w:rsidRPr="00E3657A">
        <w:rPr>
          <w:lang w:val="fr-CH"/>
        </w:rPr>
        <w:t>Proposal</w:t>
      </w:r>
    </w:p>
    <w:p w:rsidR="00582954" w:rsidRDefault="00325560" w:rsidP="00E3657A">
      <w:pPr>
        <w:pStyle w:val="SingleTxtG"/>
        <w:numPr>
          <w:ilvl w:val="0"/>
          <w:numId w:val="46"/>
        </w:numPr>
        <w:tabs>
          <w:tab w:val="left" w:pos="1701"/>
        </w:tabs>
        <w:ind w:left="1134" w:firstLine="0"/>
      </w:pPr>
      <w:r w:rsidRPr="00325560">
        <w:t>The safety committee could verify whether the amendments to the ADN on the use of the land-based power network by vessels subject to the ADN are adequate or whether additional regulations are required.</w:t>
      </w:r>
    </w:p>
    <w:p w:rsidR="00E3657A" w:rsidRPr="00E3657A" w:rsidRDefault="00E3657A" w:rsidP="00E3657A">
      <w:pPr>
        <w:pStyle w:val="SingleTxtG"/>
        <w:tabs>
          <w:tab w:val="left" w:pos="1701"/>
        </w:tabs>
        <w:spacing w:before="240" w:after="0"/>
        <w:jc w:val="center"/>
        <w:rPr>
          <w:u w:val="single"/>
        </w:rPr>
      </w:pPr>
      <w:r>
        <w:rPr>
          <w:u w:val="single"/>
        </w:rPr>
        <w:tab/>
      </w:r>
      <w:r>
        <w:rPr>
          <w:u w:val="single"/>
        </w:rPr>
        <w:tab/>
      </w:r>
      <w:r>
        <w:rPr>
          <w:u w:val="single"/>
        </w:rPr>
        <w:tab/>
      </w:r>
    </w:p>
    <w:sectPr w:rsidR="00E3657A" w:rsidRPr="00E3657A" w:rsidSect="00840CAD">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CA2" w:rsidRDefault="00F77CA2">
      <w:pPr>
        <w:spacing w:after="0" w:line="240" w:lineRule="auto"/>
        <w:rPr>
          <w:rFonts w:cs="Times New Roman"/>
          <w:szCs w:val="24"/>
        </w:rPr>
      </w:pPr>
      <w:r>
        <w:rPr>
          <w:rFonts w:cs="Times New Roman"/>
          <w:szCs w:val="24"/>
        </w:rPr>
        <w:separator/>
      </w:r>
    </w:p>
  </w:endnote>
  <w:endnote w:type="continuationSeparator" w:id="0">
    <w:p w:rsidR="00F77CA2" w:rsidRDefault="00F77CA2">
      <w:pPr>
        <w:spacing w:after="0" w:line="240" w:lineRule="auto"/>
        <w:rPr>
          <w:rFonts w:cs="Times New Roman"/>
          <w:szCs w:val="24"/>
        </w:rPr>
      </w:pPr>
      <w:r>
        <w:rPr>
          <w:rFonts w:cs="Times New Roman"/>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imes New Roman"/>
        <w:sz w:val="24"/>
        <w:szCs w:val="24"/>
        <w:lang w:eastAsia="en-GB"/>
      </w:rPr>
      <w:id w:val="338663157"/>
      <w:docPartObj>
        <w:docPartGallery w:val="Page Numbers (Bottom of Page)"/>
        <w:docPartUnique/>
      </w:docPartObj>
    </w:sdtPr>
    <w:sdtEndPr>
      <w:rPr>
        <w:rFonts w:ascii="Times New Roman" w:hAnsi="Times New Roman"/>
        <w:b/>
        <w:noProof/>
        <w:sz w:val="18"/>
        <w:szCs w:val="18"/>
      </w:rPr>
    </w:sdtEndPr>
    <w:sdtContent>
      <w:p w:rsidR="00840CAD" w:rsidRPr="00840CAD" w:rsidRDefault="00840CAD" w:rsidP="00840CAD">
        <w:pPr>
          <w:tabs>
            <w:tab w:val="center" w:pos="4536"/>
            <w:tab w:val="right" w:pos="9072"/>
          </w:tabs>
          <w:spacing w:after="0" w:line="240" w:lineRule="auto"/>
          <w:rPr>
            <w:rFonts w:ascii="Times New Roman" w:hAnsi="Times New Roman" w:cs="Times New Roman"/>
            <w:b/>
            <w:sz w:val="18"/>
            <w:szCs w:val="18"/>
            <w:lang w:eastAsia="en-GB"/>
          </w:rPr>
        </w:pPr>
        <w:r w:rsidRPr="00BD48FE">
          <w:rPr>
            <w:rFonts w:ascii="Times New Roman" w:hAnsi="Times New Roman" w:cs="Times New Roman"/>
            <w:b/>
            <w:sz w:val="18"/>
            <w:szCs w:val="18"/>
            <w:lang w:eastAsia="en-GB"/>
          </w:rPr>
          <w:fldChar w:fldCharType="begin"/>
        </w:r>
        <w:r w:rsidRPr="00BD48FE">
          <w:rPr>
            <w:rFonts w:ascii="Times New Roman" w:hAnsi="Times New Roman" w:cs="Times New Roman"/>
            <w:b/>
            <w:sz w:val="18"/>
            <w:szCs w:val="18"/>
            <w:lang w:eastAsia="en-GB"/>
          </w:rPr>
          <w:instrText xml:space="preserve"> PAGE   \* MERGEFORMAT </w:instrText>
        </w:r>
        <w:r w:rsidRPr="00BD48FE">
          <w:rPr>
            <w:rFonts w:ascii="Times New Roman" w:hAnsi="Times New Roman" w:cs="Times New Roman"/>
            <w:b/>
            <w:sz w:val="18"/>
            <w:szCs w:val="18"/>
            <w:lang w:eastAsia="en-GB"/>
          </w:rPr>
          <w:fldChar w:fldCharType="separate"/>
        </w:r>
        <w:r w:rsidR="00717A1F">
          <w:rPr>
            <w:rFonts w:ascii="Times New Roman" w:hAnsi="Times New Roman" w:cs="Times New Roman"/>
            <w:b/>
            <w:noProof/>
            <w:sz w:val="18"/>
            <w:szCs w:val="18"/>
            <w:lang w:eastAsia="en-GB"/>
          </w:rPr>
          <w:t>2</w:t>
        </w:r>
        <w:r w:rsidRPr="00BD48FE">
          <w:rPr>
            <w:rFonts w:ascii="Times New Roman" w:hAnsi="Times New Roman" w:cs="Times New Roman"/>
            <w:b/>
            <w:noProof/>
            <w:sz w:val="18"/>
            <w:szCs w:val="18"/>
            <w:lang w:eastAsia="en-GB"/>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imes New Roman"/>
        <w:sz w:val="24"/>
        <w:szCs w:val="24"/>
        <w:lang w:eastAsia="en-GB"/>
      </w:rPr>
      <w:id w:val="-983001661"/>
      <w:docPartObj>
        <w:docPartGallery w:val="Page Numbers (Bottom of Page)"/>
        <w:docPartUnique/>
      </w:docPartObj>
    </w:sdtPr>
    <w:sdtEndPr>
      <w:rPr>
        <w:rFonts w:ascii="Times New Roman" w:hAnsi="Times New Roman"/>
        <w:b/>
        <w:noProof/>
        <w:sz w:val="18"/>
        <w:szCs w:val="18"/>
      </w:rPr>
    </w:sdtEndPr>
    <w:sdtContent>
      <w:p w:rsidR="00CD4056" w:rsidRPr="00840CAD" w:rsidRDefault="00840CAD" w:rsidP="00840CAD">
        <w:pPr>
          <w:tabs>
            <w:tab w:val="center" w:pos="4536"/>
            <w:tab w:val="right" w:pos="9072"/>
          </w:tabs>
          <w:spacing w:after="0" w:line="240" w:lineRule="auto"/>
          <w:jc w:val="right"/>
          <w:rPr>
            <w:rFonts w:ascii="Times New Roman" w:hAnsi="Times New Roman" w:cs="Times New Roman"/>
            <w:b/>
            <w:sz w:val="18"/>
            <w:szCs w:val="18"/>
            <w:lang w:eastAsia="en-GB"/>
          </w:rPr>
        </w:pPr>
        <w:r w:rsidRPr="00BD48FE">
          <w:rPr>
            <w:rFonts w:ascii="Times New Roman" w:hAnsi="Times New Roman" w:cs="Times New Roman"/>
            <w:b/>
            <w:sz w:val="18"/>
            <w:szCs w:val="18"/>
            <w:lang w:eastAsia="en-GB"/>
          </w:rPr>
          <w:fldChar w:fldCharType="begin"/>
        </w:r>
        <w:r w:rsidRPr="00BD48FE">
          <w:rPr>
            <w:rFonts w:ascii="Times New Roman" w:hAnsi="Times New Roman" w:cs="Times New Roman"/>
            <w:b/>
            <w:sz w:val="18"/>
            <w:szCs w:val="18"/>
            <w:lang w:eastAsia="en-GB"/>
          </w:rPr>
          <w:instrText xml:space="preserve"> PAGE   \* MERGEFORMAT </w:instrText>
        </w:r>
        <w:r w:rsidRPr="00BD48FE">
          <w:rPr>
            <w:rFonts w:ascii="Times New Roman" w:hAnsi="Times New Roman" w:cs="Times New Roman"/>
            <w:b/>
            <w:sz w:val="18"/>
            <w:szCs w:val="18"/>
            <w:lang w:eastAsia="en-GB"/>
          </w:rPr>
          <w:fldChar w:fldCharType="separate"/>
        </w:r>
        <w:r w:rsidR="00717A1F">
          <w:rPr>
            <w:rFonts w:ascii="Times New Roman" w:hAnsi="Times New Roman" w:cs="Times New Roman"/>
            <w:b/>
            <w:noProof/>
            <w:sz w:val="18"/>
            <w:szCs w:val="18"/>
            <w:lang w:eastAsia="en-GB"/>
          </w:rPr>
          <w:t>3</w:t>
        </w:r>
        <w:r w:rsidRPr="00BD48FE">
          <w:rPr>
            <w:rFonts w:ascii="Times New Roman" w:hAnsi="Times New Roman" w:cs="Times New Roman"/>
            <w:b/>
            <w:noProof/>
            <w:sz w:val="18"/>
            <w:szCs w:val="18"/>
            <w:lang w:eastAsia="en-GB"/>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imes New Roman"/>
        <w:sz w:val="24"/>
        <w:szCs w:val="24"/>
        <w:lang w:eastAsia="en-GB"/>
      </w:rPr>
      <w:id w:val="1385753909"/>
      <w:docPartObj>
        <w:docPartGallery w:val="Page Numbers (Bottom of Page)"/>
        <w:docPartUnique/>
      </w:docPartObj>
    </w:sdtPr>
    <w:sdtEndPr>
      <w:rPr>
        <w:rFonts w:ascii="Times New Roman" w:hAnsi="Times New Roman"/>
        <w:b/>
        <w:noProof/>
        <w:sz w:val="18"/>
        <w:szCs w:val="18"/>
      </w:rPr>
    </w:sdtEndPr>
    <w:sdtContent>
      <w:p w:rsidR="00840CAD" w:rsidRPr="00840CAD" w:rsidRDefault="00840CAD" w:rsidP="00840CAD">
        <w:pPr>
          <w:tabs>
            <w:tab w:val="center" w:pos="4536"/>
            <w:tab w:val="right" w:pos="9072"/>
          </w:tabs>
          <w:spacing w:after="0" w:line="240" w:lineRule="auto"/>
          <w:jc w:val="right"/>
          <w:rPr>
            <w:rFonts w:ascii="Times New Roman" w:hAnsi="Times New Roman" w:cs="Times New Roman"/>
            <w:b/>
            <w:sz w:val="18"/>
            <w:szCs w:val="18"/>
            <w:lang w:eastAsia="en-GB"/>
          </w:rPr>
        </w:pPr>
        <w:r w:rsidRPr="00BD48FE">
          <w:rPr>
            <w:rFonts w:ascii="Times New Roman" w:hAnsi="Times New Roman" w:cs="Times New Roman"/>
            <w:b/>
            <w:sz w:val="18"/>
            <w:szCs w:val="18"/>
            <w:lang w:eastAsia="en-GB"/>
          </w:rPr>
          <w:fldChar w:fldCharType="begin"/>
        </w:r>
        <w:r w:rsidRPr="00BD48FE">
          <w:rPr>
            <w:rFonts w:ascii="Times New Roman" w:hAnsi="Times New Roman" w:cs="Times New Roman"/>
            <w:b/>
            <w:sz w:val="18"/>
            <w:szCs w:val="18"/>
            <w:lang w:eastAsia="en-GB"/>
          </w:rPr>
          <w:instrText xml:space="preserve"> PAGE   \* MERGEFORMAT </w:instrText>
        </w:r>
        <w:r w:rsidRPr="00BD48FE">
          <w:rPr>
            <w:rFonts w:ascii="Times New Roman" w:hAnsi="Times New Roman" w:cs="Times New Roman"/>
            <w:b/>
            <w:sz w:val="18"/>
            <w:szCs w:val="18"/>
            <w:lang w:eastAsia="en-GB"/>
          </w:rPr>
          <w:fldChar w:fldCharType="separate"/>
        </w:r>
        <w:r w:rsidR="00717A1F">
          <w:rPr>
            <w:rFonts w:ascii="Times New Roman" w:hAnsi="Times New Roman" w:cs="Times New Roman"/>
            <w:b/>
            <w:noProof/>
            <w:sz w:val="18"/>
            <w:szCs w:val="18"/>
            <w:lang w:eastAsia="en-GB"/>
          </w:rPr>
          <w:t>1</w:t>
        </w:r>
        <w:r w:rsidRPr="00BD48FE">
          <w:rPr>
            <w:rFonts w:ascii="Times New Roman" w:hAnsi="Times New Roman" w:cs="Times New Roman"/>
            <w:b/>
            <w:noProof/>
            <w:sz w:val="18"/>
            <w:szCs w:val="18"/>
            <w:lang w:eastAsia="en-G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CA2" w:rsidRDefault="00F77CA2">
      <w:pPr>
        <w:spacing w:after="0" w:line="240" w:lineRule="auto"/>
        <w:rPr>
          <w:rFonts w:cs="Times New Roman"/>
          <w:szCs w:val="24"/>
        </w:rPr>
      </w:pPr>
      <w:r>
        <w:rPr>
          <w:rFonts w:cs="Times New Roman"/>
          <w:szCs w:val="24"/>
        </w:rPr>
        <w:separator/>
      </w:r>
    </w:p>
  </w:footnote>
  <w:footnote w:type="continuationSeparator" w:id="0">
    <w:p w:rsidR="00F77CA2" w:rsidRDefault="00F77CA2">
      <w:pPr>
        <w:spacing w:after="0" w:line="240" w:lineRule="auto"/>
        <w:rPr>
          <w:rFonts w:cs="Times New Roman"/>
          <w:szCs w:val="24"/>
        </w:rPr>
      </w:pPr>
      <w:r>
        <w:rPr>
          <w:rFonts w:cs="Times New Roman"/>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CAD" w:rsidRPr="00840CAD" w:rsidRDefault="00840CAD" w:rsidP="00840CAD">
    <w:pPr>
      <w:pBdr>
        <w:bottom w:val="single" w:sz="4" w:space="4" w:color="auto"/>
      </w:pBdr>
      <w:suppressAutoHyphens/>
      <w:spacing w:after="0" w:line="240" w:lineRule="auto"/>
      <w:rPr>
        <w:rFonts w:ascii="Times New Roman" w:hAnsi="Times New Roman" w:cs="Times New Roman"/>
        <w:b/>
        <w:sz w:val="18"/>
        <w:lang w:eastAsia="en-US"/>
      </w:rPr>
    </w:pPr>
    <w:r w:rsidRPr="00BD48FE">
      <w:rPr>
        <w:rFonts w:ascii="Times New Roman" w:hAnsi="Times New Roman" w:cs="Times New Roman"/>
        <w:b/>
        <w:sz w:val="18"/>
        <w:lang w:eastAsia="en-US"/>
      </w:rPr>
      <w:t>INF.</w:t>
    </w:r>
    <w:r>
      <w:rPr>
        <w:rFonts w:ascii="Times New Roman" w:hAnsi="Times New Roman" w:cs="Times New Roman"/>
        <w:b/>
        <w:sz w:val="18"/>
        <w:lang w:eastAsia="en-US"/>
      </w:rPr>
      <w:t>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056" w:rsidRPr="00840CAD" w:rsidRDefault="00840CAD" w:rsidP="00840CAD">
    <w:pPr>
      <w:pBdr>
        <w:bottom w:val="single" w:sz="4" w:space="4" w:color="auto"/>
      </w:pBdr>
      <w:suppressAutoHyphens/>
      <w:spacing w:after="0" w:line="240" w:lineRule="auto"/>
      <w:jc w:val="right"/>
      <w:rPr>
        <w:rFonts w:ascii="Times New Roman" w:hAnsi="Times New Roman" w:cs="Times New Roman"/>
        <w:b/>
        <w:sz w:val="18"/>
        <w:lang w:eastAsia="en-US"/>
      </w:rPr>
    </w:pPr>
    <w:r w:rsidRPr="00BD48FE">
      <w:rPr>
        <w:rFonts w:ascii="Times New Roman" w:hAnsi="Times New Roman" w:cs="Times New Roman"/>
        <w:b/>
        <w:sz w:val="18"/>
        <w:lang w:eastAsia="en-US"/>
      </w:rPr>
      <w:t>INF.</w:t>
    </w:r>
    <w:r>
      <w:rPr>
        <w:rFonts w:ascii="Times New Roman" w:hAnsi="Times New Roman" w:cs="Times New Roman"/>
        <w:b/>
        <w:sz w:val="18"/>
        <w:lang w:eastAsia="en-US"/>
      </w:rPr>
      <w:t>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DB03EE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E9691F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F5AF07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89C832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FAC69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4032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3669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3227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A6563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1F439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118D6"/>
    <w:multiLevelType w:val="hybridMultilevel"/>
    <w:tmpl w:val="24ECC88C"/>
    <w:lvl w:ilvl="0" w:tplc="2F0EB9A2">
      <w:start w:val="1"/>
      <w:numFmt w:val="lowerLetter"/>
      <w:lvlText w:val="%1)"/>
      <w:lvlJc w:val="left"/>
      <w:pPr>
        <w:tabs>
          <w:tab w:val="num" w:pos="1980"/>
        </w:tabs>
        <w:ind w:left="19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8DD6C3A"/>
    <w:multiLevelType w:val="hybridMultilevel"/>
    <w:tmpl w:val="7AA21538"/>
    <w:lvl w:ilvl="0" w:tplc="EFF8BFE0">
      <w:start w:val="1"/>
      <w:numFmt w:val="decimal"/>
      <w:lvlText w:val="%1."/>
      <w:lvlJc w:val="left"/>
      <w:pPr>
        <w:tabs>
          <w:tab w:val="num" w:pos="357"/>
        </w:tabs>
        <w:ind w:left="357" w:hanging="357"/>
      </w:pPr>
      <w:rPr>
        <w:rFonts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A1B0282"/>
    <w:multiLevelType w:val="hybridMultilevel"/>
    <w:tmpl w:val="C22242FC"/>
    <w:lvl w:ilvl="0" w:tplc="EFF8BFE0">
      <w:start w:val="1"/>
      <w:numFmt w:val="decimal"/>
      <w:lvlText w:val="%1."/>
      <w:lvlJc w:val="left"/>
      <w:pPr>
        <w:tabs>
          <w:tab w:val="num" w:pos="357"/>
        </w:tabs>
        <w:ind w:left="357" w:hanging="357"/>
      </w:pPr>
      <w:rPr>
        <w:rFonts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083449C"/>
    <w:multiLevelType w:val="hybridMultilevel"/>
    <w:tmpl w:val="A8AA2B94"/>
    <w:lvl w:ilvl="0" w:tplc="9E00CBF8">
      <w:start w:val="1"/>
      <w:numFmt w:val="decimal"/>
      <w:lvlText w:val="%1."/>
      <w:lvlJc w:val="left"/>
      <w:pPr>
        <w:tabs>
          <w:tab w:val="num" w:pos="1080"/>
        </w:tabs>
        <w:ind w:left="1080" w:hanging="720"/>
      </w:pPr>
      <w:rPr>
        <w:rFonts w:eastAsia="Times New Roman"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12467EF"/>
    <w:multiLevelType w:val="singleLevel"/>
    <w:tmpl w:val="B2608910"/>
    <w:lvl w:ilvl="0">
      <w:start w:val="1"/>
      <w:numFmt w:val="lowerRoman"/>
      <w:lvlText w:val="(%1)"/>
      <w:lvlJc w:val="right"/>
      <w:pPr>
        <w:tabs>
          <w:tab w:val="num" w:pos="1440"/>
        </w:tabs>
        <w:ind w:left="1440" w:hanging="448"/>
      </w:pPr>
      <w:rPr>
        <w:rFonts w:ascii="Times New Roman" w:hAnsi="Times New Roman" w:cs="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35512CE"/>
    <w:multiLevelType w:val="hybridMultilevel"/>
    <w:tmpl w:val="5F3261B8"/>
    <w:lvl w:ilvl="0" w:tplc="EFF8BFE0">
      <w:start w:val="1"/>
      <w:numFmt w:val="decimal"/>
      <w:lvlText w:val="%1."/>
      <w:lvlJc w:val="left"/>
      <w:pPr>
        <w:tabs>
          <w:tab w:val="num" w:pos="357"/>
        </w:tabs>
        <w:ind w:left="357" w:hanging="357"/>
      </w:pPr>
      <w:rPr>
        <w:rFonts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3811E88"/>
    <w:multiLevelType w:val="hybridMultilevel"/>
    <w:tmpl w:val="0AE2EF4C"/>
    <w:lvl w:ilvl="0" w:tplc="EFF8BFE0">
      <w:start w:val="1"/>
      <w:numFmt w:val="decimal"/>
      <w:lvlText w:val="%1."/>
      <w:lvlJc w:val="left"/>
      <w:pPr>
        <w:tabs>
          <w:tab w:val="num" w:pos="357"/>
        </w:tabs>
        <w:ind w:left="357" w:hanging="357"/>
      </w:pPr>
      <w:rPr>
        <w:rFonts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38F2EDF"/>
    <w:multiLevelType w:val="hybridMultilevel"/>
    <w:tmpl w:val="CB3C325C"/>
    <w:lvl w:ilvl="0" w:tplc="EFF8BFE0">
      <w:start w:val="1"/>
      <w:numFmt w:val="decimal"/>
      <w:lvlText w:val="%1."/>
      <w:lvlJc w:val="left"/>
      <w:pPr>
        <w:tabs>
          <w:tab w:val="num" w:pos="357"/>
        </w:tabs>
        <w:ind w:left="357" w:hanging="357"/>
      </w:pPr>
      <w:rPr>
        <w:rFonts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3C67E19"/>
    <w:multiLevelType w:val="hybridMultilevel"/>
    <w:tmpl w:val="646AB27C"/>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5506B6B"/>
    <w:multiLevelType w:val="hybridMultilevel"/>
    <w:tmpl w:val="A87E7774"/>
    <w:lvl w:ilvl="0" w:tplc="9028E656">
      <w:start w:val="1"/>
      <w:numFmt w:val="decimal"/>
      <w:lvlText w:val="%1."/>
      <w:lvlJc w:val="left"/>
      <w:pPr>
        <w:tabs>
          <w:tab w:val="num" w:pos="360"/>
        </w:tabs>
        <w:ind w:left="360" w:hanging="360"/>
      </w:pPr>
      <w:rPr>
        <w:rFonts w:cs="Times New Roman" w:hint="default"/>
        <w:b w:val="0"/>
        <w:i w:val="0"/>
      </w:rPr>
    </w:lvl>
    <w:lvl w:ilvl="1" w:tplc="04090019">
      <w:start w:val="1"/>
      <w:numFmt w:val="lowerLetter"/>
      <w:lvlText w:val="(%2)"/>
      <w:lvlJc w:val="left"/>
      <w:pPr>
        <w:tabs>
          <w:tab w:val="num" w:pos="1080"/>
        </w:tabs>
        <w:ind w:left="1080" w:hanging="360"/>
      </w:pPr>
      <w:rPr>
        <w:rFonts w:cs="Times New Roman" w:hint="default"/>
      </w:rPr>
    </w:lvl>
    <w:lvl w:ilvl="2" w:tplc="2F0EB9A2">
      <w:start w:val="1"/>
      <w:numFmt w:val="lowerLetter"/>
      <w:lvlText w:val="%3)"/>
      <w:lvlJc w:val="left"/>
      <w:pPr>
        <w:tabs>
          <w:tab w:val="num" w:pos="1980"/>
        </w:tabs>
        <w:ind w:left="1980" w:hanging="36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57F110C"/>
    <w:multiLevelType w:val="hybridMultilevel"/>
    <w:tmpl w:val="EE549A74"/>
    <w:lvl w:ilvl="0" w:tplc="EFF8BFE0">
      <w:start w:val="1"/>
      <w:numFmt w:val="decimal"/>
      <w:lvlText w:val="%1."/>
      <w:lvlJc w:val="left"/>
      <w:pPr>
        <w:tabs>
          <w:tab w:val="num" w:pos="357"/>
        </w:tabs>
        <w:ind w:left="357" w:hanging="357"/>
      </w:pPr>
      <w:rPr>
        <w:rFonts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6A80D0B"/>
    <w:multiLevelType w:val="hybridMultilevel"/>
    <w:tmpl w:val="CBE23F08"/>
    <w:lvl w:ilvl="0" w:tplc="73D05154">
      <w:start w:val="1"/>
      <w:numFmt w:val="decimal"/>
      <w:lvlText w:val="%1."/>
      <w:lvlJc w:val="left"/>
      <w:pPr>
        <w:ind w:left="928" w:hanging="360"/>
      </w:pPr>
      <w:rPr>
        <w:rFonts w:ascii="Times New Roman" w:hAnsi="Times New Roman" w:cs="Arial" w:hint="default"/>
        <w:b w:val="0"/>
        <w:sz w:val="20"/>
        <w:lang w:val="fr-FR"/>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7BD7F5B"/>
    <w:multiLevelType w:val="hybridMultilevel"/>
    <w:tmpl w:val="4F64FFAE"/>
    <w:lvl w:ilvl="0" w:tplc="EFF8BFE0">
      <w:start w:val="1"/>
      <w:numFmt w:val="decimal"/>
      <w:lvlText w:val="%1."/>
      <w:lvlJc w:val="left"/>
      <w:pPr>
        <w:tabs>
          <w:tab w:val="num" w:pos="357"/>
        </w:tabs>
        <w:ind w:left="357" w:hanging="357"/>
      </w:pPr>
      <w:rPr>
        <w:rFonts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81E0775"/>
    <w:multiLevelType w:val="hybridMultilevel"/>
    <w:tmpl w:val="DB7E1A9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E951E01"/>
    <w:multiLevelType w:val="multilevel"/>
    <w:tmpl w:val="E454EA26"/>
    <w:name w:val="WfListTemplate1"/>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1E11345"/>
    <w:multiLevelType w:val="singleLevel"/>
    <w:tmpl w:val="C7EAD7E4"/>
    <w:lvl w:ilvl="0">
      <w:start w:val="1"/>
      <w:numFmt w:val="lowerRoman"/>
      <w:lvlText w:val="(%1)"/>
      <w:lvlJc w:val="left"/>
      <w:pPr>
        <w:ind w:left="1770" w:hanging="1245"/>
      </w:pPr>
      <w:rPr>
        <w:rFonts w:cs="Times New Roman"/>
      </w:rPr>
    </w:lvl>
  </w:abstractNum>
  <w:abstractNum w:abstractNumId="26" w15:restartNumberingAfterBreak="0">
    <w:nsid w:val="42975BD1"/>
    <w:multiLevelType w:val="hybridMultilevel"/>
    <w:tmpl w:val="C9ECD7D4"/>
    <w:lvl w:ilvl="0" w:tplc="39200B66">
      <w:start w:val="3"/>
      <w:numFmt w:val="bullet"/>
      <w:lvlText w:val="-"/>
      <w:lvlJc w:val="left"/>
      <w:pPr>
        <w:ind w:left="1211" w:hanging="360"/>
      </w:pPr>
      <w:rPr>
        <w:rFonts w:ascii="Arial" w:eastAsia="Times New Roman" w:hAnsi="Arial" w:cs="Aria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7" w15:restartNumberingAfterBreak="0">
    <w:nsid w:val="43457F4F"/>
    <w:multiLevelType w:val="hybridMultilevel"/>
    <w:tmpl w:val="020A9F72"/>
    <w:lvl w:ilvl="0" w:tplc="7D521FE2">
      <w:start w:val="1"/>
      <w:numFmt w:val="lowerLetter"/>
      <w:lvlText w:val="%1)"/>
      <w:lvlJc w:val="left"/>
      <w:pPr>
        <w:tabs>
          <w:tab w:val="num" w:pos="1440"/>
        </w:tabs>
        <w:ind w:left="1440" w:hanging="360"/>
      </w:pPr>
      <w:rPr>
        <w:rFonts w:ascii="Verdana" w:eastAsia="Times New Roman" w:hAnsi="Verdana" w:cs="Times New Roman"/>
      </w:rPr>
    </w:lvl>
    <w:lvl w:ilvl="1" w:tplc="0FB8865A">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9CB227C"/>
    <w:multiLevelType w:val="hybridMultilevel"/>
    <w:tmpl w:val="3B382874"/>
    <w:lvl w:ilvl="0" w:tplc="2F0EB9A2">
      <w:start w:val="1"/>
      <w:numFmt w:val="lowerLetter"/>
      <w:lvlText w:val="%1)"/>
      <w:lvlJc w:val="left"/>
      <w:pPr>
        <w:tabs>
          <w:tab w:val="num" w:pos="1980"/>
        </w:tabs>
        <w:ind w:left="19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B887575"/>
    <w:multiLevelType w:val="hybridMultilevel"/>
    <w:tmpl w:val="C284EF34"/>
    <w:lvl w:ilvl="0" w:tplc="FE9E99C0">
      <w:start w:val="1"/>
      <w:numFmt w:val="lowerLetter"/>
      <w:lvlText w:val="%1)"/>
      <w:lvlJc w:val="left"/>
      <w:pPr>
        <w:tabs>
          <w:tab w:val="num" w:pos="1633"/>
        </w:tabs>
        <w:ind w:left="1633" w:hanging="567"/>
      </w:pPr>
      <w:rPr>
        <w:rFonts w:cs="Times New Roman" w:hint="default"/>
        <w:b w:val="0"/>
        <w:i w:val="0"/>
        <w:sz w:val="24"/>
      </w:rPr>
    </w:lvl>
    <w:lvl w:ilvl="1" w:tplc="39DC3518">
      <w:start w:val="1"/>
      <w:numFmt w:val="decimal"/>
      <w:lvlText w:val="%2."/>
      <w:lvlJc w:val="left"/>
      <w:pPr>
        <w:tabs>
          <w:tab w:val="num" w:pos="1437"/>
        </w:tabs>
        <w:ind w:left="1437" w:hanging="357"/>
      </w:pPr>
      <w:rPr>
        <w:rFonts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BD9786A"/>
    <w:multiLevelType w:val="hybridMultilevel"/>
    <w:tmpl w:val="BDAE4F2C"/>
    <w:lvl w:ilvl="0" w:tplc="EFF8BFE0">
      <w:start w:val="1"/>
      <w:numFmt w:val="decimal"/>
      <w:lvlText w:val="%1."/>
      <w:lvlJc w:val="left"/>
      <w:pPr>
        <w:tabs>
          <w:tab w:val="num" w:pos="357"/>
        </w:tabs>
        <w:ind w:left="357" w:hanging="357"/>
      </w:pPr>
      <w:rPr>
        <w:rFonts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0DC3C53"/>
    <w:multiLevelType w:val="singleLevel"/>
    <w:tmpl w:val="2F262302"/>
    <w:lvl w:ilvl="0">
      <w:start w:val="1"/>
      <w:numFmt w:val="bullet"/>
      <w:lvlText w:val=""/>
      <w:lvlJc w:val="left"/>
      <w:pPr>
        <w:tabs>
          <w:tab w:val="num" w:pos="360"/>
        </w:tabs>
        <w:ind w:left="360" w:hanging="360"/>
      </w:pPr>
      <w:rPr>
        <w:rFonts w:ascii="Symbol" w:hAnsi="Symbol" w:hint="default"/>
        <w:sz w:val="16"/>
      </w:rPr>
    </w:lvl>
  </w:abstractNum>
  <w:abstractNum w:abstractNumId="32" w15:restartNumberingAfterBreak="0">
    <w:nsid w:val="52DA3AC6"/>
    <w:multiLevelType w:val="hybridMultilevel"/>
    <w:tmpl w:val="05280BCC"/>
    <w:lvl w:ilvl="0" w:tplc="EFF8BFE0">
      <w:start w:val="1"/>
      <w:numFmt w:val="decimal"/>
      <w:lvlText w:val="%1."/>
      <w:lvlJc w:val="left"/>
      <w:pPr>
        <w:tabs>
          <w:tab w:val="num" w:pos="357"/>
        </w:tabs>
        <w:ind w:left="357" w:hanging="357"/>
      </w:pPr>
      <w:rPr>
        <w:rFonts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4377B59"/>
    <w:multiLevelType w:val="hybridMultilevel"/>
    <w:tmpl w:val="52C81C10"/>
    <w:lvl w:ilvl="0" w:tplc="D97E6A66">
      <w:start w:val="3"/>
      <w:numFmt w:val="lowerLetter"/>
      <w:lvlText w:val="%1)"/>
      <w:lvlJc w:val="left"/>
      <w:pPr>
        <w:tabs>
          <w:tab w:val="num" w:pos="1137"/>
        </w:tabs>
        <w:ind w:left="1137" w:hanging="570"/>
      </w:pPr>
      <w:rPr>
        <w:rFonts w:cs="Times New Roman" w:hint="default"/>
        <w:color w:val="auto"/>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34" w15:restartNumberingAfterBreak="0">
    <w:nsid w:val="58824AF2"/>
    <w:multiLevelType w:val="hybridMultilevel"/>
    <w:tmpl w:val="E0246948"/>
    <w:lvl w:ilvl="0" w:tplc="EFF8BFE0">
      <w:start w:val="1"/>
      <w:numFmt w:val="decimal"/>
      <w:lvlText w:val="%1."/>
      <w:lvlJc w:val="left"/>
      <w:pPr>
        <w:tabs>
          <w:tab w:val="num" w:pos="357"/>
        </w:tabs>
        <w:ind w:left="357" w:hanging="357"/>
      </w:pPr>
      <w:rPr>
        <w:rFonts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BB87535"/>
    <w:multiLevelType w:val="hybridMultilevel"/>
    <w:tmpl w:val="344255F0"/>
    <w:lvl w:ilvl="0" w:tplc="B0CCF99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EF64EC2"/>
    <w:multiLevelType w:val="hybridMultilevel"/>
    <w:tmpl w:val="47B67E2A"/>
    <w:lvl w:ilvl="0" w:tplc="EFF8BFE0">
      <w:start w:val="1"/>
      <w:numFmt w:val="decimal"/>
      <w:lvlText w:val="%1."/>
      <w:lvlJc w:val="left"/>
      <w:pPr>
        <w:tabs>
          <w:tab w:val="num" w:pos="357"/>
        </w:tabs>
        <w:ind w:left="357" w:hanging="357"/>
      </w:pPr>
      <w:rPr>
        <w:rFonts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4960F82"/>
    <w:multiLevelType w:val="hybridMultilevel"/>
    <w:tmpl w:val="62A01F9E"/>
    <w:lvl w:ilvl="0" w:tplc="EFF8BFE0">
      <w:start w:val="1"/>
      <w:numFmt w:val="decimal"/>
      <w:lvlText w:val="%1."/>
      <w:lvlJc w:val="left"/>
      <w:pPr>
        <w:tabs>
          <w:tab w:val="num" w:pos="357"/>
        </w:tabs>
        <w:ind w:left="357" w:hanging="357"/>
      </w:pPr>
      <w:rPr>
        <w:rFonts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9256E62"/>
    <w:multiLevelType w:val="hybridMultilevel"/>
    <w:tmpl w:val="0EF88FF6"/>
    <w:lvl w:ilvl="0" w:tplc="9E00CBF8">
      <w:start w:val="1"/>
      <w:numFmt w:val="decimal"/>
      <w:lvlText w:val="%1."/>
      <w:lvlJc w:val="left"/>
      <w:pPr>
        <w:tabs>
          <w:tab w:val="num" w:pos="1080"/>
        </w:tabs>
        <w:ind w:left="1080" w:hanging="720"/>
      </w:pPr>
      <w:rPr>
        <w:rFonts w:eastAsia="Times New Roman"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C013796"/>
    <w:multiLevelType w:val="hybridMultilevel"/>
    <w:tmpl w:val="457E4758"/>
    <w:lvl w:ilvl="0" w:tplc="EFF8BFE0">
      <w:start w:val="1"/>
      <w:numFmt w:val="decimal"/>
      <w:lvlText w:val="%1."/>
      <w:lvlJc w:val="left"/>
      <w:pPr>
        <w:tabs>
          <w:tab w:val="num" w:pos="357"/>
        </w:tabs>
        <w:ind w:left="357" w:hanging="357"/>
      </w:pPr>
      <w:rPr>
        <w:rFonts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12C77D5"/>
    <w:multiLevelType w:val="hybridMultilevel"/>
    <w:tmpl w:val="D8086D64"/>
    <w:lvl w:ilvl="0" w:tplc="EFF8BFE0">
      <w:start w:val="1"/>
      <w:numFmt w:val="decimal"/>
      <w:lvlText w:val="%1."/>
      <w:lvlJc w:val="left"/>
      <w:pPr>
        <w:tabs>
          <w:tab w:val="num" w:pos="357"/>
        </w:tabs>
        <w:ind w:left="357" w:hanging="357"/>
      </w:pPr>
      <w:rPr>
        <w:rFonts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6EE6BDC"/>
    <w:multiLevelType w:val="hybridMultilevel"/>
    <w:tmpl w:val="3FA61766"/>
    <w:lvl w:ilvl="0" w:tplc="39DC3518">
      <w:start w:val="1"/>
      <w:numFmt w:val="decimal"/>
      <w:lvlText w:val="%1."/>
      <w:lvlJc w:val="left"/>
      <w:pPr>
        <w:tabs>
          <w:tab w:val="num" w:pos="357"/>
        </w:tabs>
        <w:ind w:left="357" w:hanging="357"/>
      </w:pPr>
      <w:rPr>
        <w:rFonts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702481B"/>
    <w:multiLevelType w:val="hybridMultilevel"/>
    <w:tmpl w:val="3E42E8AA"/>
    <w:lvl w:ilvl="0" w:tplc="F2183E90">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3" w15:restartNumberingAfterBreak="0">
    <w:nsid w:val="77A12541"/>
    <w:multiLevelType w:val="hybridMultilevel"/>
    <w:tmpl w:val="B43290BE"/>
    <w:lvl w:ilvl="0" w:tplc="9E00CBF8">
      <w:start w:val="1"/>
      <w:numFmt w:val="decimal"/>
      <w:lvlText w:val="%1."/>
      <w:lvlJc w:val="left"/>
      <w:pPr>
        <w:tabs>
          <w:tab w:val="num" w:pos="1080"/>
        </w:tabs>
        <w:ind w:left="1080" w:hanging="720"/>
      </w:pPr>
      <w:rPr>
        <w:rFonts w:eastAsia="Times New Roman"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FD73CDD"/>
    <w:multiLevelType w:val="hybridMultilevel"/>
    <w:tmpl w:val="40C2D794"/>
    <w:lvl w:ilvl="0" w:tplc="9E00CBF8">
      <w:start w:val="1"/>
      <w:numFmt w:val="decimal"/>
      <w:lvlText w:val="%1."/>
      <w:lvlJc w:val="left"/>
      <w:pPr>
        <w:tabs>
          <w:tab w:val="num" w:pos="1080"/>
        </w:tabs>
        <w:ind w:left="1080" w:hanging="720"/>
      </w:pPr>
      <w:rPr>
        <w:rFonts w:eastAsia="Times New Roman"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42"/>
  </w:num>
  <w:num w:numId="13">
    <w:abstractNumId w:val="19"/>
  </w:num>
  <w:num w:numId="14">
    <w:abstractNumId w:val="27"/>
  </w:num>
  <w:num w:numId="15">
    <w:abstractNumId w:val="38"/>
  </w:num>
  <w:num w:numId="16">
    <w:abstractNumId w:val="13"/>
  </w:num>
  <w:num w:numId="17">
    <w:abstractNumId w:val="28"/>
  </w:num>
  <w:num w:numId="18">
    <w:abstractNumId w:val="43"/>
  </w:num>
  <w:num w:numId="19">
    <w:abstractNumId w:val="44"/>
  </w:num>
  <w:num w:numId="20">
    <w:abstractNumId w:val="10"/>
  </w:num>
  <w:num w:numId="21">
    <w:abstractNumId w:val="31"/>
  </w:num>
  <w:num w:numId="22">
    <w:abstractNumId w:val="35"/>
  </w:num>
  <w:num w:numId="23">
    <w:abstractNumId w:val="40"/>
  </w:num>
  <w:num w:numId="24">
    <w:abstractNumId w:val="18"/>
  </w:num>
  <w:num w:numId="25">
    <w:abstractNumId w:val="39"/>
  </w:num>
  <w:num w:numId="26">
    <w:abstractNumId w:val="37"/>
  </w:num>
  <w:num w:numId="27">
    <w:abstractNumId w:val="16"/>
  </w:num>
  <w:num w:numId="28">
    <w:abstractNumId w:val="34"/>
  </w:num>
  <w:num w:numId="29">
    <w:abstractNumId w:val="17"/>
  </w:num>
  <w:num w:numId="30">
    <w:abstractNumId w:val="15"/>
  </w:num>
  <w:num w:numId="31">
    <w:abstractNumId w:val="12"/>
  </w:num>
  <w:num w:numId="32">
    <w:abstractNumId w:val="20"/>
  </w:num>
  <w:num w:numId="33">
    <w:abstractNumId w:val="36"/>
  </w:num>
  <w:num w:numId="34">
    <w:abstractNumId w:val="30"/>
  </w:num>
  <w:num w:numId="35">
    <w:abstractNumId w:val="32"/>
  </w:num>
  <w:num w:numId="36">
    <w:abstractNumId w:val="11"/>
  </w:num>
  <w:num w:numId="37">
    <w:abstractNumId w:val="22"/>
  </w:num>
  <w:num w:numId="38">
    <w:abstractNumId w:val="29"/>
  </w:num>
  <w:num w:numId="39">
    <w:abstractNumId w:val="41"/>
  </w:num>
  <w:num w:numId="40">
    <w:abstractNumId w:val="33"/>
  </w:num>
  <w:num w:numId="41">
    <w:abstractNumId w:val="25"/>
  </w:num>
  <w:num w:numId="42">
    <w:abstractNumId w:val="26"/>
  </w:num>
  <w:num w:numId="43">
    <w:abstractNumId w:val="23"/>
  </w:num>
  <w:num w:numId="44">
    <w:abstractNumId w:val="21"/>
  </w:num>
  <w:num w:numId="45">
    <w:abstractNumId w:val="24"/>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68B"/>
    <w:rsid w:val="00000FF3"/>
    <w:rsid w:val="00010BD2"/>
    <w:rsid w:val="00016151"/>
    <w:rsid w:val="0002250F"/>
    <w:rsid w:val="00023774"/>
    <w:rsid w:val="000302DE"/>
    <w:rsid w:val="00035B25"/>
    <w:rsid w:val="0004416B"/>
    <w:rsid w:val="00047583"/>
    <w:rsid w:val="00062F85"/>
    <w:rsid w:val="0006431B"/>
    <w:rsid w:val="00083850"/>
    <w:rsid w:val="000A1711"/>
    <w:rsid w:val="000A3213"/>
    <w:rsid w:val="000A447A"/>
    <w:rsid w:val="000A4775"/>
    <w:rsid w:val="000A6A0C"/>
    <w:rsid w:val="000B64CE"/>
    <w:rsid w:val="000F319D"/>
    <w:rsid w:val="000F53E3"/>
    <w:rsid w:val="001136EA"/>
    <w:rsid w:val="001175B0"/>
    <w:rsid w:val="00141158"/>
    <w:rsid w:val="00151191"/>
    <w:rsid w:val="00156EC6"/>
    <w:rsid w:val="00160D33"/>
    <w:rsid w:val="00162E5B"/>
    <w:rsid w:val="001708AF"/>
    <w:rsid w:val="00171102"/>
    <w:rsid w:val="001736D3"/>
    <w:rsid w:val="001A1937"/>
    <w:rsid w:val="001D0E35"/>
    <w:rsid w:val="001D464E"/>
    <w:rsid w:val="001E2274"/>
    <w:rsid w:val="001E287B"/>
    <w:rsid w:val="001F4973"/>
    <w:rsid w:val="001F5124"/>
    <w:rsid w:val="001F7330"/>
    <w:rsid w:val="001F76C0"/>
    <w:rsid w:val="002003CE"/>
    <w:rsid w:val="0021095C"/>
    <w:rsid w:val="00222CE8"/>
    <w:rsid w:val="002245C8"/>
    <w:rsid w:val="002445BA"/>
    <w:rsid w:val="00245004"/>
    <w:rsid w:val="00256EC1"/>
    <w:rsid w:val="0026426A"/>
    <w:rsid w:val="002735A8"/>
    <w:rsid w:val="00290A76"/>
    <w:rsid w:val="002A388B"/>
    <w:rsid w:val="002B09D8"/>
    <w:rsid w:val="002B1D32"/>
    <w:rsid w:val="002B3439"/>
    <w:rsid w:val="002C2B85"/>
    <w:rsid w:val="002D4194"/>
    <w:rsid w:val="002D6C56"/>
    <w:rsid w:val="002E0561"/>
    <w:rsid w:val="002E368B"/>
    <w:rsid w:val="002F22F0"/>
    <w:rsid w:val="002F4474"/>
    <w:rsid w:val="003019E6"/>
    <w:rsid w:val="003051CB"/>
    <w:rsid w:val="00313BFB"/>
    <w:rsid w:val="00316AF8"/>
    <w:rsid w:val="00325484"/>
    <w:rsid w:val="00325560"/>
    <w:rsid w:val="00334B92"/>
    <w:rsid w:val="00335E0F"/>
    <w:rsid w:val="0035413A"/>
    <w:rsid w:val="00373399"/>
    <w:rsid w:val="003733EB"/>
    <w:rsid w:val="00377B13"/>
    <w:rsid w:val="00387953"/>
    <w:rsid w:val="00394E5C"/>
    <w:rsid w:val="003A2050"/>
    <w:rsid w:val="003A6041"/>
    <w:rsid w:val="003B0E1F"/>
    <w:rsid w:val="003B2290"/>
    <w:rsid w:val="003B7B38"/>
    <w:rsid w:val="003C15E5"/>
    <w:rsid w:val="003C58FA"/>
    <w:rsid w:val="003D3481"/>
    <w:rsid w:val="003D4826"/>
    <w:rsid w:val="003D613A"/>
    <w:rsid w:val="003E4390"/>
    <w:rsid w:val="003F0EAB"/>
    <w:rsid w:val="003F2DF9"/>
    <w:rsid w:val="003F5B5B"/>
    <w:rsid w:val="003F7AFF"/>
    <w:rsid w:val="00403A4C"/>
    <w:rsid w:val="004123B1"/>
    <w:rsid w:val="00413EFE"/>
    <w:rsid w:val="00415E3F"/>
    <w:rsid w:val="004215CB"/>
    <w:rsid w:val="004321B1"/>
    <w:rsid w:val="0043553A"/>
    <w:rsid w:val="00436C6C"/>
    <w:rsid w:val="004440FF"/>
    <w:rsid w:val="00450063"/>
    <w:rsid w:val="00457002"/>
    <w:rsid w:val="004701C0"/>
    <w:rsid w:val="00474D78"/>
    <w:rsid w:val="00474E39"/>
    <w:rsid w:val="00480BBB"/>
    <w:rsid w:val="00483FCA"/>
    <w:rsid w:val="0048481D"/>
    <w:rsid w:val="00485E20"/>
    <w:rsid w:val="004870E3"/>
    <w:rsid w:val="00487185"/>
    <w:rsid w:val="00495FFE"/>
    <w:rsid w:val="004A1504"/>
    <w:rsid w:val="004A4E60"/>
    <w:rsid w:val="004A64EC"/>
    <w:rsid w:val="004B59B9"/>
    <w:rsid w:val="004D3304"/>
    <w:rsid w:val="004D39E8"/>
    <w:rsid w:val="004E04E5"/>
    <w:rsid w:val="004E66E7"/>
    <w:rsid w:val="004F2E3C"/>
    <w:rsid w:val="004F6DDB"/>
    <w:rsid w:val="00524D93"/>
    <w:rsid w:val="00525954"/>
    <w:rsid w:val="0052689F"/>
    <w:rsid w:val="00532027"/>
    <w:rsid w:val="00536EFA"/>
    <w:rsid w:val="005431E9"/>
    <w:rsid w:val="00545423"/>
    <w:rsid w:val="005454D5"/>
    <w:rsid w:val="0054675F"/>
    <w:rsid w:val="00560C1C"/>
    <w:rsid w:val="0056131D"/>
    <w:rsid w:val="00564722"/>
    <w:rsid w:val="00572AEC"/>
    <w:rsid w:val="00575848"/>
    <w:rsid w:val="00582954"/>
    <w:rsid w:val="00582C9F"/>
    <w:rsid w:val="0058390A"/>
    <w:rsid w:val="00585CF7"/>
    <w:rsid w:val="0059529F"/>
    <w:rsid w:val="005C0C25"/>
    <w:rsid w:val="005C76FD"/>
    <w:rsid w:val="005D01BB"/>
    <w:rsid w:val="005D1288"/>
    <w:rsid w:val="005D38EB"/>
    <w:rsid w:val="005E0298"/>
    <w:rsid w:val="005F3ADC"/>
    <w:rsid w:val="005F5651"/>
    <w:rsid w:val="006064B9"/>
    <w:rsid w:val="00613DB6"/>
    <w:rsid w:val="0061651A"/>
    <w:rsid w:val="00623FF8"/>
    <w:rsid w:val="00626DF4"/>
    <w:rsid w:val="006304ED"/>
    <w:rsid w:val="0063235F"/>
    <w:rsid w:val="006354B6"/>
    <w:rsid w:val="0064522D"/>
    <w:rsid w:val="00647851"/>
    <w:rsid w:val="00653011"/>
    <w:rsid w:val="0066099E"/>
    <w:rsid w:val="00663810"/>
    <w:rsid w:val="00665E7C"/>
    <w:rsid w:val="00666728"/>
    <w:rsid w:val="006669B8"/>
    <w:rsid w:val="006721BD"/>
    <w:rsid w:val="0067469B"/>
    <w:rsid w:val="006828C7"/>
    <w:rsid w:val="006A7A03"/>
    <w:rsid w:val="006B2ACD"/>
    <w:rsid w:val="006B5649"/>
    <w:rsid w:val="006D4A19"/>
    <w:rsid w:val="006E3CBA"/>
    <w:rsid w:val="006E7516"/>
    <w:rsid w:val="006F7302"/>
    <w:rsid w:val="00701BAF"/>
    <w:rsid w:val="007148CF"/>
    <w:rsid w:val="007151AC"/>
    <w:rsid w:val="00717A1F"/>
    <w:rsid w:val="00726936"/>
    <w:rsid w:val="00730D6D"/>
    <w:rsid w:val="00750CC9"/>
    <w:rsid w:val="007534F7"/>
    <w:rsid w:val="007552AF"/>
    <w:rsid w:val="007607C3"/>
    <w:rsid w:val="007657FB"/>
    <w:rsid w:val="00772F61"/>
    <w:rsid w:val="007815AC"/>
    <w:rsid w:val="00782569"/>
    <w:rsid w:val="007932D5"/>
    <w:rsid w:val="007A672F"/>
    <w:rsid w:val="007C4BB0"/>
    <w:rsid w:val="007E0091"/>
    <w:rsid w:val="0080083F"/>
    <w:rsid w:val="0081162C"/>
    <w:rsid w:val="00816E98"/>
    <w:rsid w:val="008218B7"/>
    <w:rsid w:val="00823D52"/>
    <w:rsid w:val="00840CAD"/>
    <w:rsid w:val="00844CDC"/>
    <w:rsid w:val="00847392"/>
    <w:rsid w:val="00847C89"/>
    <w:rsid w:val="008525A8"/>
    <w:rsid w:val="0085791F"/>
    <w:rsid w:val="0086226C"/>
    <w:rsid w:val="008642C1"/>
    <w:rsid w:val="00866A37"/>
    <w:rsid w:val="00867F0C"/>
    <w:rsid w:val="00870B6D"/>
    <w:rsid w:val="00871154"/>
    <w:rsid w:val="00881D7A"/>
    <w:rsid w:val="0088257B"/>
    <w:rsid w:val="0088454F"/>
    <w:rsid w:val="0089212E"/>
    <w:rsid w:val="008A4415"/>
    <w:rsid w:val="008B31C8"/>
    <w:rsid w:val="008B3D69"/>
    <w:rsid w:val="008B4DBE"/>
    <w:rsid w:val="008C0DD9"/>
    <w:rsid w:val="008C71E1"/>
    <w:rsid w:val="008D0092"/>
    <w:rsid w:val="008D5CE6"/>
    <w:rsid w:val="008E2B50"/>
    <w:rsid w:val="008E2E69"/>
    <w:rsid w:val="008E3FFB"/>
    <w:rsid w:val="008E7773"/>
    <w:rsid w:val="008F1EBB"/>
    <w:rsid w:val="00901637"/>
    <w:rsid w:val="00902626"/>
    <w:rsid w:val="00910764"/>
    <w:rsid w:val="00916F6B"/>
    <w:rsid w:val="00923178"/>
    <w:rsid w:val="00931CC9"/>
    <w:rsid w:val="009356BB"/>
    <w:rsid w:val="0095121E"/>
    <w:rsid w:val="009741AE"/>
    <w:rsid w:val="00980456"/>
    <w:rsid w:val="00982602"/>
    <w:rsid w:val="00983C47"/>
    <w:rsid w:val="00987DFF"/>
    <w:rsid w:val="00993531"/>
    <w:rsid w:val="009954E1"/>
    <w:rsid w:val="00996391"/>
    <w:rsid w:val="00997538"/>
    <w:rsid w:val="00997F58"/>
    <w:rsid w:val="009D6563"/>
    <w:rsid w:val="009E0BA4"/>
    <w:rsid w:val="009F2A47"/>
    <w:rsid w:val="00A0088E"/>
    <w:rsid w:val="00A01A4B"/>
    <w:rsid w:val="00A05DDE"/>
    <w:rsid w:val="00A065B8"/>
    <w:rsid w:val="00A10455"/>
    <w:rsid w:val="00A13D0C"/>
    <w:rsid w:val="00A165BA"/>
    <w:rsid w:val="00A17F94"/>
    <w:rsid w:val="00A2604F"/>
    <w:rsid w:val="00A34C55"/>
    <w:rsid w:val="00A3738F"/>
    <w:rsid w:val="00A375B3"/>
    <w:rsid w:val="00A37E48"/>
    <w:rsid w:val="00A42E6C"/>
    <w:rsid w:val="00A46D45"/>
    <w:rsid w:val="00A471A4"/>
    <w:rsid w:val="00A52DEC"/>
    <w:rsid w:val="00A6254A"/>
    <w:rsid w:val="00A65E44"/>
    <w:rsid w:val="00A67117"/>
    <w:rsid w:val="00A717CA"/>
    <w:rsid w:val="00A8307D"/>
    <w:rsid w:val="00A85820"/>
    <w:rsid w:val="00A86441"/>
    <w:rsid w:val="00A965A8"/>
    <w:rsid w:val="00AB096E"/>
    <w:rsid w:val="00AB3CCC"/>
    <w:rsid w:val="00AB3E60"/>
    <w:rsid w:val="00AC16B1"/>
    <w:rsid w:val="00AC310A"/>
    <w:rsid w:val="00AC5D5B"/>
    <w:rsid w:val="00AC6618"/>
    <w:rsid w:val="00AD6CA7"/>
    <w:rsid w:val="00AE308D"/>
    <w:rsid w:val="00AF172F"/>
    <w:rsid w:val="00AF3DE6"/>
    <w:rsid w:val="00B115A3"/>
    <w:rsid w:val="00B1498D"/>
    <w:rsid w:val="00B15D60"/>
    <w:rsid w:val="00B22D98"/>
    <w:rsid w:val="00B234B9"/>
    <w:rsid w:val="00B3642C"/>
    <w:rsid w:val="00B421A3"/>
    <w:rsid w:val="00B5230D"/>
    <w:rsid w:val="00B533B5"/>
    <w:rsid w:val="00B5724A"/>
    <w:rsid w:val="00B659EA"/>
    <w:rsid w:val="00B67FA3"/>
    <w:rsid w:val="00B73688"/>
    <w:rsid w:val="00B83EC6"/>
    <w:rsid w:val="00B84F1E"/>
    <w:rsid w:val="00B91555"/>
    <w:rsid w:val="00BA72FE"/>
    <w:rsid w:val="00BB426A"/>
    <w:rsid w:val="00BB6044"/>
    <w:rsid w:val="00BC1B32"/>
    <w:rsid w:val="00BD682E"/>
    <w:rsid w:val="00BE6B9B"/>
    <w:rsid w:val="00BF0012"/>
    <w:rsid w:val="00BF4E1E"/>
    <w:rsid w:val="00C166CC"/>
    <w:rsid w:val="00C16C3B"/>
    <w:rsid w:val="00C2465C"/>
    <w:rsid w:val="00C25617"/>
    <w:rsid w:val="00C27470"/>
    <w:rsid w:val="00C301A7"/>
    <w:rsid w:val="00C31C80"/>
    <w:rsid w:val="00C338BF"/>
    <w:rsid w:val="00C46AF3"/>
    <w:rsid w:val="00C632B9"/>
    <w:rsid w:val="00C73A5E"/>
    <w:rsid w:val="00C7761F"/>
    <w:rsid w:val="00C84C3A"/>
    <w:rsid w:val="00C90CD4"/>
    <w:rsid w:val="00C91BE2"/>
    <w:rsid w:val="00CA2C95"/>
    <w:rsid w:val="00CA3697"/>
    <w:rsid w:val="00CB62B5"/>
    <w:rsid w:val="00CC51E1"/>
    <w:rsid w:val="00CC57DE"/>
    <w:rsid w:val="00CC6FFA"/>
    <w:rsid w:val="00CD17FC"/>
    <w:rsid w:val="00CD4056"/>
    <w:rsid w:val="00CE73F4"/>
    <w:rsid w:val="00CF0396"/>
    <w:rsid w:val="00D020A6"/>
    <w:rsid w:val="00D076D4"/>
    <w:rsid w:val="00D12B3C"/>
    <w:rsid w:val="00D34AC1"/>
    <w:rsid w:val="00D44618"/>
    <w:rsid w:val="00D45419"/>
    <w:rsid w:val="00D511F3"/>
    <w:rsid w:val="00D52BE9"/>
    <w:rsid w:val="00D62355"/>
    <w:rsid w:val="00D77AEE"/>
    <w:rsid w:val="00D77E22"/>
    <w:rsid w:val="00D81B09"/>
    <w:rsid w:val="00D91AD7"/>
    <w:rsid w:val="00D930AB"/>
    <w:rsid w:val="00D93397"/>
    <w:rsid w:val="00D9602A"/>
    <w:rsid w:val="00DB0E88"/>
    <w:rsid w:val="00DB6B73"/>
    <w:rsid w:val="00DC38D2"/>
    <w:rsid w:val="00DC54CB"/>
    <w:rsid w:val="00DD1D91"/>
    <w:rsid w:val="00DD274A"/>
    <w:rsid w:val="00DD3A94"/>
    <w:rsid w:val="00DD648B"/>
    <w:rsid w:val="00DF33AC"/>
    <w:rsid w:val="00E01B85"/>
    <w:rsid w:val="00E10D06"/>
    <w:rsid w:val="00E13BCB"/>
    <w:rsid w:val="00E15D85"/>
    <w:rsid w:val="00E20B57"/>
    <w:rsid w:val="00E33A44"/>
    <w:rsid w:val="00E3657A"/>
    <w:rsid w:val="00E3763E"/>
    <w:rsid w:val="00E43C29"/>
    <w:rsid w:val="00E573BF"/>
    <w:rsid w:val="00E62F98"/>
    <w:rsid w:val="00E726BD"/>
    <w:rsid w:val="00E74095"/>
    <w:rsid w:val="00E753D4"/>
    <w:rsid w:val="00E75B6E"/>
    <w:rsid w:val="00E84029"/>
    <w:rsid w:val="00E93E85"/>
    <w:rsid w:val="00E94D83"/>
    <w:rsid w:val="00EA19E8"/>
    <w:rsid w:val="00EA2CB0"/>
    <w:rsid w:val="00EA3BD6"/>
    <w:rsid w:val="00EB2C0E"/>
    <w:rsid w:val="00EB3CE5"/>
    <w:rsid w:val="00EC1734"/>
    <w:rsid w:val="00EC1D45"/>
    <w:rsid w:val="00EC60A2"/>
    <w:rsid w:val="00EF4E5F"/>
    <w:rsid w:val="00F0302A"/>
    <w:rsid w:val="00F0499F"/>
    <w:rsid w:val="00F05F36"/>
    <w:rsid w:val="00F07B12"/>
    <w:rsid w:val="00F07E8B"/>
    <w:rsid w:val="00F10275"/>
    <w:rsid w:val="00F20475"/>
    <w:rsid w:val="00F25222"/>
    <w:rsid w:val="00F46CBA"/>
    <w:rsid w:val="00F53EC4"/>
    <w:rsid w:val="00F67ECF"/>
    <w:rsid w:val="00F766BD"/>
    <w:rsid w:val="00F7707C"/>
    <w:rsid w:val="00F77CA2"/>
    <w:rsid w:val="00F852ED"/>
    <w:rsid w:val="00F919E1"/>
    <w:rsid w:val="00FA4E62"/>
    <w:rsid w:val="00FA6A79"/>
    <w:rsid w:val="00FB63CE"/>
    <w:rsid w:val="00FE41C2"/>
    <w:rsid w:val="00FE6B92"/>
    <w:rsid w:val="00FF07A0"/>
    <w:rsid w:val="00FF3E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145"/>
    <o:shapelayout v:ext="edit">
      <o:idmap v:ext="edit" data="1"/>
    </o:shapelayout>
  </w:shapeDefaults>
  <w:decimalSymbol w:val="."/>
  <w:listSeparator w:val=","/>
  <w14:docId w14:val="076B1FAF"/>
  <w15:docId w15:val="{152FC10C-A315-4BCD-A482-197DC48C6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GB" w:eastAsia="fr-F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paragraph" w:styleId="Heading1">
    <w:name w:val="heading 1"/>
    <w:basedOn w:val="Normal"/>
    <w:next w:val="Normal"/>
    <w:link w:val="Heading1Char"/>
    <w:qFormat/>
    <w:locked/>
    <w:pPr>
      <w:keepNext/>
      <w:spacing w:before="1500" w:after="1060" w:line="360" w:lineRule="auto"/>
      <w:jc w:val="center"/>
      <w:outlineLvl w:val="0"/>
    </w:pPr>
    <w:rPr>
      <w:rFonts w:ascii="Verdana" w:hAnsi="Verdana" w:cs="Times New Roman"/>
      <w:b/>
      <w:caps/>
      <w:snapToGrid w:val="0"/>
      <w:color w:val="000080"/>
      <w:sz w:val="21"/>
      <w:lang w:eastAsia="en-US"/>
    </w:rPr>
  </w:style>
  <w:style w:type="paragraph" w:styleId="Heading2">
    <w:name w:val="heading 2"/>
    <w:basedOn w:val="Normal"/>
    <w:next w:val="Normal"/>
    <w:link w:val="Heading2Char"/>
    <w:qFormat/>
    <w:locked/>
    <w:pPr>
      <w:keepNext/>
      <w:spacing w:before="340" w:line="240" w:lineRule="auto"/>
      <w:outlineLvl w:val="1"/>
    </w:pPr>
    <w:rPr>
      <w:rFonts w:ascii="Verdana" w:hAnsi="Verdana" w:cs="Times New Roman"/>
      <w:b/>
      <w:caps/>
      <w:snapToGrid w:val="0"/>
      <w:color w:val="333399"/>
      <w:sz w:val="24"/>
      <w:lang w:eastAsia="en-US"/>
    </w:rPr>
  </w:style>
  <w:style w:type="paragraph" w:styleId="Heading3">
    <w:name w:val="heading 3"/>
    <w:basedOn w:val="Normal"/>
    <w:next w:val="Normal"/>
    <w:link w:val="Heading3Char"/>
    <w:qFormat/>
    <w:locked/>
    <w:pPr>
      <w:keepNext/>
      <w:spacing w:before="480" w:after="240" w:line="240" w:lineRule="auto"/>
      <w:jc w:val="center"/>
      <w:outlineLvl w:val="2"/>
    </w:pPr>
    <w:rPr>
      <w:rFonts w:ascii="Verdana" w:hAnsi="Verdana" w:cs="Times New Roman"/>
      <w:i/>
      <w:snapToGrid w:val="0"/>
      <w:color w:val="CC0000"/>
      <w:sz w:val="21"/>
      <w:lang w:eastAsia="en-US"/>
    </w:rPr>
  </w:style>
  <w:style w:type="paragraph" w:styleId="Heading4">
    <w:name w:val="heading 4"/>
    <w:basedOn w:val="Normal"/>
    <w:next w:val="Normal"/>
    <w:link w:val="Heading4Char"/>
    <w:qFormat/>
    <w:locked/>
    <w:pPr>
      <w:keepNext/>
      <w:tabs>
        <w:tab w:val="num" w:pos="1134"/>
      </w:tabs>
      <w:spacing w:line="240" w:lineRule="auto"/>
      <w:ind w:left="1134" w:hanging="283"/>
      <w:outlineLvl w:val="3"/>
    </w:pPr>
    <w:rPr>
      <w:rFonts w:ascii="Verdana" w:hAnsi="Verdana" w:cs="Times New Roman"/>
      <w:snapToGrid w:val="0"/>
      <w:sz w:val="21"/>
      <w:u w:val="single"/>
      <w:lang w:eastAsia="en-US"/>
    </w:rPr>
  </w:style>
  <w:style w:type="paragraph" w:styleId="Heading5">
    <w:name w:val="heading 5"/>
    <w:basedOn w:val="Normal"/>
    <w:next w:val="Normal"/>
    <w:link w:val="Heading5Char"/>
    <w:qFormat/>
    <w:locked/>
    <w:pPr>
      <w:keepNext/>
      <w:spacing w:line="240" w:lineRule="auto"/>
      <w:jc w:val="center"/>
      <w:outlineLvl w:val="4"/>
    </w:pPr>
    <w:rPr>
      <w:rFonts w:ascii="Verdana" w:hAnsi="Verdana" w:cs="Times New Roman"/>
      <w:snapToGrid w:val="0"/>
      <w:sz w:val="21"/>
      <w:u w:val="single"/>
      <w:lang w:eastAsia="en-US"/>
    </w:rPr>
  </w:style>
  <w:style w:type="paragraph" w:styleId="Heading6">
    <w:name w:val="heading 6"/>
    <w:basedOn w:val="Normal"/>
    <w:next w:val="Normal"/>
    <w:link w:val="Heading6Char"/>
    <w:qFormat/>
    <w:locked/>
    <w:pPr>
      <w:keepNext/>
      <w:spacing w:line="240" w:lineRule="auto"/>
      <w:jc w:val="center"/>
      <w:outlineLvl w:val="5"/>
    </w:pPr>
    <w:rPr>
      <w:rFonts w:ascii="Verdana" w:hAnsi="Verdana" w:cs="Times New Roman"/>
      <w:caps/>
      <w:snapToGrid w:val="0"/>
      <w:sz w:val="21"/>
      <w:lang w:eastAsia="en-US"/>
    </w:rPr>
  </w:style>
  <w:style w:type="paragraph" w:styleId="Heading7">
    <w:name w:val="heading 7"/>
    <w:basedOn w:val="Normal"/>
    <w:next w:val="Normal"/>
    <w:link w:val="Heading7Char"/>
    <w:qFormat/>
    <w:locked/>
    <w:pPr>
      <w:keepNext/>
      <w:spacing w:after="0" w:line="240" w:lineRule="auto"/>
      <w:jc w:val="center"/>
      <w:outlineLvl w:val="6"/>
    </w:pPr>
    <w:rPr>
      <w:rFonts w:cs="Times New Roman"/>
      <w:sz w:val="28"/>
      <w:szCs w:val="24"/>
      <w:lang w:eastAsia="en-US"/>
    </w:rPr>
  </w:style>
  <w:style w:type="paragraph" w:styleId="Heading8">
    <w:name w:val="heading 8"/>
    <w:basedOn w:val="Normal"/>
    <w:next w:val="Normal"/>
    <w:link w:val="Heading8Char"/>
    <w:qFormat/>
    <w:locked/>
    <w:pPr>
      <w:spacing w:after="240" w:line="480" w:lineRule="auto"/>
      <w:jc w:val="center"/>
      <w:outlineLvl w:val="7"/>
    </w:pPr>
    <w:rPr>
      <w:rFonts w:ascii="Verdana" w:hAnsi="Verdana" w:cs="Times New Roman"/>
      <w:iCs/>
      <w:sz w:val="21"/>
      <w:szCs w:val="24"/>
      <w:lang w:eastAsia="en-US"/>
    </w:rPr>
  </w:style>
  <w:style w:type="paragraph" w:styleId="Heading9">
    <w:name w:val="heading 9"/>
    <w:basedOn w:val="Normal"/>
    <w:next w:val="Normal"/>
    <w:link w:val="Heading9Char"/>
    <w:qFormat/>
    <w:locked/>
    <w:pPr>
      <w:keepNext/>
      <w:spacing w:after="0" w:line="240" w:lineRule="auto"/>
      <w:jc w:val="center"/>
      <w:outlineLvl w:val="8"/>
    </w:pPr>
    <w:rPr>
      <w:rFonts w:ascii="Verdana" w:hAnsi="Verdana" w:cs="Times New Roman"/>
      <w:b/>
      <w:bCs/>
      <w:sz w:val="3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spacing w:after="0" w:line="240" w:lineRule="auto"/>
    </w:pPr>
    <w:rPr>
      <w:rFonts w:ascii="Times New Roman" w:hAnsi="Times New Roman" w:cs="Times New Roman"/>
      <w:snapToGrid w:val="0"/>
      <w:sz w:val="24"/>
      <w:szCs w:val="24"/>
    </w:rPr>
  </w:style>
  <w:style w:type="paragraph" w:customStyle="1" w:styleId="Normal0">
    <w:name w:val="[Normal]"/>
    <w:pPr>
      <w:autoSpaceDE w:val="0"/>
      <w:autoSpaceDN w:val="0"/>
      <w:adjustRightInd w:val="0"/>
    </w:pPr>
    <w:rPr>
      <w:snapToGrid w:val="0"/>
    </w:rPr>
  </w:style>
  <w:style w:type="paragraph" w:styleId="Footer">
    <w:name w:val="footer"/>
    <w:basedOn w:val="Normal"/>
    <w:link w:val="FooterChar"/>
    <w:pPr>
      <w:tabs>
        <w:tab w:val="center" w:pos="4536"/>
        <w:tab w:val="right" w:pos="9072"/>
      </w:tabs>
    </w:pPr>
    <w:rPr>
      <w:rFonts w:cs="Times New Roman"/>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styleId="FootnoteReference">
    <w:name w:val="footnote reference"/>
    <w:rPr>
      <w:rFonts w:ascii="Verdana" w:hAnsi="Verdana"/>
      <w:b/>
      <w:color w:val="000080"/>
      <w:spacing w:val="0"/>
      <w:w w:val="100"/>
      <w:kern w:val="0"/>
      <w:position w:val="0"/>
      <w:sz w:val="21"/>
      <w:vertAlign w:val="superscript"/>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style>
  <w:style w:type="numbering" w:customStyle="1" w:styleId="Aucuneliste1">
    <w:name w:val="Aucune liste1"/>
    <w:next w:val="NoList"/>
    <w:semiHidden/>
  </w:style>
  <w:style w:type="character" w:customStyle="1" w:styleId="HeaderChar">
    <w:name w:val="Header Char"/>
    <w:link w:val="Header"/>
    <w:rPr>
      <w:snapToGrid w:val="0"/>
      <w:sz w:val="24"/>
      <w:szCs w:val="24"/>
      <w:lang w:val="en-GB" w:eastAsia="fr-FR" w:bidi="ar-SA"/>
    </w:rPr>
  </w:style>
  <w:style w:type="character" w:customStyle="1" w:styleId="FooterChar">
    <w:name w:val="Footer Char"/>
    <w:link w:val="Footer"/>
    <w:rPr>
      <w:rFonts w:ascii="Arial" w:hAnsi="Arial"/>
      <w:lang w:val="en-GB" w:eastAsia="fr-FR" w:bidi="ar-SA"/>
    </w:rPr>
  </w:style>
  <w:style w:type="table" w:styleId="TableGrid">
    <w:name w:val="Table Grid"/>
    <w:basedOn w:val="TableNormal"/>
    <w:locke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Pr>
      <w:rFonts w:ascii="Verdana" w:hAnsi="Verdana"/>
      <w:b/>
      <w:caps/>
      <w:snapToGrid w:val="0"/>
      <w:color w:val="000080"/>
      <w:sz w:val="21"/>
      <w:lang w:val="en-GB" w:eastAsia="en-US" w:bidi="ar-SA"/>
    </w:rPr>
  </w:style>
  <w:style w:type="character" w:customStyle="1" w:styleId="Heading2Char">
    <w:name w:val="Heading 2 Char"/>
    <w:link w:val="Heading2"/>
    <w:rPr>
      <w:rFonts w:ascii="Verdana" w:hAnsi="Verdana"/>
      <w:b/>
      <w:caps/>
      <w:snapToGrid w:val="0"/>
      <w:color w:val="333399"/>
      <w:sz w:val="24"/>
      <w:lang w:val="en-GB" w:eastAsia="en-US" w:bidi="ar-SA"/>
    </w:rPr>
  </w:style>
  <w:style w:type="character" w:customStyle="1" w:styleId="Heading3Char">
    <w:name w:val="Heading 3 Char"/>
    <w:link w:val="Heading3"/>
    <w:rPr>
      <w:rFonts w:ascii="Verdana" w:hAnsi="Verdana"/>
      <w:i/>
      <w:snapToGrid w:val="0"/>
      <w:color w:val="CC0000"/>
      <w:sz w:val="21"/>
      <w:lang w:val="en-GB" w:eastAsia="en-US" w:bidi="ar-SA"/>
    </w:rPr>
  </w:style>
  <w:style w:type="character" w:customStyle="1" w:styleId="Heading4Char">
    <w:name w:val="Heading 4 Char"/>
    <w:link w:val="Heading4"/>
    <w:rPr>
      <w:rFonts w:ascii="Verdana" w:hAnsi="Verdana"/>
      <w:snapToGrid w:val="0"/>
      <w:sz w:val="21"/>
      <w:u w:val="single"/>
      <w:lang w:val="en-GB" w:eastAsia="en-US" w:bidi="ar-SA"/>
    </w:rPr>
  </w:style>
  <w:style w:type="character" w:customStyle="1" w:styleId="Heading5Char">
    <w:name w:val="Heading 5 Char"/>
    <w:link w:val="Heading5"/>
    <w:rPr>
      <w:rFonts w:ascii="Verdana" w:hAnsi="Verdana"/>
      <w:snapToGrid w:val="0"/>
      <w:sz w:val="21"/>
      <w:u w:val="single"/>
      <w:lang w:val="en-GB" w:eastAsia="en-US" w:bidi="ar-SA"/>
    </w:rPr>
  </w:style>
  <w:style w:type="character" w:customStyle="1" w:styleId="Heading6Char">
    <w:name w:val="Heading 6 Char"/>
    <w:link w:val="Heading6"/>
    <w:rPr>
      <w:rFonts w:ascii="Verdana" w:hAnsi="Verdana"/>
      <w:caps/>
      <w:snapToGrid w:val="0"/>
      <w:sz w:val="21"/>
      <w:lang w:val="en-GB" w:eastAsia="en-US" w:bidi="ar-SA"/>
    </w:rPr>
  </w:style>
  <w:style w:type="character" w:customStyle="1" w:styleId="Heading7Char">
    <w:name w:val="Heading 7 Char"/>
    <w:link w:val="Heading7"/>
    <w:rPr>
      <w:rFonts w:ascii="Arial" w:hAnsi="Arial"/>
      <w:sz w:val="28"/>
      <w:szCs w:val="24"/>
      <w:lang w:val="en-GB" w:eastAsia="en-US" w:bidi="ar-SA"/>
    </w:rPr>
  </w:style>
  <w:style w:type="character" w:customStyle="1" w:styleId="Heading8Char">
    <w:name w:val="Heading 8 Char"/>
    <w:link w:val="Heading8"/>
    <w:rPr>
      <w:rFonts w:ascii="Verdana" w:hAnsi="Verdana"/>
      <w:iCs/>
      <w:sz w:val="21"/>
      <w:szCs w:val="24"/>
      <w:lang w:val="en-GB" w:eastAsia="en-US" w:bidi="ar-SA"/>
    </w:rPr>
  </w:style>
  <w:style w:type="character" w:customStyle="1" w:styleId="Heading9Char">
    <w:name w:val="Heading 9 Char"/>
    <w:link w:val="Heading9"/>
    <w:rPr>
      <w:rFonts w:ascii="Verdana" w:hAnsi="Verdana"/>
      <w:b/>
      <w:bCs/>
      <w:sz w:val="34"/>
      <w:szCs w:val="24"/>
      <w:lang w:val="en-GB" w:eastAsia="en-US" w:bidi="ar-SA"/>
    </w:rPr>
  </w:style>
  <w:style w:type="paragraph" w:customStyle="1" w:styleId="ParaNo">
    <w:name w:val="ParaNo."/>
    <w:basedOn w:val="Normal"/>
    <w:link w:val="ParaNoCharChar"/>
    <w:pPr>
      <w:spacing w:after="180" w:line="264" w:lineRule="auto"/>
      <w:jc w:val="both"/>
    </w:pPr>
    <w:rPr>
      <w:rFonts w:ascii="Verdana" w:hAnsi="Verdana" w:cs="Times New Roman"/>
      <w:snapToGrid w:val="0"/>
      <w:sz w:val="21"/>
      <w:lang w:eastAsia="en-US"/>
    </w:rPr>
  </w:style>
  <w:style w:type="character" w:customStyle="1" w:styleId="ParaNoCharChar">
    <w:name w:val="ParaNo. Char Char"/>
    <w:link w:val="ParaNo"/>
    <w:rPr>
      <w:rFonts w:ascii="Verdana" w:hAnsi="Verdana"/>
      <w:snapToGrid w:val="0"/>
      <w:sz w:val="21"/>
      <w:lang w:val="en-GB" w:eastAsia="en-US" w:bidi="ar-SA"/>
    </w:rPr>
  </w:style>
  <w:style w:type="character" w:customStyle="1" w:styleId="FootnoteTextChar">
    <w:name w:val="Footnote Text Char"/>
    <w:link w:val="FootnoteText"/>
    <w:rPr>
      <w:rFonts w:ascii="Arial" w:hAnsi="Arial" w:cs="Arial"/>
      <w:lang w:val="en-GB" w:eastAsia="fr-FR" w:bidi="ar-SA"/>
    </w:rPr>
  </w:style>
  <w:style w:type="paragraph" w:customStyle="1" w:styleId="TITLEPAGE">
    <w:name w:val="TITLE PAGE"/>
    <w:basedOn w:val="Normal"/>
    <w:pPr>
      <w:spacing w:after="0" w:line="240" w:lineRule="auto"/>
      <w:jc w:val="center"/>
    </w:pPr>
    <w:rPr>
      <w:rFonts w:cs="Times New Roman"/>
      <w:color w:val="333399"/>
      <w:sz w:val="21"/>
      <w:szCs w:val="24"/>
      <w:lang w:eastAsia="en-US"/>
    </w:rPr>
  </w:style>
  <w:style w:type="character" w:styleId="PageNumber">
    <w:name w:val="page number"/>
    <w:basedOn w:val="DefaultParagraphFont"/>
  </w:style>
  <w:style w:type="paragraph" w:styleId="TOC1">
    <w:name w:val="toc 1"/>
    <w:basedOn w:val="Normal"/>
    <w:next w:val="Normal"/>
    <w:locked/>
    <w:pPr>
      <w:keepNext/>
      <w:tabs>
        <w:tab w:val="right" w:leader="dot" w:pos="8505"/>
        <w:tab w:val="center" w:pos="8930"/>
      </w:tabs>
      <w:spacing w:before="240" w:after="240" w:line="240" w:lineRule="auto"/>
      <w:ind w:left="1701" w:hanging="1701"/>
    </w:pPr>
    <w:rPr>
      <w:rFonts w:ascii="Verdana" w:hAnsi="Verdana" w:cs="Times New Roman"/>
      <w:color w:val="000080"/>
      <w:sz w:val="21"/>
      <w:szCs w:val="24"/>
      <w:lang w:eastAsia="en-US"/>
    </w:rPr>
  </w:style>
  <w:style w:type="paragraph" w:customStyle="1" w:styleId="Para">
    <w:name w:val="Para"/>
    <w:basedOn w:val="Normal"/>
    <w:pPr>
      <w:spacing w:after="180" w:line="264" w:lineRule="auto"/>
      <w:ind w:firstLine="567"/>
      <w:jc w:val="both"/>
    </w:pPr>
    <w:rPr>
      <w:rFonts w:ascii="Verdana" w:hAnsi="Verdana" w:cs="Times New Roman"/>
      <w:sz w:val="21"/>
      <w:szCs w:val="24"/>
      <w:lang w:eastAsia="en-US"/>
    </w:rPr>
  </w:style>
  <w:style w:type="paragraph" w:customStyle="1" w:styleId="Paraa">
    <w:name w:val="Para a)"/>
    <w:basedOn w:val="ParaNo"/>
    <w:pPr>
      <w:spacing w:after="140"/>
      <w:ind w:left="1134" w:hanging="567"/>
    </w:pPr>
  </w:style>
  <w:style w:type="paragraph" w:customStyle="1" w:styleId="Parai">
    <w:name w:val="Para i)"/>
    <w:basedOn w:val="Paraa"/>
    <w:pPr>
      <w:tabs>
        <w:tab w:val="right" w:pos="1871"/>
      </w:tabs>
      <w:ind w:left="1701" w:hanging="1134"/>
    </w:pPr>
  </w:style>
  <w:style w:type="paragraph" w:styleId="TOC2">
    <w:name w:val="toc 2"/>
    <w:basedOn w:val="Normal"/>
    <w:next w:val="Normal"/>
    <w:locked/>
    <w:pPr>
      <w:keepNext/>
      <w:tabs>
        <w:tab w:val="left" w:pos="1134"/>
        <w:tab w:val="right" w:leader="dot" w:pos="8505"/>
        <w:tab w:val="center" w:pos="8930"/>
      </w:tabs>
      <w:spacing w:before="140" w:after="140" w:line="240" w:lineRule="auto"/>
      <w:ind w:left="1134" w:hanging="907"/>
    </w:pPr>
    <w:rPr>
      <w:rFonts w:ascii="Verdana" w:hAnsi="Verdana" w:cs="Times New Roman"/>
      <w:noProof/>
      <w:color w:val="333399"/>
      <w:sz w:val="21"/>
      <w:szCs w:val="24"/>
      <w:lang w:eastAsia="en-US"/>
    </w:rPr>
  </w:style>
  <w:style w:type="paragraph" w:styleId="TOC3">
    <w:name w:val="toc 3"/>
    <w:basedOn w:val="Normal"/>
    <w:next w:val="Normal"/>
    <w:locked/>
    <w:pPr>
      <w:tabs>
        <w:tab w:val="center" w:pos="1985"/>
        <w:tab w:val="left" w:pos="2268"/>
        <w:tab w:val="right" w:leader="dot" w:pos="8505"/>
        <w:tab w:val="center" w:pos="8930"/>
      </w:tabs>
      <w:spacing w:after="0" w:line="240" w:lineRule="auto"/>
      <w:ind w:left="2269" w:right="1134" w:hanging="1985"/>
    </w:pPr>
    <w:rPr>
      <w:rFonts w:ascii="Verdana" w:hAnsi="Verdana" w:cs="Times New Roman"/>
      <w:szCs w:val="24"/>
      <w:lang w:eastAsia="en-US"/>
    </w:rPr>
  </w:style>
  <w:style w:type="paragraph" w:styleId="TOC4">
    <w:name w:val="toc 4"/>
    <w:basedOn w:val="Normal"/>
    <w:next w:val="Normal"/>
    <w:autoRedefine/>
    <w:locked/>
    <w:pPr>
      <w:spacing w:after="0" w:line="240" w:lineRule="auto"/>
      <w:ind w:left="720"/>
    </w:pPr>
    <w:rPr>
      <w:rFonts w:ascii="Verdana" w:hAnsi="Verdana" w:cs="Times New Roman"/>
      <w:sz w:val="21"/>
      <w:szCs w:val="24"/>
      <w:lang w:eastAsia="en-US"/>
    </w:rPr>
  </w:style>
  <w:style w:type="paragraph" w:styleId="TOC5">
    <w:name w:val="toc 5"/>
    <w:basedOn w:val="Normal"/>
    <w:next w:val="Normal"/>
    <w:autoRedefine/>
    <w:locked/>
    <w:pPr>
      <w:spacing w:after="0" w:line="240" w:lineRule="auto"/>
      <w:ind w:left="960"/>
    </w:pPr>
    <w:rPr>
      <w:rFonts w:ascii="Verdana" w:hAnsi="Verdana" w:cs="Times New Roman"/>
      <w:sz w:val="21"/>
      <w:szCs w:val="24"/>
      <w:lang w:eastAsia="en-US"/>
    </w:rPr>
  </w:style>
  <w:style w:type="paragraph" w:styleId="TOC6">
    <w:name w:val="toc 6"/>
    <w:basedOn w:val="Normal"/>
    <w:next w:val="Normal"/>
    <w:autoRedefine/>
    <w:locked/>
    <w:pPr>
      <w:spacing w:after="0" w:line="240" w:lineRule="auto"/>
      <w:ind w:left="1200"/>
    </w:pPr>
    <w:rPr>
      <w:rFonts w:ascii="Verdana" w:hAnsi="Verdana" w:cs="Times New Roman"/>
      <w:sz w:val="21"/>
      <w:szCs w:val="24"/>
      <w:lang w:eastAsia="en-US"/>
    </w:rPr>
  </w:style>
  <w:style w:type="paragraph" w:styleId="TOC7">
    <w:name w:val="toc 7"/>
    <w:basedOn w:val="Normal"/>
    <w:next w:val="Normal"/>
    <w:autoRedefine/>
    <w:locked/>
    <w:pPr>
      <w:spacing w:after="0" w:line="240" w:lineRule="auto"/>
      <w:ind w:left="1440"/>
    </w:pPr>
    <w:rPr>
      <w:rFonts w:ascii="Verdana" w:hAnsi="Verdana" w:cs="Times New Roman"/>
      <w:sz w:val="21"/>
      <w:szCs w:val="24"/>
      <w:lang w:eastAsia="en-US"/>
    </w:rPr>
  </w:style>
  <w:style w:type="paragraph" w:styleId="TOC8">
    <w:name w:val="toc 8"/>
    <w:basedOn w:val="Normal"/>
    <w:next w:val="Normal"/>
    <w:autoRedefine/>
    <w:locked/>
    <w:pPr>
      <w:spacing w:after="0" w:line="240" w:lineRule="auto"/>
      <w:ind w:left="1680"/>
    </w:pPr>
    <w:rPr>
      <w:rFonts w:ascii="Verdana" w:hAnsi="Verdana" w:cs="Times New Roman"/>
      <w:sz w:val="21"/>
      <w:szCs w:val="24"/>
      <w:lang w:eastAsia="en-US"/>
    </w:rPr>
  </w:style>
  <w:style w:type="paragraph" w:styleId="TOC9">
    <w:name w:val="toc 9"/>
    <w:basedOn w:val="Normal"/>
    <w:next w:val="Normal"/>
    <w:autoRedefine/>
    <w:locked/>
    <w:pPr>
      <w:spacing w:after="0" w:line="240" w:lineRule="auto"/>
      <w:ind w:left="1920"/>
    </w:pPr>
    <w:rPr>
      <w:rFonts w:ascii="Verdana" w:hAnsi="Verdana" w:cs="Times New Roman"/>
      <w:sz w:val="21"/>
      <w:szCs w:val="24"/>
      <w:lang w:eastAsia="en-US"/>
    </w:rPr>
  </w:style>
  <w:style w:type="paragraph" w:customStyle="1" w:styleId="table">
    <w:name w:val="table"/>
    <w:basedOn w:val="Normal"/>
    <w:pPr>
      <w:spacing w:after="140" w:line="264" w:lineRule="auto"/>
      <w:jc w:val="both"/>
    </w:pPr>
    <w:rPr>
      <w:rFonts w:ascii="Verdana" w:hAnsi="Verdana" w:cs="Times New Roman"/>
      <w:spacing w:val="-1"/>
      <w:sz w:val="21"/>
      <w:szCs w:val="24"/>
      <w:lang w:eastAsia="en-US"/>
    </w:rPr>
  </w:style>
  <w:style w:type="paragraph" w:customStyle="1" w:styleId="Para1">
    <w:name w:val="Para 1"/>
    <w:basedOn w:val="Para"/>
    <w:pPr>
      <w:ind w:left="567" w:firstLine="0"/>
    </w:pPr>
  </w:style>
  <w:style w:type="character" w:styleId="EndnoteReference">
    <w:name w:val="endnote reference"/>
    <w:rPr>
      <w:rFonts w:ascii="Times New Roman" w:hAnsi="Times New Roman"/>
      <w:b/>
      <w:sz w:val="24"/>
      <w:vertAlign w:val="superscript"/>
    </w:rPr>
  </w:style>
  <w:style w:type="paragraph" w:customStyle="1" w:styleId="Subpara">
    <w:name w:val="Sub para"/>
    <w:basedOn w:val="Normal"/>
    <w:next w:val="Normal"/>
    <w:pPr>
      <w:spacing w:line="288" w:lineRule="auto"/>
      <w:ind w:firstLine="567"/>
      <w:jc w:val="both"/>
    </w:pPr>
    <w:rPr>
      <w:rFonts w:ascii="Verdana" w:hAnsi="Verdana" w:cs="Times New Roman"/>
      <w:sz w:val="21"/>
      <w:szCs w:val="24"/>
      <w:lang w:eastAsia="en-US"/>
    </w:rPr>
  </w:style>
  <w:style w:type="paragraph" w:styleId="EndnoteText">
    <w:name w:val="endnote text"/>
    <w:basedOn w:val="Normal"/>
    <w:link w:val="EndnoteTextChar"/>
    <w:pPr>
      <w:spacing w:after="0" w:line="240" w:lineRule="auto"/>
    </w:pPr>
    <w:rPr>
      <w:rFonts w:ascii="Verdana" w:hAnsi="Verdana" w:cs="Times New Roman"/>
      <w:sz w:val="21"/>
      <w:lang w:eastAsia="en-US"/>
    </w:rPr>
  </w:style>
  <w:style w:type="character" w:customStyle="1" w:styleId="EndnoteTextChar">
    <w:name w:val="Endnote Text Char"/>
    <w:link w:val="EndnoteText"/>
    <w:rPr>
      <w:rFonts w:ascii="Verdana" w:hAnsi="Verdana"/>
      <w:sz w:val="21"/>
      <w:lang w:val="en-GB" w:eastAsia="en-US" w:bidi="ar-SA"/>
    </w:rPr>
  </w:style>
  <w:style w:type="character" w:styleId="FollowedHyperlink">
    <w:name w:val="FollowedHyperlink"/>
    <w:rPr>
      <w:color w:val="800080"/>
      <w:u w:val="single"/>
    </w:rPr>
  </w:style>
  <w:style w:type="paragraph" w:styleId="BodyTextIndent">
    <w:name w:val="Body Text Indent"/>
    <w:basedOn w:val="Normal"/>
    <w:link w:val="BodyTextIndentChar"/>
    <w:pPr>
      <w:tabs>
        <w:tab w:val="left" w:pos="284"/>
        <w:tab w:val="left" w:pos="567"/>
        <w:tab w:val="left" w:pos="851"/>
        <w:tab w:val="left" w:pos="1134"/>
        <w:tab w:val="left" w:pos="1418"/>
      </w:tabs>
      <w:spacing w:after="0" w:line="240" w:lineRule="auto"/>
      <w:ind w:left="568" w:hanging="284"/>
    </w:pPr>
    <w:rPr>
      <w:rFonts w:ascii="Verdana" w:hAnsi="Verdana" w:cs="Times New Roman"/>
      <w:sz w:val="21"/>
      <w:szCs w:val="24"/>
      <w:lang w:eastAsia="en-US"/>
    </w:rPr>
  </w:style>
  <w:style w:type="character" w:customStyle="1" w:styleId="BodyTextIndentChar">
    <w:name w:val="Body Text Indent Char"/>
    <w:link w:val="BodyTextIndent"/>
    <w:rPr>
      <w:rFonts w:ascii="Verdana" w:hAnsi="Verdana"/>
      <w:sz w:val="21"/>
      <w:szCs w:val="24"/>
      <w:lang w:val="en-GB" w:eastAsia="en-US" w:bidi="ar-SA"/>
    </w:rPr>
  </w:style>
  <w:style w:type="paragraph" w:styleId="BodyTextIndent2">
    <w:name w:val="Body Text Indent 2"/>
    <w:basedOn w:val="Normal"/>
    <w:link w:val="BodyTextIndent2Char"/>
    <w:pPr>
      <w:tabs>
        <w:tab w:val="left" w:pos="284"/>
        <w:tab w:val="left" w:pos="567"/>
        <w:tab w:val="left" w:pos="851"/>
        <w:tab w:val="left" w:pos="1134"/>
        <w:tab w:val="left" w:pos="1418"/>
      </w:tabs>
      <w:spacing w:after="60" w:line="240" w:lineRule="auto"/>
      <w:ind w:left="284" w:hanging="284"/>
    </w:pPr>
    <w:rPr>
      <w:rFonts w:ascii="Verdana" w:hAnsi="Verdana" w:cs="Times New Roman"/>
      <w:sz w:val="21"/>
      <w:szCs w:val="24"/>
      <w:lang w:eastAsia="en-US"/>
    </w:rPr>
  </w:style>
  <w:style w:type="character" w:customStyle="1" w:styleId="BodyTextIndent2Char">
    <w:name w:val="Body Text Indent 2 Char"/>
    <w:link w:val="BodyTextIndent2"/>
    <w:rPr>
      <w:rFonts w:ascii="Verdana" w:hAnsi="Verdana"/>
      <w:sz w:val="21"/>
      <w:szCs w:val="24"/>
      <w:lang w:val="en-GB" w:eastAsia="en-US" w:bidi="ar-SA"/>
    </w:rPr>
  </w:style>
  <w:style w:type="paragraph" w:customStyle="1" w:styleId="Para10">
    <w:name w:val="Para1"/>
    <w:basedOn w:val="Para"/>
    <w:pPr>
      <w:ind w:left="567" w:firstLine="0"/>
    </w:pPr>
  </w:style>
  <w:style w:type="paragraph" w:customStyle="1" w:styleId="Subparac">
    <w:name w:val="Subpara c"/>
    <w:basedOn w:val="Para"/>
    <w:pPr>
      <w:spacing w:after="200"/>
      <w:ind w:left="567" w:firstLine="0"/>
    </w:pPr>
  </w:style>
  <w:style w:type="paragraph" w:customStyle="1" w:styleId="Para1a">
    <w:name w:val="Para1a"/>
    <w:basedOn w:val="Para10"/>
    <w:pPr>
      <w:spacing w:after="140"/>
      <w:ind w:left="1134" w:hanging="567"/>
    </w:pPr>
  </w:style>
  <w:style w:type="paragraph" w:customStyle="1" w:styleId="Para2">
    <w:name w:val="Para2"/>
    <w:basedOn w:val="Para10"/>
    <w:pPr>
      <w:ind w:left="1134"/>
    </w:pPr>
  </w:style>
  <w:style w:type="paragraph" w:customStyle="1" w:styleId="Table0">
    <w:name w:val="Table"/>
    <w:basedOn w:val="Normal"/>
    <w:pPr>
      <w:widowControl w:val="0"/>
      <w:spacing w:after="0" w:line="240" w:lineRule="auto"/>
    </w:pPr>
    <w:rPr>
      <w:rFonts w:ascii="Arial Narrow" w:hAnsi="Arial Narrow" w:cs="Times New Roman"/>
      <w:sz w:val="22"/>
      <w:szCs w:val="24"/>
      <w:lang w:eastAsia="en-US"/>
    </w:rPr>
  </w:style>
  <w:style w:type="character" w:styleId="Hyperlink">
    <w:name w:val="Hyperlink"/>
    <w:rPr>
      <w:color w:val="0000FF"/>
      <w:u w:val="single"/>
    </w:rPr>
  </w:style>
  <w:style w:type="paragraph" w:styleId="BodyTextIndent3">
    <w:name w:val="Body Text Indent 3"/>
    <w:basedOn w:val="Normal"/>
    <w:link w:val="BodyTextIndent3Char"/>
    <w:pPr>
      <w:spacing w:after="120" w:line="240" w:lineRule="auto"/>
      <w:ind w:left="283"/>
    </w:pPr>
    <w:rPr>
      <w:rFonts w:ascii="Verdana" w:hAnsi="Verdana" w:cs="Times New Roman"/>
      <w:sz w:val="16"/>
      <w:szCs w:val="16"/>
      <w:lang w:eastAsia="en-US"/>
    </w:rPr>
  </w:style>
  <w:style w:type="character" w:customStyle="1" w:styleId="BodyTextIndent3Char">
    <w:name w:val="Body Text Indent 3 Char"/>
    <w:link w:val="BodyTextIndent3"/>
    <w:rPr>
      <w:rFonts w:ascii="Verdana" w:hAnsi="Verdana"/>
      <w:sz w:val="16"/>
      <w:szCs w:val="16"/>
      <w:lang w:val="en-GB" w:eastAsia="en-US" w:bidi="ar-SA"/>
    </w:rPr>
  </w:style>
  <w:style w:type="paragraph" w:customStyle="1" w:styleId="TNRa">
    <w:name w:val="TNRa"/>
    <w:basedOn w:val="Normal"/>
    <w:pPr>
      <w:tabs>
        <w:tab w:val="left" w:pos="284"/>
        <w:tab w:val="left" w:pos="454"/>
        <w:tab w:val="left" w:pos="680"/>
        <w:tab w:val="left" w:pos="1021"/>
      </w:tabs>
      <w:overflowPunct w:val="0"/>
      <w:autoSpaceDE w:val="0"/>
      <w:autoSpaceDN w:val="0"/>
      <w:adjustRightInd w:val="0"/>
      <w:spacing w:after="0" w:line="240" w:lineRule="exact"/>
      <w:ind w:left="284" w:hanging="284"/>
      <w:jc w:val="both"/>
      <w:textAlignment w:val="baseline"/>
    </w:pPr>
    <w:rPr>
      <w:rFonts w:ascii="Times New Roman" w:hAnsi="Times New Roman" w:cs="Times New Roman"/>
      <w:sz w:val="24"/>
      <w:lang w:eastAsia="en-US"/>
    </w:rPr>
  </w:style>
  <w:style w:type="paragraph" w:customStyle="1" w:styleId="Anlage">
    <w:name w:val="Anlage"/>
    <w:basedOn w:val="Normal"/>
    <w:pPr>
      <w:spacing w:before="240" w:after="0" w:line="240" w:lineRule="auto"/>
      <w:ind w:left="1134" w:hanging="1134"/>
    </w:pPr>
    <w:rPr>
      <w:rFonts w:cs="Times New Roman"/>
      <w:sz w:val="24"/>
      <w:lang w:eastAsia="en-US"/>
    </w:rPr>
  </w:style>
  <w:style w:type="paragraph" w:customStyle="1" w:styleId="Betrifft">
    <w:name w:val="Betrifft"/>
    <w:basedOn w:val="Normal"/>
    <w:pPr>
      <w:spacing w:before="480" w:after="0" w:line="240" w:lineRule="auto"/>
    </w:pPr>
    <w:rPr>
      <w:rFonts w:cs="Times New Roman"/>
      <w:sz w:val="24"/>
      <w:lang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link w:val="CommentText"/>
    <w:rPr>
      <w:lang w:val="en-GB" w:eastAsia="en-US" w:bidi="ar-SA"/>
    </w:rPr>
  </w:style>
  <w:style w:type="paragraph" w:styleId="BodyText2">
    <w:name w:val="Body Text 2"/>
    <w:basedOn w:val="Normal"/>
    <w:link w:val="BodyText2Char"/>
    <w:pPr>
      <w:spacing w:after="120" w:line="480" w:lineRule="auto"/>
    </w:pPr>
    <w:rPr>
      <w:rFonts w:ascii="Verdana" w:hAnsi="Verdana" w:cs="Times New Roman"/>
      <w:sz w:val="21"/>
      <w:szCs w:val="24"/>
      <w:lang w:eastAsia="en-US"/>
    </w:rPr>
  </w:style>
  <w:style w:type="character" w:customStyle="1" w:styleId="BodyText2Char">
    <w:name w:val="Body Text 2 Char"/>
    <w:link w:val="BodyText2"/>
    <w:rPr>
      <w:rFonts w:ascii="Verdana" w:hAnsi="Verdana"/>
      <w:sz w:val="21"/>
      <w:szCs w:val="24"/>
      <w:lang w:val="en-GB" w:eastAsia="en-US" w:bidi="ar-SA"/>
    </w:rPr>
  </w:style>
  <w:style w:type="paragraph" w:styleId="BodyText">
    <w:name w:val="Body Text"/>
    <w:basedOn w:val="Normal"/>
    <w:link w:val="BodyTextChar"/>
    <w:pPr>
      <w:spacing w:after="120" w:line="240" w:lineRule="auto"/>
    </w:pPr>
    <w:rPr>
      <w:rFonts w:ascii="Verdana" w:hAnsi="Verdana" w:cs="Times New Roman"/>
      <w:sz w:val="21"/>
      <w:szCs w:val="24"/>
      <w:lang w:eastAsia="en-US"/>
    </w:rPr>
  </w:style>
  <w:style w:type="character" w:customStyle="1" w:styleId="BodyTextChar">
    <w:name w:val="Body Text Char"/>
    <w:link w:val="BodyText"/>
    <w:rPr>
      <w:rFonts w:ascii="Verdana" w:hAnsi="Verdana"/>
      <w:sz w:val="21"/>
      <w:szCs w:val="24"/>
      <w:lang w:val="en-GB" w:eastAsia="en-US" w:bidi="ar-SA"/>
    </w:rPr>
  </w:style>
  <w:style w:type="paragraph" w:styleId="BodyText3">
    <w:name w:val="Body Text 3"/>
    <w:basedOn w:val="Normal"/>
    <w:link w:val="BodyText3Char"/>
    <w:pPr>
      <w:spacing w:after="120" w:line="240" w:lineRule="auto"/>
    </w:pPr>
    <w:rPr>
      <w:rFonts w:ascii="Verdana" w:hAnsi="Verdana" w:cs="Times New Roman"/>
      <w:sz w:val="16"/>
      <w:szCs w:val="16"/>
      <w:lang w:eastAsia="en-US"/>
    </w:rPr>
  </w:style>
  <w:style w:type="character" w:customStyle="1" w:styleId="BodyText3Char">
    <w:name w:val="Body Text 3 Char"/>
    <w:link w:val="BodyText3"/>
    <w:rPr>
      <w:rFonts w:ascii="Verdana" w:hAnsi="Verdana"/>
      <w:sz w:val="16"/>
      <w:szCs w:val="16"/>
      <w:lang w:val="en-GB" w:eastAsia="en-US" w:bidi="ar-SA"/>
    </w:rPr>
  </w:style>
  <w:style w:type="paragraph" w:styleId="CommentSubject">
    <w:name w:val="annotation subject"/>
    <w:basedOn w:val="CommentText"/>
    <w:next w:val="CommentText"/>
    <w:link w:val="CommentSubjectChar"/>
    <w:rPr>
      <w:rFonts w:ascii="Verdana" w:hAnsi="Verdana"/>
      <w:b/>
      <w:bCs/>
    </w:rPr>
  </w:style>
  <w:style w:type="character" w:customStyle="1" w:styleId="CommentSubjectChar">
    <w:name w:val="Comment Subject Char"/>
    <w:link w:val="CommentSubject"/>
    <w:rPr>
      <w:rFonts w:ascii="Verdana" w:hAnsi="Verdana"/>
      <w:b/>
      <w:bCs/>
      <w:lang w:val="en-GB" w:eastAsia="en-US" w:bidi="ar-SA"/>
    </w:rPr>
  </w:style>
  <w:style w:type="character" w:customStyle="1" w:styleId="KommentarthemaZchn">
    <w:name w:val="Kommentarthema Zchn"/>
    <w:basedOn w:val="CommentTextChar"/>
    <w:rPr>
      <w:lang w:val="en-GB" w:eastAsia="en-US" w:bidi="ar-SA"/>
    </w:rPr>
  </w:style>
  <w:style w:type="paragraph" w:styleId="ListParagraph">
    <w:name w:val="List Paragraph"/>
    <w:basedOn w:val="Normal"/>
    <w:uiPriority w:val="34"/>
    <w:qFormat/>
    <w:pPr>
      <w:spacing w:after="0" w:line="240" w:lineRule="auto"/>
      <w:ind w:left="720"/>
    </w:pPr>
    <w:rPr>
      <w:rFonts w:ascii="Calibri" w:eastAsia="Calibri" w:hAnsi="Calibri" w:cs="Times New Roman"/>
      <w:sz w:val="22"/>
      <w:szCs w:val="22"/>
      <w:lang w:eastAsia="en-US"/>
    </w:rPr>
  </w:style>
  <w:style w:type="paragraph" w:customStyle="1" w:styleId="TDatelangues">
    <w:name w:val="T_Date_langues"/>
    <w:basedOn w:val="Header"/>
    <w:pPr>
      <w:suppressAutoHyphens/>
      <w:ind w:left="6521"/>
    </w:pPr>
    <w:rPr>
      <w:rFonts w:ascii="Arial" w:hAnsi="Arial"/>
      <w:snapToGrid/>
      <w:color w:val="00000A"/>
      <w:kern w:val="1"/>
      <w:sz w:val="20"/>
      <w:szCs w:val="20"/>
      <w:lang w:bidi="fr-FR"/>
    </w:rPr>
  </w:style>
  <w:style w:type="paragraph" w:customStyle="1" w:styleId="TGauche">
    <w:name w:val="T_Gauche"/>
    <w:basedOn w:val="Normal"/>
    <w:pPr>
      <w:suppressAutoHyphens/>
      <w:spacing w:after="0" w:line="240" w:lineRule="atLeast"/>
      <w:jc w:val="both"/>
    </w:pPr>
    <w:rPr>
      <w:color w:val="00000A"/>
      <w:kern w:val="1"/>
      <w:lang w:bidi="fr-FR"/>
    </w:rPr>
  </w:style>
  <w:style w:type="paragraph" w:customStyle="1" w:styleId="Sous-titre1">
    <w:name w:val="Sous-titre1"/>
    <w:basedOn w:val="Normal"/>
    <w:link w:val="Sous-titre1Car"/>
    <w:qFormat/>
    <w:pPr>
      <w:spacing w:after="0" w:line="240" w:lineRule="atLeast"/>
      <w:ind w:left="425" w:hanging="425"/>
      <w:jc w:val="both"/>
    </w:pPr>
    <w:rPr>
      <w:b/>
      <w:color w:val="00000A"/>
      <w:kern w:val="1"/>
    </w:rPr>
  </w:style>
  <w:style w:type="paragraph" w:customStyle="1" w:styleId="Parenthese1">
    <w:name w:val="Parenthese1"/>
    <w:basedOn w:val="Normal"/>
    <w:link w:val="Parenthese1Car"/>
    <w:qFormat/>
    <w:pPr>
      <w:suppressAutoHyphens/>
      <w:spacing w:after="0" w:line="240" w:lineRule="atLeast"/>
      <w:ind w:left="851" w:hanging="425"/>
      <w:jc w:val="both"/>
    </w:pPr>
    <w:rPr>
      <w:color w:val="00000A"/>
      <w:kern w:val="1"/>
    </w:rPr>
  </w:style>
  <w:style w:type="character" w:customStyle="1" w:styleId="Sous-titre1Car">
    <w:name w:val="Sous-titre1 Car"/>
    <w:link w:val="Sous-titre1"/>
    <w:rPr>
      <w:b/>
      <w:color w:val="00000A"/>
      <w:kern w:val="1"/>
    </w:rPr>
  </w:style>
  <w:style w:type="paragraph" w:customStyle="1" w:styleId="Sous-titre2">
    <w:name w:val="Sous-titre2"/>
    <w:basedOn w:val="Normal"/>
    <w:link w:val="Sous-titre2Car"/>
    <w:qFormat/>
    <w:pPr>
      <w:suppressAutoHyphens/>
      <w:spacing w:after="0" w:line="240" w:lineRule="atLeast"/>
      <w:ind w:left="851" w:hanging="425"/>
      <w:jc w:val="both"/>
    </w:pPr>
    <w:rPr>
      <w:b/>
      <w:color w:val="00000A"/>
      <w:kern w:val="1"/>
    </w:rPr>
  </w:style>
  <w:style w:type="character" w:customStyle="1" w:styleId="Parenthese1Car">
    <w:name w:val="Parenthese1 Car"/>
    <w:link w:val="Parenthese1"/>
    <w:rPr>
      <w:color w:val="00000A"/>
      <w:kern w:val="1"/>
    </w:rPr>
  </w:style>
  <w:style w:type="character" w:customStyle="1" w:styleId="Sous-titre2Car">
    <w:name w:val="Sous-titre2 Car"/>
    <w:link w:val="Sous-titre2"/>
    <w:rPr>
      <w:b/>
      <w:color w:val="00000A"/>
      <w:kern w:val="1"/>
    </w:rPr>
  </w:style>
  <w:style w:type="paragraph" w:customStyle="1" w:styleId="ESch">
    <w:name w:val="ES_ch"/>
    <w:basedOn w:val="Normal"/>
    <w:qFormat/>
    <w:rsid w:val="00A471A4"/>
    <w:pPr>
      <w:autoSpaceDE w:val="0"/>
      <w:autoSpaceDN w:val="0"/>
      <w:spacing w:after="0" w:line="240" w:lineRule="atLeast"/>
      <w:ind w:left="567" w:hanging="567"/>
      <w:jc w:val="both"/>
    </w:pPr>
    <w:rPr>
      <w:rFonts w:cs="Times New Roman"/>
      <w:szCs w:val="24"/>
    </w:rPr>
  </w:style>
  <w:style w:type="paragraph" w:customStyle="1" w:styleId="Standard1">
    <w:name w:val="Standard1"/>
    <w:rsid w:val="00E33A44"/>
    <w:pPr>
      <w:suppressAutoHyphens/>
      <w:autoSpaceDN w:val="0"/>
      <w:spacing w:after="200" w:line="276" w:lineRule="auto"/>
    </w:pPr>
    <w:rPr>
      <w:color w:val="00000A"/>
      <w:kern w:val="3"/>
    </w:rPr>
  </w:style>
  <w:style w:type="character" w:customStyle="1" w:styleId="Translatable">
    <w:name w:val="Translatable"/>
    <w:basedOn w:val="DefaultParagraphFont"/>
    <w:rsid w:val="00474D78"/>
    <w:rPr>
      <w:rFonts w:cs="Times New Roman"/>
      <w:b/>
      <w:noProof/>
      <w:sz w:val="22"/>
      <w:szCs w:val="24"/>
      <w:lang w:val="en-GB"/>
    </w:rPr>
  </w:style>
  <w:style w:type="paragraph" w:customStyle="1" w:styleId="HChG">
    <w:name w:val="_ H _Ch_G"/>
    <w:basedOn w:val="Normal"/>
    <w:next w:val="Normal"/>
    <w:rsid w:val="004F6DDB"/>
    <w:pPr>
      <w:keepNext/>
      <w:keepLines/>
      <w:tabs>
        <w:tab w:val="right" w:pos="851"/>
      </w:tabs>
      <w:suppressAutoHyphens/>
      <w:snapToGrid w:val="0"/>
      <w:spacing w:before="360" w:after="240" w:line="300" w:lineRule="exact"/>
      <w:ind w:left="1134" w:right="1134" w:hanging="1134"/>
    </w:pPr>
    <w:rPr>
      <w:rFonts w:ascii="Times New Roman" w:hAnsi="Times New Roman" w:cs="Times New Roman"/>
      <w:b/>
      <w:sz w:val="28"/>
      <w:lang w:eastAsia="en-GB"/>
    </w:rPr>
  </w:style>
  <w:style w:type="paragraph" w:customStyle="1" w:styleId="H1G">
    <w:name w:val="_ H_1_G"/>
    <w:basedOn w:val="Normal"/>
    <w:next w:val="Normal"/>
    <w:rsid w:val="004F6DDB"/>
    <w:pPr>
      <w:keepNext/>
      <w:keepLines/>
      <w:tabs>
        <w:tab w:val="right" w:pos="851"/>
      </w:tabs>
      <w:suppressAutoHyphens/>
      <w:snapToGrid w:val="0"/>
      <w:spacing w:before="360" w:after="240" w:line="270" w:lineRule="exact"/>
      <w:ind w:left="1134" w:right="1134" w:hanging="1134"/>
    </w:pPr>
    <w:rPr>
      <w:rFonts w:ascii="Times New Roman" w:hAnsi="Times New Roman" w:cs="Times New Roman"/>
      <w:b/>
      <w:sz w:val="24"/>
      <w:lang w:eastAsia="en-GB"/>
    </w:rPr>
  </w:style>
  <w:style w:type="paragraph" w:customStyle="1" w:styleId="SingleTxtG">
    <w:name w:val="_ Single Txt_G"/>
    <w:basedOn w:val="Normal"/>
    <w:rsid w:val="00E3657A"/>
    <w:pPr>
      <w:suppressAutoHyphens/>
      <w:spacing w:after="120" w:line="240" w:lineRule="atLeast"/>
      <w:ind w:left="1134" w:right="1134"/>
      <w:jc w:val="both"/>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657">
      <w:bodyDiv w:val="1"/>
      <w:marLeft w:val="0"/>
      <w:marRight w:val="0"/>
      <w:marTop w:val="0"/>
      <w:marBottom w:val="0"/>
      <w:divBdr>
        <w:top w:val="none" w:sz="0" w:space="0" w:color="auto"/>
        <w:left w:val="none" w:sz="0" w:space="0" w:color="auto"/>
        <w:bottom w:val="none" w:sz="0" w:space="0" w:color="auto"/>
        <w:right w:val="none" w:sz="0" w:space="0" w:color="auto"/>
      </w:divBdr>
    </w:div>
    <w:div w:id="175849404">
      <w:bodyDiv w:val="1"/>
      <w:marLeft w:val="0"/>
      <w:marRight w:val="0"/>
      <w:marTop w:val="0"/>
      <w:marBottom w:val="0"/>
      <w:divBdr>
        <w:top w:val="none" w:sz="0" w:space="0" w:color="auto"/>
        <w:left w:val="none" w:sz="0" w:space="0" w:color="auto"/>
        <w:bottom w:val="none" w:sz="0" w:space="0" w:color="auto"/>
        <w:right w:val="none" w:sz="0" w:space="0" w:color="auto"/>
      </w:divBdr>
    </w:div>
    <w:div w:id="384106582">
      <w:bodyDiv w:val="1"/>
      <w:marLeft w:val="0"/>
      <w:marRight w:val="0"/>
      <w:marTop w:val="0"/>
      <w:marBottom w:val="0"/>
      <w:divBdr>
        <w:top w:val="none" w:sz="0" w:space="0" w:color="auto"/>
        <w:left w:val="none" w:sz="0" w:space="0" w:color="auto"/>
        <w:bottom w:val="none" w:sz="0" w:space="0" w:color="auto"/>
        <w:right w:val="none" w:sz="0" w:space="0" w:color="auto"/>
      </w:divBdr>
    </w:div>
    <w:div w:id="494614770">
      <w:bodyDiv w:val="1"/>
      <w:marLeft w:val="0"/>
      <w:marRight w:val="0"/>
      <w:marTop w:val="0"/>
      <w:marBottom w:val="0"/>
      <w:divBdr>
        <w:top w:val="none" w:sz="0" w:space="0" w:color="auto"/>
        <w:left w:val="none" w:sz="0" w:space="0" w:color="auto"/>
        <w:bottom w:val="none" w:sz="0" w:space="0" w:color="auto"/>
        <w:right w:val="none" w:sz="0" w:space="0" w:color="auto"/>
      </w:divBdr>
    </w:div>
    <w:div w:id="999848307">
      <w:bodyDiv w:val="1"/>
      <w:marLeft w:val="0"/>
      <w:marRight w:val="0"/>
      <w:marTop w:val="0"/>
      <w:marBottom w:val="0"/>
      <w:divBdr>
        <w:top w:val="none" w:sz="0" w:space="0" w:color="auto"/>
        <w:left w:val="none" w:sz="0" w:space="0" w:color="auto"/>
        <w:bottom w:val="none" w:sz="0" w:space="0" w:color="auto"/>
        <w:right w:val="none" w:sz="0" w:space="0" w:color="auto"/>
      </w:divBdr>
    </w:div>
    <w:div w:id="1283610080">
      <w:bodyDiv w:val="1"/>
      <w:marLeft w:val="0"/>
      <w:marRight w:val="0"/>
      <w:marTop w:val="0"/>
      <w:marBottom w:val="0"/>
      <w:divBdr>
        <w:top w:val="none" w:sz="0" w:space="0" w:color="auto"/>
        <w:left w:val="none" w:sz="0" w:space="0" w:color="auto"/>
        <w:bottom w:val="none" w:sz="0" w:space="0" w:color="auto"/>
        <w:right w:val="none" w:sz="0" w:space="0" w:color="auto"/>
      </w:divBdr>
    </w:div>
    <w:div w:id="190842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7A418-868F-41AD-B629-4BEE5DF41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835</Words>
  <Characters>4765</Characters>
  <Application>Microsoft Office Word</Application>
  <DocSecurity>0</DocSecurity>
  <Lines>39</Lines>
  <Paragraphs>11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Zusammenfassung wichtiger Äußerungen der Teilnehmer des RIS-Workshops</vt:lpstr>
      <vt:lpstr>Zusammenfassung wichtiger Äußerungen der Teilnehmer des RIS-Workshops</vt:lpstr>
      <vt:lpstr>Zusammenfassung wichtiger Äußerungen der Teilnehmer des RIS-Workshops</vt:lpstr>
    </vt:vector>
  </TitlesOfParts>
  <Company>HP</Company>
  <LinksUpToDate>false</LinksUpToDate>
  <CharactersWithSpaces>5589</CharactersWithSpaces>
  <SharedDoc>false</SharedDoc>
  <HLinks>
    <vt:vector size="6" baseType="variant">
      <vt:variant>
        <vt:i4>1704063</vt:i4>
      </vt:variant>
      <vt:variant>
        <vt:i4>0</vt:i4>
      </vt:variant>
      <vt:variant>
        <vt:i4>0</vt:i4>
      </vt:variant>
      <vt:variant>
        <vt:i4>5</vt:i4>
      </vt:variant>
      <vt:variant>
        <vt:lpwstr>http://www.ccr-zkr.org/files/documents/ris/ris_strategie_strat_fr.pdf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Zusammenfassung wichtiger Äußerungen der Teilnehmer des RIS-Workshops</dc:title>
  <dc:creator>g.pauli</dc:creator>
  <cp:lastModifiedBy>Lucille</cp:lastModifiedBy>
  <cp:revision>4</cp:revision>
  <cp:lastPrinted>2017-01-23T10:16:00Z</cp:lastPrinted>
  <dcterms:created xsi:type="dcterms:W3CDTF">2017-01-23T11:11:00Z</dcterms:created>
  <dcterms:modified xsi:type="dcterms:W3CDTF">2017-01-23T11:21:00Z</dcterms:modified>
</cp:coreProperties>
</file>