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DD44B1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A3217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DD44B1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A32171" w:rsidP="00A32171">
            <w:pPr>
              <w:jc w:val="right"/>
            </w:pPr>
            <w:r w:rsidRPr="00A32171">
              <w:rPr>
                <w:sz w:val="40"/>
              </w:rPr>
              <w:t>ECE</w:t>
            </w:r>
            <w:r>
              <w:t>/TRANS/WP.15/AC.2/2017/44</w:t>
            </w:r>
          </w:p>
        </w:tc>
      </w:tr>
      <w:tr w:rsidR="002D5AAC" w:rsidRPr="00A32171" w:rsidTr="00DD44B1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DD44B1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A91CBF2" wp14:editId="0649E50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640F49" w:rsidP="00DD44B1">
            <w:pPr>
              <w:suppressAutoHyphens/>
              <w:spacing w:before="120" w:line="380" w:lineRule="exact"/>
              <w:rPr>
                <w:b/>
                <w:sz w:val="34"/>
                <w:szCs w:val="34"/>
              </w:rPr>
            </w:pPr>
            <w:r>
              <w:rPr>
                <w:b/>
                <w:sz w:val="40"/>
                <w:szCs w:val="40"/>
              </w:rPr>
              <w:t xml:space="preserve">Экономический </w:t>
            </w:r>
            <w:r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A32171" w:rsidP="00DD44B1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A32171" w:rsidRDefault="00A32171" w:rsidP="00A3217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9 June 2017</w:t>
            </w:r>
          </w:p>
          <w:p w:rsidR="00A32171" w:rsidRDefault="00A32171" w:rsidP="00A3217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A32171" w:rsidRPr="00D62A45" w:rsidRDefault="00A32171" w:rsidP="00A3217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A32171" w:rsidRPr="00266AAA" w:rsidRDefault="00A32171" w:rsidP="00266AAA">
      <w:pPr>
        <w:spacing w:before="120"/>
        <w:rPr>
          <w:b/>
          <w:sz w:val="28"/>
          <w:szCs w:val="28"/>
        </w:rPr>
      </w:pPr>
      <w:r w:rsidRPr="00266AAA">
        <w:rPr>
          <w:b/>
          <w:sz w:val="28"/>
          <w:szCs w:val="28"/>
        </w:rPr>
        <w:t>Европейская экономическая комиссия</w:t>
      </w:r>
    </w:p>
    <w:p w:rsidR="00A32171" w:rsidRPr="00266AAA" w:rsidRDefault="00A32171" w:rsidP="00266AAA">
      <w:pPr>
        <w:spacing w:before="120"/>
        <w:rPr>
          <w:sz w:val="28"/>
          <w:szCs w:val="28"/>
        </w:rPr>
      </w:pPr>
      <w:r w:rsidRPr="00266AAA">
        <w:rPr>
          <w:sz w:val="28"/>
          <w:szCs w:val="28"/>
        </w:rPr>
        <w:t>Комитет по внутреннему транспорту</w:t>
      </w:r>
    </w:p>
    <w:p w:rsidR="00A32171" w:rsidRPr="00266AAA" w:rsidRDefault="00A32171" w:rsidP="00266AAA">
      <w:pPr>
        <w:spacing w:before="120"/>
        <w:rPr>
          <w:b/>
          <w:sz w:val="24"/>
          <w:szCs w:val="24"/>
        </w:rPr>
      </w:pPr>
      <w:r w:rsidRPr="00266AAA">
        <w:rPr>
          <w:b/>
          <w:sz w:val="24"/>
          <w:szCs w:val="24"/>
        </w:rPr>
        <w:t>Рабочая группа по перевозкам опасных грузов</w:t>
      </w:r>
    </w:p>
    <w:p w:rsidR="00A32171" w:rsidRPr="00266AAA" w:rsidRDefault="00A32171" w:rsidP="00266AAA">
      <w:pPr>
        <w:spacing w:before="120"/>
        <w:rPr>
          <w:b/>
        </w:rPr>
      </w:pPr>
      <w:r w:rsidRPr="00266AAA">
        <w:rPr>
          <w:b/>
        </w:rPr>
        <w:t>Совместное совещание экспертов по Правилам,</w:t>
      </w:r>
      <w:r w:rsidR="00266AAA" w:rsidRPr="00266AAA">
        <w:rPr>
          <w:b/>
        </w:rPr>
        <w:t xml:space="preserve"> </w:t>
      </w:r>
      <w:r w:rsidR="00266AAA" w:rsidRPr="00266AAA">
        <w:rPr>
          <w:b/>
        </w:rPr>
        <w:br/>
      </w:r>
      <w:r w:rsidRPr="00266AAA">
        <w:rPr>
          <w:b/>
        </w:rPr>
        <w:t xml:space="preserve">прилагаемым к Европейскому соглашению </w:t>
      </w:r>
      <w:r w:rsidR="00266AAA">
        <w:rPr>
          <w:b/>
          <w:lang w:val="en-US"/>
        </w:rPr>
        <w:br/>
      </w:r>
      <w:r w:rsidRPr="00266AAA">
        <w:rPr>
          <w:b/>
        </w:rPr>
        <w:t xml:space="preserve">о международной перевозке опасных грузов </w:t>
      </w:r>
      <w:r w:rsidR="00266AAA" w:rsidRPr="00266AAA">
        <w:rPr>
          <w:b/>
        </w:rPr>
        <w:br/>
      </w:r>
      <w:r w:rsidRPr="00266AAA">
        <w:rPr>
          <w:b/>
        </w:rPr>
        <w:t>по внутренним водным путям (ВОПОГ)</w:t>
      </w:r>
      <w:r w:rsidR="00266AAA" w:rsidRPr="00266AAA">
        <w:rPr>
          <w:b/>
        </w:rPr>
        <w:t xml:space="preserve"> </w:t>
      </w:r>
      <w:r w:rsidR="00266AAA" w:rsidRPr="00266AAA">
        <w:rPr>
          <w:b/>
        </w:rPr>
        <w:br/>
      </w:r>
      <w:r w:rsidRPr="00266AAA">
        <w:rPr>
          <w:b/>
        </w:rPr>
        <w:t>(Комитет по вопросам безопасности ВОПОГ)</w:t>
      </w:r>
    </w:p>
    <w:p w:rsidR="00A32171" w:rsidRPr="00266AAA" w:rsidRDefault="00A32171" w:rsidP="00266AAA">
      <w:pPr>
        <w:spacing w:before="120"/>
        <w:rPr>
          <w:b/>
        </w:rPr>
      </w:pPr>
      <w:r w:rsidRPr="00266AAA">
        <w:rPr>
          <w:b/>
        </w:rPr>
        <w:t>Тридцать первая сессия</w:t>
      </w:r>
    </w:p>
    <w:p w:rsidR="00A32171" w:rsidRPr="00A32171" w:rsidRDefault="00A32171" w:rsidP="00A32171">
      <w:r w:rsidRPr="00A32171">
        <w:t>Женева, 28</w:t>
      </w:r>
      <w:r w:rsidR="00892108">
        <w:rPr>
          <w:lang w:val="en-US"/>
        </w:rPr>
        <w:t>–</w:t>
      </w:r>
      <w:r w:rsidRPr="00A32171">
        <w:t>31 августа 2017 года</w:t>
      </w:r>
    </w:p>
    <w:p w:rsidR="00A32171" w:rsidRPr="00A32171" w:rsidRDefault="00A32171" w:rsidP="00A32171">
      <w:r w:rsidRPr="00A32171">
        <w:t>Пункт 4 b) предварительной повестки дня</w:t>
      </w:r>
    </w:p>
    <w:p w:rsidR="00A32171" w:rsidRPr="00266AAA" w:rsidRDefault="00A32171" w:rsidP="00A32171">
      <w:pPr>
        <w:rPr>
          <w:b/>
        </w:rPr>
      </w:pPr>
      <w:r w:rsidRPr="00266AAA">
        <w:rPr>
          <w:b/>
        </w:rPr>
        <w:t xml:space="preserve">Предложения о внесении поправок в Правила, </w:t>
      </w:r>
      <w:r w:rsidR="00781AC6" w:rsidRPr="00781AC6">
        <w:rPr>
          <w:b/>
        </w:rPr>
        <w:br/>
      </w:r>
      <w:r w:rsidRPr="00266AAA">
        <w:rPr>
          <w:b/>
        </w:rPr>
        <w:t>прилагаемые к ВОПОГ:</w:t>
      </w:r>
      <w:r w:rsidR="00266AAA" w:rsidRPr="00266AAA">
        <w:rPr>
          <w:b/>
        </w:rPr>
        <w:t xml:space="preserve"> </w:t>
      </w:r>
      <w:r w:rsidRPr="00266AAA">
        <w:rPr>
          <w:b/>
        </w:rPr>
        <w:t>другие предложения</w:t>
      </w:r>
    </w:p>
    <w:p w:rsidR="00A32171" w:rsidRPr="00A32171" w:rsidRDefault="00A32171" w:rsidP="00781AC6">
      <w:pPr>
        <w:pStyle w:val="HChGR"/>
      </w:pPr>
      <w:r w:rsidRPr="00A32171">
        <w:tab/>
      </w:r>
      <w:r w:rsidRPr="00A32171">
        <w:tab/>
        <w:t>Смешивание на борту танкеров внутреннего плавания</w:t>
      </w:r>
    </w:p>
    <w:p w:rsidR="00A32171" w:rsidRPr="00A32171" w:rsidRDefault="00A32171" w:rsidP="00781AC6">
      <w:pPr>
        <w:pStyle w:val="H1GR"/>
      </w:pPr>
      <w:r w:rsidRPr="00A32171">
        <w:tab/>
      </w:r>
      <w:r w:rsidRPr="00A32171">
        <w:tab/>
        <w:t xml:space="preserve">Представлено ФЕТСА при поддержке </w:t>
      </w:r>
      <w:r w:rsidR="00781AC6">
        <w:t>«</w:t>
      </w:r>
      <w:r w:rsidRPr="00A32171">
        <w:t>Фьюэлз-Юроп</w:t>
      </w:r>
      <w:r w:rsidR="00781AC6">
        <w:t>»</w:t>
      </w:r>
      <w:r w:rsidRPr="00A32171">
        <w:t xml:space="preserve">, </w:t>
      </w:r>
      <w:r w:rsidR="00781AC6">
        <w:br/>
      </w:r>
      <w:r w:rsidRPr="00A32171">
        <w:t>ЕСРС и ЕОС</w:t>
      </w:r>
      <w:r w:rsidRPr="00781AC6">
        <w:rPr>
          <w:b w:val="0"/>
          <w:sz w:val="20"/>
        </w:rPr>
        <w:footnoteReference w:customMarkFollows="1" w:id="1"/>
        <w:t>*</w:t>
      </w:r>
      <w:r w:rsidR="00781AC6" w:rsidRPr="00781AC6">
        <w:rPr>
          <w:b w:val="0"/>
          <w:sz w:val="20"/>
        </w:rPr>
        <w:t xml:space="preserve"> </w:t>
      </w:r>
      <w:r w:rsidRPr="00781AC6">
        <w:rPr>
          <w:b w:val="0"/>
          <w:sz w:val="20"/>
        </w:rPr>
        <w:footnoteReference w:customMarkFollows="1" w:id="2"/>
        <w:t>**</w:t>
      </w:r>
    </w:p>
    <w:p w:rsidR="00A32171" w:rsidRPr="00781AC6" w:rsidRDefault="00781AC6" w:rsidP="00781AC6">
      <w:pPr>
        <w:pStyle w:val="HChGR"/>
      </w:pPr>
      <w:bookmarkStart w:id="1" w:name="OLE_LINK1"/>
      <w:r>
        <w:tab/>
      </w:r>
      <w:r>
        <w:tab/>
      </w:r>
      <w:r w:rsidR="00A32171" w:rsidRPr="00A32171">
        <w:t>Введение</w:t>
      </w:r>
    </w:p>
    <w:p w:rsidR="00A32171" w:rsidRPr="00A32171" w:rsidRDefault="00781AC6" w:rsidP="00781AC6">
      <w:pPr>
        <w:pStyle w:val="SingleTxtGR"/>
      </w:pPr>
      <w:r>
        <w:t>1.</w:t>
      </w:r>
      <w:r>
        <w:tab/>
      </w:r>
      <w:r w:rsidR="00A32171" w:rsidRPr="00A32171">
        <w:t xml:space="preserve">В ходе сессии Комитета по вопросам безопасности ВОПОГ, состоявшейся в январе 2017 года, ФЕТСА представила неофициальный документ INF.15 на тему </w:t>
      </w:r>
      <w:r>
        <w:t>«</w:t>
      </w:r>
      <w:r w:rsidR="00A32171" w:rsidRPr="00A32171">
        <w:t>Смешивание на борту танкеров</w:t>
      </w:r>
      <w:r>
        <w:t>»</w:t>
      </w:r>
      <w:r w:rsidR="00A32171" w:rsidRPr="00A32171">
        <w:t>. В этом неофициальном документе было предложено внести изменения в ВОПОГ, с тем чтобы добавить положения, касающиеся смешивания на борту. Смешивание на борту, будучи одной из частых грузовых операций, не охвачено положениями ВОПОГ.</w:t>
      </w:r>
    </w:p>
    <w:p w:rsidR="00A32171" w:rsidRPr="00A32171" w:rsidRDefault="00781AC6" w:rsidP="00781AC6">
      <w:pPr>
        <w:pStyle w:val="SingleTxtGR"/>
      </w:pPr>
      <w:r>
        <w:t>2.</w:t>
      </w:r>
      <w:r>
        <w:tab/>
      </w:r>
      <w:r w:rsidR="00A32171" w:rsidRPr="00A32171">
        <w:t xml:space="preserve">Цель настоящего предложения состоит во включении в ВОПОГ описания этого вида операции по погрузке, что позволит обеспечить безопасность проведения операций, прозрачность и предоставление точной информации. В отношении данной инициативы ФЕТСА заручилась поддержкой со стороны ЕСРС, ЕОС и </w:t>
      </w:r>
      <w:r>
        <w:t>«</w:t>
      </w:r>
      <w:r w:rsidR="00A32171" w:rsidRPr="00A32171">
        <w:t>Фьюэлз-Юроп</w:t>
      </w:r>
      <w:r>
        <w:t>»</w:t>
      </w:r>
      <w:r w:rsidR="00A32171" w:rsidRPr="00A32171">
        <w:t>.</w:t>
      </w:r>
    </w:p>
    <w:p w:rsidR="00A32171" w:rsidRPr="00A32171" w:rsidRDefault="00781AC6" w:rsidP="00781AC6">
      <w:pPr>
        <w:pStyle w:val="SingleTxtGR"/>
      </w:pPr>
      <w:r>
        <w:t>3.</w:t>
      </w:r>
      <w:r>
        <w:tab/>
      </w:r>
      <w:r w:rsidR="00A32171" w:rsidRPr="00A32171">
        <w:t xml:space="preserve">В ходе обсуждения этого неофициального документа, по-видимому, не все представители в полной мере отдавали себе отчет в том, что смешивание </w:t>
      </w:r>
      <w:r w:rsidR="00A32171" w:rsidRPr="00A32171">
        <w:lastRenderedPageBreak/>
        <w:t>является частой операцией по погрузке, которая в основном применяется в морских портах. Был поставлен ряд вопросов, и ФЕТСА было предложено представить соответствующую дополнительную информацию.</w:t>
      </w:r>
    </w:p>
    <w:p w:rsidR="00A32171" w:rsidRPr="00A32171" w:rsidRDefault="00781AC6" w:rsidP="00781AC6">
      <w:pPr>
        <w:pStyle w:val="SingleTxtGR"/>
      </w:pPr>
      <w:r>
        <w:t>4.</w:t>
      </w:r>
      <w:r>
        <w:tab/>
      </w:r>
      <w:r w:rsidR="00A32171" w:rsidRPr="00A32171">
        <w:t>Ссылаясь на неофициальный документ INF.15, представленный на тридцатой сессии, и доклад о работе этой сессии (ECE/TRANS/WP.15/AC.2/62, пункты 24–25), ФЕТСА с удовлетворением представляет более подробные пояснения по этой теме и отвечает на поднятые вопросы.</w:t>
      </w:r>
    </w:p>
    <w:p w:rsidR="00A32171" w:rsidRPr="00A32171" w:rsidRDefault="00781AC6" w:rsidP="00781AC6">
      <w:pPr>
        <w:pStyle w:val="HChGR"/>
      </w:pPr>
      <w:r>
        <w:rPr>
          <w:lang w:val="en-US"/>
        </w:rPr>
        <w:tab/>
        <w:t>I</w:t>
      </w:r>
      <w:r w:rsidRPr="00781AC6">
        <w:t>.</w:t>
      </w:r>
      <w:r w:rsidRPr="00781AC6">
        <w:tab/>
      </w:r>
      <w:r w:rsidR="00A32171" w:rsidRPr="00A32171">
        <w:t>Краткое резюме неофициального документа INF. 15</w:t>
      </w:r>
    </w:p>
    <w:p w:rsidR="00A32171" w:rsidRPr="00A32171" w:rsidRDefault="00A32171" w:rsidP="00781AC6">
      <w:pPr>
        <w:pStyle w:val="SingleTxtGR"/>
      </w:pPr>
      <w:r w:rsidRPr="00A32171">
        <w:t>5.</w:t>
      </w:r>
      <w:r w:rsidRPr="00A32171">
        <w:tab/>
        <w:t>Сектор, осуществляющий операции по смешиванию на борту танкеров внутреннего плавания, нуждается в положениях ВОПОГ, поясняющих такую деятельность. В этой связи ФЕТСА предлагает следующее определение смешивания:</w:t>
      </w:r>
    </w:p>
    <w:p w:rsidR="00A32171" w:rsidRPr="00A32171" w:rsidRDefault="00781AC6" w:rsidP="00781AC6">
      <w:pPr>
        <w:pStyle w:val="SingleTxtGR"/>
      </w:pPr>
      <w:r>
        <w:t>«</w:t>
      </w:r>
      <w:r w:rsidR="00A32171" w:rsidRPr="00A32171">
        <w:t>Смешивание на борту – это смешение двух или более продуктов, в результате которого образуется один конечный продукт и при котором происходит только добавление компонентов друг к другу и не происходит какой-либо химической переработки.</w:t>
      </w:r>
      <w:r>
        <w:t>»</w:t>
      </w:r>
      <w:r w:rsidR="00A32171" w:rsidRPr="00A32171">
        <w:t>.</w:t>
      </w:r>
    </w:p>
    <w:p w:rsidR="00A32171" w:rsidRPr="00A32171" w:rsidRDefault="00A32171" w:rsidP="00781AC6">
      <w:pPr>
        <w:pStyle w:val="SingleTxtGR"/>
      </w:pPr>
      <w:r w:rsidRPr="00A32171">
        <w:t>6.</w:t>
      </w:r>
      <w:r w:rsidRPr="00A32171">
        <w:tab/>
        <w:t>В неофициальном документе INF. 15, часть III (</w:t>
      </w:r>
      <w:r w:rsidR="00781AC6">
        <w:t>«</w:t>
      </w:r>
      <w:r w:rsidRPr="00A32171">
        <w:t>Предложение</w:t>
      </w:r>
      <w:r w:rsidR="00781AC6">
        <w:t>»</w:t>
      </w:r>
      <w:r w:rsidRPr="00A32171">
        <w:t>), в подпунктах 1–9 пункта 7 были предложены подробные меры по смягчению рисков в плане обеспечения безопасности, осведомленности, транспарентности и соответствующей документации.</w:t>
      </w:r>
    </w:p>
    <w:bookmarkEnd w:id="1"/>
    <w:p w:rsidR="00A32171" w:rsidRPr="002E5132" w:rsidRDefault="002E5132" w:rsidP="002E5132">
      <w:pPr>
        <w:pStyle w:val="HChGR"/>
      </w:pPr>
      <w:r>
        <w:rPr>
          <w:lang w:val="en-US"/>
        </w:rPr>
        <w:tab/>
        <w:t>II</w:t>
      </w:r>
      <w:r w:rsidRPr="002E5132">
        <w:t>.</w:t>
      </w:r>
      <w:r w:rsidRPr="002E5132">
        <w:tab/>
      </w:r>
      <w:r w:rsidR="00A32171" w:rsidRPr="00A32171">
        <w:t>Сфера применения предложения</w:t>
      </w:r>
    </w:p>
    <w:p w:rsidR="00A32171" w:rsidRPr="00A32171" w:rsidRDefault="00A32171" w:rsidP="00781AC6">
      <w:pPr>
        <w:pStyle w:val="SingleTxtGR"/>
      </w:pPr>
      <w:r w:rsidRPr="00A32171">
        <w:t>7.</w:t>
      </w:r>
      <w:r w:rsidRPr="00A32171">
        <w:tab/>
        <w:t>ФЕТСА предлагает разрешить операции по смешиванию на борту танкеров внутреннего плавания только в случае соблюдения нижеследующих условий.</w:t>
      </w:r>
    </w:p>
    <w:p w:rsidR="00A32171" w:rsidRPr="00A32171" w:rsidRDefault="002E5132" w:rsidP="002E5132">
      <w:pPr>
        <w:pStyle w:val="H1GR"/>
        <w:rPr>
          <w:lang w:val="en-GB"/>
        </w:rPr>
      </w:pPr>
      <w:r>
        <w:rPr>
          <w:lang w:val="en-US"/>
        </w:rPr>
        <w:tab/>
      </w:r>
      <w:r w:rsidR="00A32171" w:rsidRPr="00A32171">
        <w:t>A.</w:t>
      </w:r>
      <w:r w:rsidR="00A32171" w:rsidRPr="00A32171">
        <w:tab/>
        <w:t>Местонахождение</w:t>
      </w:r>
    </w:p>
    <w:p w:rsidR="00A32171" w:rsidRPr="00A32171" w:rsidRDefault="00A32171" w:rsidP="002E5132">
      <w:pPr>
        <w:pStyle w:val="Bullet1GR"/>
      </w:pPr>
      <w:r w:rsidRPr="00A32171">
        <w:t xml:space="preserve">Танкер соединен с причалом или местом наполнения либо с морским судном; </w:t>
      </w:r>
    </w:p>
    <w:p w:rsidR="00A32171" w:rsidRPr="00A32171" w:rsidRDefault="00A32171" w:rsidP="002E5132">
      <w:pPr>
        <w:pStyle w:val="Bullet1GR"/>
      </w:pPr>
      <w:r w:rsidRPr="00A32171">
        <w:t>погрузка осуществляется с берега или морского судна только с помощью надлежащего стационарного грузового трубопровода танкера внутреннего судоходства;</w:t>
      </w:r>
    </w:p>
    <w:p w:rsidR="00A32171" w:rsidRPr="00A32171" w:rsidRDefault="00A32171" w:rsidP="002E5132">
      <w:pPr>
        <w:pStyle w:val="Bullet1GR"/>
      </w:pPr>
      <w:r w:rsidRPr="00A32171">
        <w:t>продукты являются совместимыми, и снижен риск химической реакции.</w:t>
      </w:r>
    </w:p>
    <w:p w:rsidR="00A32171" w:rsidRPr="00A32171" w:rsidRDefault="00A32171" w:rsidP="002E5132">
      <w:pPr>
        <w:pStyle w:val="H1GR"/>
        <w:rPr>
          <w:lang w:val="en-GB"/>
        </w:rPr>
      </w:pPr>
      <w:r w:rsidRPr="00A32171">
        <w:tab/>
        <w:t>B.</w:t>
      </w:r>
      <w:r w:rsidRPr="00A32171">
        <w:tab/>
        <w:t>Осуществление операции</w:t>
      </w:r>
    </w:p>
    <w:p w:rsidR="00A32171" w:rsidRPr="00A32171" w:rsidRDefault="00A32171" w:rsidP="002E5132">
      <w:pPr>
        <w:pStyle w:val="Bullet1GR"/>
      </w:pPr>
      <w:r w:rsidRPr="00A32171">
        <w:t>Все отдельные продукты, составляющие смесь, в том числе сама смесь, должны быть указаны в перечне веществ, допущенных к перевозке судном, в соответствии с пунктом 1.16.1.2.5 ВОПОГ;</w:t>
      </w:r>
    </w:p>
    <w:p w:rsidR="00A32171" w:rsidRPr="00A32171" w:rsidRDefault="00A32171" w:rsidP="002E5132">
      <w:pPr>
        <w:pStyle w:val="Bullet1GR"/>
      </w:pPr>
      <w:r w:rsidRPr="00A32171">
        <w:t>до погрузки операция по смешиванию документируется грузоотправителем и доводится им до сведения ответственного за наполнение, а также перевозчика, а затем осуществляется ответственным(и) за наполнение по указанию перевозчика и в сотрудничестве с экипажем перевозчика (баржи);</w:t>
      </w:r>
    </w:p>
    <w:p w:rsidR="00A32171" w:rsidRPr="00A32171" w:rsidRDefault="00A32171" w:rsidP="002E5132">
      <w:pPr>
        <w:pStyle w:val="Bullet1GR"/>
      </w:pPr>
      <w:r w:rsidRPr="00A32171">
        <w:t>продукты загружаются поочередно, по партиям или один поверх другого;</w:t>
      </w:r>
    </w:p>
    <w:p w:rsidR="00A32171" w:rsidRPr="00A32171" w:rsidRDefault="00A32171" w:rsidP="002E5132">
      <w:pPr>
        <w:pStyle w:val="Bullet1GR"/>
      </w:pPr>
      <w:r w:rsidRPr="00A32171">
        <w:t>смешение продуктов в грузовых танках танкера внутреннего плавания происходит под действием силы тяжести в отличие от любого механиче</w:t>
      </w:r>
      <w:r w:rsidRPr="00A32171">
        <w:lastRenderedPageBreak/>
        <w:t>ского смешивания посредством использования насосов танкеров внутреннего плавания;</w:t>
      </w:r>
    </w:p>
    <w:p w:rsidR="00A32171" w:rsidRPr="00A32171" w:rsidRDefault="00A32171" w:rsidP="002E5132">
      <w:pPr>
        <w:pStyle w:val="Bullet1GR"/>
      </w:pPr>
      <w:r w:rsidRPr="00A32171">
        <w:t>перегрузка груза из одного грузового танка в другой (по причинам, не связанным с обеспечением остойчивости, и в пришвартованном состоянии) не охватывается данной операцией.</w:t>
      </w:r>
    </w:p>
    <w:p w:rsidR="00A32171" w:rsidRPr="00A32171" w:rsidRDefault="00A32171" w:rsidP="002E5132">
      <w:pPr>
        <w:pStyle w:val="H1GR"/>
        <w:rPr>
          <w:lang w:val="en-GB"/>
        </w:rPr>
      </w:pPr>
      <w:r w:rsidRPr="00A32171">
        <w:tab/>
        <w:t>C.</w:t>
      </w:r>
      <w:r w:rsidRPr="00A32171">
        <w:tab/>
        <w:t>Продукты</w:t>
      </w:r>
    </w:p>
    <w:p w:rsidR="00A32171" w:rsidRPr="00A32171" w:rsidRDefault="00A32171" w:rsidP="002E5132">
      <w:pPr>
        <w:pStyle w:val="Bullet1GR"/>
      </w:pPr>
      <w:r w:rsidRPr="00A32171">
        <w:t>Продукты включают жидкие продукты класса 3 и класса 9, не вступающие в реакцию друг с другом, например углеводороды, дистилляты нефти, биотопливо, печное топливо, газойль, газолин;</w:t>
      </w:r>
    </w:p>
    <w:p w:rsidR="00A32171" w:rsidRPr="00A32171" w:rsidRDefault="00A32171" w:rsidP="002E5132">
      <w:pPr>
        <w:pStyle w:val="Bullet1GR"/>
      </w:pPr>
      <w:r w:rsidRPr="00A32171">
        <w:t>операция по смешиванию не должна приводить к химической реакции.</w:t>
      </w:r>
    </w:p>
    <w:p w:rsidR="00A32171" w:rsidRPr="002E5132" w:rsidRDefault="002E5132" w:rsidP="002E5132">
      <w:pPr>
        <w:pStyle w:val="HChGR"/>
      </w:pPr>
      <w:r>
        <w:rPr>
          <w:lang w:val="en-US"/>
        </w:rPr>
        <w:tab/>
        <w:t>III</w:t>
      </w:r>
      <w:r w:rsidRPr="002E5132">
        <w:t>.</w:t>
      </w:r>
      <w:r w:rsidRPr="002E5132">
        <w:tab/>
      </w:r>
      <w:r w:rsidR="00A32171" w:rsidRPr="00A32171">
        <w:t>Примеры операций по смешиванию</w:t>
      </w:r>
    </w:p>
    <w:p w:rsidR="00A32171" w:rsidRPr="00A32171" w:rsidRDefault="00A32171" w:rsidP="00781AC6">
      <w:pPr>
        <w:pStyle w:val="SingleTxtGR"/>
      </w:pPr>
      <w:r w:rsidRPr="00A32171">
        <w:t>8.</w:t>
      </w:r>
      <w:r w:rsidRPr="00A32171">
        <w:tab/>
        <w:t>В качестве примеров повседневных операций по смешиванию, осуществляемых на борту барж (с подвариантами), можно привести нижеследующие операции:</w:t>
      </w:r>
    </w:p>
    <w:p w:rsidR="00A32171" w:rsidRPr="00A32171" w:rsidRDefault="00A32171" w:rsidP="0098333C">
      <w:pPr>
        <w:pStyle w:val="SingleTxtGR"/>
        <w:tabs>
          <w:tab w:val="clear" w:pos="2268"/>
          <w:tab w:val="left" w:pos="2552"/>
        </w:tabs>
        <w:ind w:left="1701"/>
        <w:rPr>
          <w:b/>
          <w:bCs/>
          <w:i/>
          <w:iCs/>
        </w:rPr>
      </w:pPr>
      <w:r w:rsidRPr="00A32171">
        <w:rPr>
          <w:b/>
          <w:bCs/>
          <w:i/>
          <w:iCs/>
        </w:rPr>
        <w:t>a)</w:t>
      </w:r>
      <w:r w:rsidRPr="00A32171">
        <w:rPr>
          <w:b/>
          <w:bCs/>
          <w:i/>
          <w:iCs/>
        </w:rPr>
        <w:tab/>
        <w:t>Газолин и этанол</w:t>
      </w:r>
    </w:p>
    <w:p w:rsidR="00A32171" w:rsidRPr="00A32171" w:rsidRDefault="00A32171" w:rsidP="0098333C">
      <w:pPr>
        <w:pStyle w:val="SingleTxtGR"/>
        <w:tabs>
          <w:tab w:val="clear" w:pos="2268"/>
          <w:tab w:val="left" w:pos="2552"/>
        </w:tabs>
        <w:ind w:left="1701"/>
      </w:pPr>
      <w:r w:rsidRPr="00A32171">
        <w:t>i)</w:t>
      </w:r>
      <w:r w:rsidRPr="00A32171">
        <w:tab/>
        <w:t>Баржа типа C 2 2 ВОПОГ загружает 1</w:t>
      </w:r>
      <w:r w:rsidR="005018B9" w:rsidRPr="005018B9">
        <w:t xml:space="preserve"> </w:t>
      </w:r>
      <w:r w:rsidRPr="00A32171">
        <w:t>200 м</w:t>
      </w:r>
      <w:r w:rsidRPr="00A32171">
        <w:rPr>
          <w:vertAlign w:val="superscript"/>
        </w:rPr>
        <w:t>3</w:t>
      </w:r>
      <w:r w:rsidRPr="00A32171">
        <w:t xml:space="preserve"> газолина (№ ООН 1203, ГАЗОЛИН, 3, ГУ II, N2, CMR, F) в пять грузовых танков под номерами 1, 2, 3, 4 и 5. Танки заполняются на 80%.</w:t>
      </w:r>
    </w:p>
    <w:p w:rsidR="00A32171" w:rsidRPr="00A32171" w:rsidRDefault="00A32171" w:rsidP="002E5132">
      <w:pPr>
        <w:pStyle w:val="SingleTxtGR"/>
        <w:ind w:left="1701"/>
      </w:pPr>
      <w:r w:rsidRPr="00A32171">
        <w:t>Непосредственно после этого баржа загружает с того же причала, с помощью того же коллектора/той же арматуры для соединения с берегом 200 м</w:t>
      </w:r>
      <w:r w:rsidRPr="00A32171">
        <w:rPr>
          <w:vertAlign w:val="superscript"/>
        </w:rPr>
        <w:t>3</w:t>
      </w:r>
      <w:r w:rsidRPr="00A32171">
        <w:t xml:space="preserve"> этанола (№ ООН 1170, ЭТАНОЛ, 3, ГУ II) в те же танки под номерами 1, 2, 3, 4 и 5 поверх газолина.</w:t>
      </w:r>
    </w:p>
    <w:p w:rsidR="00A32171" w:rsidRPr="00A32171" w:rsidRDefault="00A32171" w:rsidP="002E5132">
      <w:pPr>
        <w:pStyle w:val="SingleTxtGR"/>
        <w:ind w:left="1701"/>
      </w:pPr>
      <w:r w:rsidRPr="00A32171">
        <w:t>Оба эти продукта указаны в перечне веществ, допущенных к перевозке баржей. Этанол часто используется как (био-) компонент газолина, который сам по себе уже является смесью. Возможность любой химической реакции исключена. Окончательной классификацией продукта по-прежнему остается № ООН 1203, ГАЗОЛИН, 3, ГУ II, N2, CMR, F с содержанием этанола не более 10 % по объему.</w:t>
      </w:r>
    </w:p>
    <w:p w:rsidR="00A32171" w:rsidRPr="00A32171" w:rsidRDefault="00A32171" w:rsidP="0098333C">
      <w:pPr>
        <w:pStyle w:val="SingleTxtGR"/>
        <w:tabs>
          <w:tab w:val="clear" w:pos="2268"/>
          <w:tab w:val="left" w:pos="2552"/>
        </w:tabs>
        <w:ind w:left="1701"/>
        <w:rPr>
          <w:vertAlign w:val="superscript"/>
        </w:rPr>
      </w:pPr>
      <w:r w:rsidRPr="00A32171">
        <w:t>ii)</w:t>
      </w:r>
      <w:r w:rsidRPr="00A32171">
        <w:tab/>
        <w:t>В случае если содержание этанола превысит 10%, классификация изменится следующим образом: № ООН 3475, ЭТАНОЛА И ГАЗОЛИНА СМЕСЬ, 3, N2, CMR, F. Применяется аналогичная процедура.</w:t>
      </w:r>
    </w:p>
    <w:p w:rsidR="00A32171" w:rsidRPr="00A32171" w:rsidRDefault="00A32171" w:rsidP="0098333C">
      <w:pPr>
        <w:pStyle w:val="SingleTxtGR"/>
        <w:tabs>
          <w:tab w:val="clear" w:pos="2268"/>
          <w:tab w:val="left" w:pos="2552"/>
        </w:tabs>
        <w:ind w:left="1701"/>
        <w:rPr>
          <w:b/>
          <w:bCs/>
          <w:i/>
          <w:iCs/>
        </w:rPr>
      </w:pPr>
      <w:r w:rsidRPr="00A32171">
        <w:rPr>
          <w:b/>
          <w:bCs/>
          <w:i/>
          <w:iCs/>
        </w:rPr>
        <w:t>b)</w:t>
      </w:r>
      <w:r w:rsidR="0098333C" w:rsidRPr="0098333C">
        <w:rPr>
          <w:b/>
          <w:bCs/>
          <w:i/>
          <w:iCs/>
        </w:rPr>
        <w:tab/>
      </w:r>
      <w:r w:rsidRPr="00A32171">
        <w:rPr>
          <w:b/>
          <w:bCs/>
          <w:i/>
          <w:iCs/>
        </w:rPr>
        <w:t>Газойль и метиловые эфиры жирных кислот (FAME)</w:t>
      </w:r>
    </w:p>
    <w:p w:rsidR="00A32171" w:rsidRPr="00A32171" w:rsidRDefault="00A32171" w:rsidP="0098333C">
      <w:pPr>
        <w:pStyle w:val="SingleTxtGR"/>
        <w:tabs>
          <w:tab w:val="clear" w:pos="2268"/>
          <w:tab w:val="left" w:pos="2552"/>
        </w:tabs>
        <w:ind w:left="1701"/>
      </w:pPr>
      <w:r w:rsidRPr="00A32171">
        <w:t>i)</w:t>
      </w:r>
      <w:r w:rsidRPr="00A32171">
        <w:tab/>
        <w:t>Баржа типа N 2 3 ВОПОГ загружает 1</w:t>
      </w:r>
      <w:r w:rsidR="005018B9" w:rsidRPr="005018B9">
        <w:t xml:space="preserve"> </w:t>
      </w:r>
      <w:r w:rsidRPr="00A32171">
        <w:t>000 м</w:t>
      </w:r>
      <w:r w:rsidRPr="00A32171">
        <w:rPr>
          <w:vertAlign w:val="superscript"/>
        </w:rPr>
        <w:t>3</w:t>
      </w:r>
      <w:r w:rsidRPr="00A32171">
        <w:t xml:space="preserve"> газойля (№ ООН 1202, ГАЗОЙЛЬ, ГУ III, N2, CMR, F) в пять грузовых танков под номерами 1, 2, 3, 4 и 5. Танки заполняются на 70 %.</w:t>
      </w:r>
    </w:p>
    <w:p w:rsidR="00A32171" w:rsidRPr="00A32171" w:rsidRDefault="00A32171" w:rsidP="002E5132">
      <w:pPr>
        <w:pStyle w:val="SingleTxtGR"/>
        <w:ind w:left="1701"/>
      </w:pPr>
      <w:r w:rsidRPr="00A32171">
        <w:t xml:space="preserve">Затем баржа должна перейти к причалу 2, расположенному в том же месте наполнения, и загрузить поверх газойля присадки </w:t>
      </w:r>
      <w:r w:rsidR="00781AC6">
        <w:t>«</w:t>
      </w:r>
      <w:r w:rsidRPr="00A32171">
        <w:t>FAME</w:t>
      </w:r>
      <w:r w:rsidR="00781AC6">
        <w:t>»</w:t>
      </w:r>
      <w:r w:rsidRPr="00A32171">
        <w:t xml:space="preserve">; метиловые эфиры жирных кислот не являются опасным грузом и часто добавляются в качестве </w:t>
      </w:r>
      <w:r w:rsidR="00781AC6">
        <w:t>«</w:t>
      </w:r>
      <w:r w:rsidRPr="00A32171">
        <w:t>биокомпонента</w:t>
      </w:r>
      <w:r w:rsidR="00781AC6">
        <w:t>»</w:t>
      </w:r>
      <w:r w:rsidRPr="00A32171">
        <w:t>.</w:t>
      </w:r>
    </w:p>
    <w:p w:rsidR="00A32171" w:rsidRPr="00A32171" w:rsidRDefault="00A32171" w:rsidP="002E5132">
      <w:pPr>
        <w:pStyle w:val="SingleTxtGR"/>
        <w:ind w:left="1701"/>
      </w:pPr>
      <w:r w:rsidRPr="00A32171">
        <w:t xml:space="preserve">В соответствии с техническими спецификациями присадки </w:t>
      </w:r>
      <w:r w:rsidR="00781AC6">
        <w:t>«</w:t>
      </w:r>
      <w:r w:rsidRPr="00A32171">
        <w:t>FAME</w:t>
      </w:r>
      <w:r w:rsidR="00781AC6">
        <w:t>»</w:t>
      </w:r>
      <w:r w:rsidRPr="00A32171">
        <w:t xml:space="preserve"> могут входить в состав газойля в качестве компонента, при этом классификация вещества не изменяется.</w:t>
      </w:r>
    </w:p>
    <w:p w:rsidR="00A32171" w:rsidRPr="00A32171" w:rsidRDefault="00A32171" w:rsidP="0098333C">
      <w:pPr>
        <w:pStyle w:val="SingleTxtGR"/>
        <w:tabs>
          <w:tab w:val="clear" w:pos="2268"/>
          <w:tab w:val="left" w:pos="2552"/>
        </w:tabs>
        <w:ind w:left="1701"/>
      </w:pPr>
      <w:r w:rsidRPr="00A32171">
        <w:t>ii)</w:t>
      </w:r>
      <w:r w:rsidRPr="00A32171">
        <w:tab/>
        <w:t>Процесс, аналогичный тому, который описан в подпункте i) и в ходе которого поверх первой загрузки производится вторая загрузка в другом месте наполнения. Применяется аналогичная процедура.</w:t>
      </w:r>
    </w:p>
    <w:p w:rsidR="00A32171" w:rsidRPr="00A32171" w:rsidRDefault="002E5132" w:rsidP="002E5132">
      <w:pPr>
        <w:pStyle w:val="HChGR"/>
      </w:pPr>
      <w:r>
        <w:rPr>
          <w:lang w:val="en-US"/>
        </w:rPr>
        <w:lastRenderedPageBreak/>
        <w:tab/>
      </w:r>
      <w:r w:rsidR="00A32171" w:rsidRPr="00A32171">
        <w:t>IV.</w:t>
      </w:r>
      <w:r w:rsidR="00A32171" w:rsidRPr="00A32171">
        <w:tab/>
        <w:t>Ответственность</w:t>
      </w:r>
    </w:p>
    <w:p w:rsidR="00A32171" w:rsidRPr="00A32171" w:rsidRDefault="00A32171" w:rsidP="00781AC6">
      <w:pPr>
        <w:pStyle w:val="SingleTxtGR"/>
      </w:pPr>
      <w:r w:rsidRPr="00A32171">
        <w:t>9.</w:t>
      </w:r>
      <w:r w:rsidRPr="00A32171">
        <w:tab/>
        <w:t xml:space="preserve">Грузоотправитель несет ответственность за предоставление ответственному(ым) за наполнение и перевозчику точных данных в отношении планируемой операции по смешиванию, а также правильной классификации в соответствии с положениями подраздела 1.4.2.1 ВОПОГ. Ответственный за наполнение и перевозчик несут равную ответственность за заполнение Перечня обязательных проверок ВОПОГ согласно подразделу 7.2.4.10 ВОПОГ и разделу 8.6.3 ВОПОГ в части процедуры погрузки, а также за соответствующее информирование членов экипажа. На перевозчика и ответственного за наполнение возложены обязанности в соответствии с положениями подразделов 1.4.2.2 и 1.4.3.3 ВОПОГ соответственно. </w:t>
      </w:r>
    </w:p>
    <w:p w:rsidR="00A32171" w:rsidRPr="00A32171" w:rsidRDefault="002E5132" w:rsidP="002E5132">
      <w:pPr>
        <w:pStyle w:val="HChGR"/>
      </w:pPr>
      <w:r>
        <w:rPr>
          <w:lang w:val="en-US"/>
        </w:rPr>
        <w:tab/>
      </w:r>
      <w:r w:rsidR="00A32171" w:rsidRPr="00A32171">
        <w:t>V.</w:t>
      </w:r>
      <w:r w:rsidR="00A32171" w:rsidRPr="00A32171">
        <w:tab/>
        <w:t>Оценка рисков</w:t>
      </w:r>
    </w:p>
    <w:p w:rsidR="00A32171" w:rsidRPr="00A32171" w:rsidRDefault="00A32171" w:rsidP="00781AC6">
      <w:pPr>
        <w:pStyle w:val="SingleTxtGR"/>
      </w:pPr>
      <w:r w:rsidRPr="00A32171">
        <w:t>10.</w:t>
      </w:r>
      <w:r w:rsidRPr="00A32171">
        <w:tab/>
        <w:t xml:space="preserve">Для целей обеспечения безопасности наиболее независимым и конструктивным образом последствия настоящего предложения рассматриваются как процедура </w:t>
      </w:r>
      <w:r w:rsidR="00781AC6">
        <w:t>«</w:t>
      </w:r>
      <w:r w:rsidRPr="00A32171">
        <w:t>контроля за изменениями</w:t>
      </w:r>
      <w:r w:rsidR="00781AC6">
        <w:t>»</w:t>
      </w:r>
      <w:r w:rsidRPr="00A32171">
        <w:t>. Это означает, что заинтересованные стороны оценивают риски, сопряженные с такими операциями, и сопоставляют последствия этого предложения с действующим законодательством с учетом и при понимании того, что осуществление операций по смешиванию является повседневной практикой.</w:t>
      </w:r>
    </w:p>
    <w:p w:rsidR="00A32171" w:rsidRPr="00A32171" w:rsidRDefault="00A32171" w:rsidP="00781AC6">
      <w:pPr>
        <w:pStyle w:val="SingleTxtGR"/>
      </w:pPr>
      <w:r w:rsidRPr="00A32171">
        <w:t>11.</w:t>
      </w:r>
      <w:r w:rsidRPr="00A32171">
        <w:tab/>
        <w:t>Оценка рисков приводится в неофициальном документе INF. 6, который был одобрен внешним экспертом в области управления безопасностью. Она свидетельствует о том, что настоящее предложение в случае его принятия обеспечивает более низкие риски при осуществлении операций по смешиванию.</w:t>
      </w:r>
    </w:p>
    <w:p w:rsidR="00A32171" w:rsidRPr="00A32171" w:rsidRDefault="00A32171" w:rsidP="00781AC6">
      <w:pPr>
        <w:pStyle w:val="SingleTxtGR"/>
      </w:pPr>
      <w:r w:rsidRPr="00A32171">
        <w:t>12.</w:t>
      </w:r>
      <w:r w:rsidRPr="00A32171">
        <w:tab/>
        <w:t>ФЕТСА полагает, что при наличии четкого определения операций по смешиванию, осуществляемых на борту танкеров внутреннего плавания, включая четкие обязанности участников, положения, касающиеся операций по смешиванию, могут быть включены в ВОПОГ.</w:t>
      </w:r>
    </w:p>
    <w:p w:rsidR="00A32171" w:rsidRPr="00A32171" w:rsidRDefault="00A32171" w:rsidP="00781AC6">
      <w:pPr>
        <w:pStyle w:val="SingleTxtGR"/>
      </w:pPr>
      <w:r w:rsidRPr="00A32171">
        <w:t>13.</w:t>
      </w:r>
      <w:r w:rsidRPr="00A32171">
        <w:tab/>
        <w:t>В этой связи ФЕТСА просит Комитет по вопросам безопасности ВОПОГ провести дальнейшее подробное обсуждение этого предложения в рамках рабочей группы профильных экспертов.</w:t>
      </w:r>
    </w:p>
    <w:p w:rsidR="00381C24" w:rsidRPr="002E5132" w:rsidRDefault="002E5132" w:rsidP="002E5132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2E5132" w:rsidSect="00A3217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AF0" w:rsidRPr="00A312BC" w:rsidRDefault="00F32AF0" w:rsidP="00A312BC"/>
  </w:endnote>
  <w:endnote w:type="continuationSeparator" w:id="0">
    <w:p w:rsidR="00F32AF0" w:rsidRPr="00A312BC" w:rsidRDefault="00F32AF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171" w:rsidRPr="00A32171" w:rsidRDefault="00A32171">
    <w:pPr>
      <w:pStyle w:val="Footer"/>
    </w:pPr>
    <w:r w:rsidRPr="00A32171">
      <w:rPr>
        <w:b/>
        <w:sz w:val="18"/>
      </w:rPr>
      <w:fldChar w:fldCharType="begin"/>
    </w:r>
    <w:r w:rsidRPr="00A32171">
      <w:rPr>
        <w:b/>
        <w:sz w:val="18"/>
      </w:rPr>
      <w:instrText xml:space="preserve"> PAGE  \* MERGEFORMAT </w:instrText>
    </w:r>
    <w:r w:rsidRPr="00A32171">
      <w:rPr>
        <w:b/>
        <w:sz w:val="18"/>
      </w:rPr>
      <w:fldChar w:fldCharType="separate"/>
    </w:r>
    <w:r w:rsidR="00FE1D2E">
      <w:rPr>
        <w:b/>
        <w:noProof/>
        <w:sz w:val="18"/>
      </w:rPr>
      <w:t>2</w:t>
    </w:r>
    <w:r w:rsidRPr="00A32171">
      <w:rPr>
        <w:b/>
        <w:sz w:val="18"/>
      </w:rPr>
      <w:fldChar w:fldCharType="end"/>
    </w:r>
    <w:r>
      <w:rPr>
        <w:b/>
        <w:sz w:val="18"/>
      </w:rPr>
      <w:tab/>
    </w:r>
    <w:r>
      <w:t>GE.17-09459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171" w:rsidRPr="00A32171" w:rsidRDefault="00A32171" w:rsidP="00A32171">
    <w:pPr>
      <w:pStyle w:val="Footer"/>
      <w:tabs>
        <w:tab w:val="clear" w:pos="9639"/>
        <w:tab w:val="right" w:pos="9638"/>
      </w:tabs>
      <w:rPr>
        <w:b/>
        <w:sz w:val="18"/>
      </w:rPr>
    </w:pPr>
    <w:r>
      <w:t>GE.17-09459</w:t>
    </w:r>
    <w:r>
      <w:tab/>
    </w:r>
    <w:r w:rsidRPr="00A32171">
      <w:rPr>
        <w:b/>
        <w:sz w:val="18"/>
      </w:rPr>
      <w:fldChar w:fldCharType="begin"/>
    </w:r>
    <w:r w:rsidRPr="00A32171">
      <w:rPr>
        <w:b/>
        <w:sz w:val="18"/>
      </w:rPr>
      <w:instrText xml:space="preserve"> PAGE  \* MERGEFORMAT </w:instrText>
    </w:r>
    <w:r w:rsidRPr="00A32171">
      <w:rPr>
        <w:b/>
        <w:sz w:val="18"/>
      </w:rPr>
      <w:fldChar w:fldCharType="separate"/>
    </w:r>
    <w:r w:rsidR="00FE1D2E">
      <w:rPr>
        <w:b/>
        <w:noProof/>
        <w:sz w:val="18"/>
      </w:rPr>
      <w:t>3</w:t>
    </w:r>
    <w:r w:rsidRPr="00A3217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A32171" w:rsidRDefault="00A32171" w:rsidP="00A32171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67D152BC" wp14:editId="645FF5A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17-09459  (R)</w:t>
    </w:r>
    <w:r w:rsidR="00D577E8">
      <w:rPr>
        <w:lang w:val="en-US"/>
      </w:rPr>
      <w:t xml:space="preserve">  050717  050717</w:t>
    </w:r>
    <w:r>
      <w:br/>
    </w:r>
    <w:r w:rsidRPr="00A32171">
      <w:rPr>
        <w:rFonts w:ascii="C39T30Lfz" w:hAnsi="C39T30Lfz"/>
        <w:spacing w:val="0"/>
        <w:w w:val="100"/>
        <w:sz w:val="56"/>
      </w:rPr>
      <w:t></w:t>
    </w:r>
    <w:r w:rsidRPr="00A32171">
      <w:rPr>
        <w:rFonts w:ascii="C39T30Lfz" w:hAnsi="C39T30Lfz"/>
        <w:spacing w:val="0"/>
        <w:w w:val="100"/>
        <w:sz w:val="56"/>
      </w:rPr>
      <w:t></w:t>
    </w:r>
    <w:r w:rsidRPr="00A32171">
      <w:rPr>
        <w:rFonts w:ascii="C39T30Lfz" w:hAnsi="C39T30Lfz"/>
        <w:spacing w:val="0"/>
        <w:w w:val="100"/>
        <w:sz w:val="56"/>
      </w:rPr>
      <w:t></w:t>
    </w:r>
    <w:r w:rsidRPr="00A32171">
      <w:rPr>
        <w:rFonts w:ascii="C39T30Lfz" w:hAnsi="C39T30Lfz"/>
        <w:spacing w:val="0"/>
        <w:w w:val="100"/>
        <w:sz w:val="56"/>
      </w:rPr>
      <w:t></w:t>
    </w:r>
    <w:r w:rsidRPr="00A32171">
      <w:rPr>
        <w:rFonts w:ascii="C39T30Lfz" w:hAnsi="C39T30Lfz"/>
        <w:spacing w:val="0"/>
        <w:w w:val="100"/>
        <w:sz w:val="56"/>
      </w:rPr>
      <w:t></w:t>
    </w:r>
    <w:r w:rsidRPr="00A32171">
      <w:rPr>
        <w:rFonts w:ascii="C39T30Lfz" w:hAnsi="C39T30Lfz"/>
        <w:spacing w:val="0"/>
        <w:w w:val="100"/>
        <w:sz w:val="56"/>
      </w:rPr>
      <w:t></w:t>
    </w:r>
    <w:r w:rsidRPr="00A32171">
      <w:rPr>
        <w:rFonts w:ascii="C39T30Lfz" w:hAnsi="C39T30Lfz"/>
        <w:spacing w:val="0"/>
        <w:w w:val="100"/>
        <w:sz w:val="56"/>
      </w:rPr>
      <w:t></w:t>
    </w:r>
    <w:r w:rsidRPr="00A32171">
      <w:rPr>
        <w:rFonts w:ascii="C39T30Lfz" w:hAnsi="C39T30Lfz"/>
        <w:spacing w:val="0"/>
        <w:w w:val="100"/>
        <w:sz w:val="56"/>
      </w:rPr>
      <w:t></w:t>
    </w:r>
    <w:r w:rsidRPr="00A32171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2/2017/4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17/4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AF0" w:rsidRPr="001075E9" w:rsidRDefault="00F32AF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32AF0" w:rsidRDefault="00F32AF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A32171" w:rsidRPr="00D817C1" w:rsidRDefault="00A32171" w:rsidP="00A32171">
      <w:pPr>
        <w:pStyle w:val="FootnoteText"/>
        <w:widowControl w:val="0"/>
        <w:rPr>
          <w:lang w:val="ru-RU"/>
        </w:rPr>
      </w:pPr>
      <w:r>
        <w:rPr>
          <w:lang w:val="ru-RU"/>
        </w:rPr>
        <w:tab/>
      </w:r>
      <w:r w:rsidRPr="00781AC6">
        <w:rPr>
          <w:sz w:val="20"/>
          <w:lang w:val="ru-RU"/>
        </w:rPr>
        <w:t>*</w:t>
      </w:r>
      <w:r w:rsidRPr="00781AC6">
        <w:rPr>
          <w:sz w:val="20"/>
          <w:lang w:val="ru-RU"/>
        </w:rPr>
        <w:tab/>
      </w:r>
      <w:r>
        <w:rPr>
          <w:lang w:val="ru-RU"/>
        </w:rPr>
        <w:t>Распространено на немецком языке Центральной комиссией судоходства по Рейну под условным обозначением CCNR-ZKR/ADN/WP.15/AC.2/2017/44.</w:t>
      </w:r>
    </w:p>
  </w:footnote>
  <w:footnote w:id="2">
    <w:p w:rsidR="00A32171" w:rsidRPr="00D817C1" w:rsidRDefault="00A32171" w:rsidP="00A32171">
      <w:pPr>
        <w:pStyle w:val="FootnoteText"/>
        <w:rPr>
          <w:lang w:val="ru-RU"/>
        </w:rPr>
      </w:pPr>
      <w:r>
        <w:rPr>
          <w:lang w:val="ru-RU"/>
        </w:rPr>
        <w:tab/>
      </w:r>
      <w:r w:rsidRPr="00781AC6">
        <w:rPr>
          <w:sz w:val="20"/>
          <w:lang w:val="ru-RU"/>
        </w:rPr>
        <w:t>**</w:t>
      </w:r>
      <w:r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 w:rsidR="00F872CA" w:rsidRPr="00F872CA">
        <w:rPr>
          <w:lang w:val="ru-RU"/>
        </w:rPr>
        <w:br/>
      </w:r>
      <w:r>
        <w:rPr>
          <w:lang w:val="ru-RU"/>
        </w:rPr>
        <w:t>на 2016–2017 годы (ECE/TRANS/2016/28/Add.1 (9.3)).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171" w:rsidRPr="00A32171" w:rsidRDefault="00C72959">
    <w:pPr>
      <w:pStyle w:val="Header"/>
    </w:pPr>
    <w:fldSimple w:instr=" TITLE  \* MERGEFORMAT ">
      <w:r w:rsidR="00FE1D2E">
        <w:t>ECE/TRANS/WP.15/AC.2/2017/44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171" w:rsidRPr="00A32171" w:rsidRDefault="00C72959" w:rsidP="00A32171">
    <w:pPr>
      <w:pStyle w:val="Header"/>
      <w:jc w:val="right"/>
    </w:pPr>
    <w:fldSimple w:instr=" TITLE  \* MERGEFORMAT ">
      <w:r w:rsidR="00FE1D2E">
        <w:t>ECE/TRANS/WP.15/AC.2/2017/44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2BDB327C"/>
    <w:multiLevelType w:val="hybridMultilevel"/>
    <w:tmpl w:val="9FC2736E"/>
    <w:lvl w:ilvl="0" w:tplc="74EE60D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D3C34"/>
    <w:multiLevelType w:val="hybridMultilevel"/>
    <w:tmpl w:val="27E6EB6E"/>
    <w:lvl w:ilvl="0" w:tplc="7376F31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7F466864"/>
    <w:multiLevelType w:val="hybridMultilevel"/>
    <w:tmpl w:val="61B6D7CC"/>
    <w:lvl w:ilvl="0" w:tplc="C3E47D32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8"/>
  </w:num>
  <w:num w:numId="2">
    <w:abstractNumId w:val="12"/>
  </w:num>
  <w:num w:numId="3">
    <w:abstractNumId w:val="10"/>
  </w:num>
  <w:num w:numId="4">
    <w:abstractNumId w:val="19"/>
  </w:num>
  <w:num w:numId="5">
    <w:abstractNumId w:val="1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13"/>
  </w:num>
  <w:num w:numId="18">
    <w:abstractNumId w:val="16"/>
  </w:num>
  <w:num w:numId="19">
    <w:abstractNumId w:val="17"/>
  </w:num>
  <w:num w:numId="20">
    <w:abstractNumId w:val="13"/>
  </w:num>
  <w:num w:numId="21">
    <w:abstractNumId w:val="16"/>
  </w:num>
  <w:num w:numId="22">
    <w:abstractNumId w:val="17"/>
  </w:num>
  <w:num w:numId="23">
    <w:abstractNumId w:val="13"/>
  </w:num>
  <w:num w:numId="24">
    <w:abstractNumId w:val="16"/>
  </w:num>
  <w:num w:numId="25">
    <w:abstractNumId w:val="11"/>
    <w:lvlOverride w:ilvl="0">
      <w:lvl w:ilvl="0" w:tplc="74EE60D2">
        <w:start w:val="1"/>
        <w:numFmt w:val="upperRoman"/>
        <w:lvlText w:val="%1."/>
        <w:lvlJc w:val="left"/>
        <w:pPr>
          <w:ind w:left="1287" w:hanging="720"/>
        </w:pPr>
        <w:rPr>
          <w:rFonts w:hint="default"/>
        </w:rPr>
      </w:lvl>
    </w:lvlOverride>
  </w:num>
  <w:num w:numId="26">
    <w:abstractNumId w:val="14"/>
    <w:lvlOverride w:ilvl="0">
      <w:lvl w:ilvl="0" w:tplc="7376F316">
        <w:start w:val="1"/>
        <w:numFmt w:val="decimal"/>
        <w:lvlText w:val="%1."/>
        <w:lvlJc w:val="left"/>
        <w:pPr>
          <w:ind w:left="1494" w:hanging="360"/>
        </w:pPr>
        <w:rPr>
          <w:rFonts w:hint="default"/>
        </w:rPr>
      </w:lvl>
    </w:lvlOverride>
  </w:num>
  <w:num w:numId="27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F0"/>
    <w:rsid w:val="00033EE1"/>
    <w:rsid w:val="00042B72"/>
    <w:rsid w:val="00043B08"/>
    <w:rsid w:val="000558BD"/>
    <w:rsid w:val="000857D2"/>
    <w:rsid w:val="000B57E7"/>
    <w:rsid w:val="000B6373"/>
    <w:rsid w:val="000F09DF"/>
    <w:rsid w:val="000F61B2"/>
    <w:rsid w:val="001075E9"/>
    <w:rsid w:val="0014152F"/>
    <w:rsid w:val="00142F5E"/>
    <w:rsid w:val="00180183"/>
    <w:rsid w:val="0018024D"/>
    <w:rsid w:val="0018649F"/>
    <w:rsid w:val="00196389"/>
    <w:rsid w:val="001B3EF6"/>
    <w:rsid w:val="001C7A89"/>
    <w:rsid w:val="001D5C5A"/>
    <w:rsid w:val="001E6B34"/>
    <w:rsid w:val="00266AAA"/>
    <w:rsid w:val="002979E2"/>
    <w:rsid w:val="002A2EFC"/>
    <w:rsid w:val="002B74B1"/>
    <w:rsid w:val="002C0E18"/>
    <w:rsid w:val="002D45A7"/>
    <w:rsid w:val="002D5AAC"/>
    <w:rsid w:val="002E5067"/>
    <w:rsid w:val="002E5132"/>
    <w:rsid w:val="002F405F"/>
    <w:rsid w:val="002F7011"/>
    <w:rsid w:val="002F7EEC"/>
    <w:rsid w:val="00301299"/>
    <w:rsid w:val="00305C08"/>
    <w:rsid w:val="00307FB6"/>
    <w:rsid w:val="00317339"/>
    <w:rsid w:val="00322004"/>
    <w:rsid w:val="003402C2"/>
    <w:rsid w:val="00381C24"/>
    <w:rsid w:val="003958D0"/>
    <w:rsid w:val="003A0D43"/>
    <w:rsid w:val="003B00E5"/>
    <w:rsid w:val="00407B78"/>
    <w:rsid w:val="00424203"/>
    <w:rsid w:val="0042551A"/>
    <w:rsid w:val="00452493"/>
    <w:rsid w:val="00453318"/>
    <w:rsid w:val="00454E07"/>
    <w:rsid w:val="00472C5C"/>
    <w:rsid w:val="0050108D"/>
    <w:rsid w:val="005018B9"/>
    <w:rsid w:val="00513081"/>
    <w:rsid w:val="00517901"/>
    <w:rsid w:val="00526683"/>
    <w:rsid w:val="005709E0"/>
    <w:rsid w:val="00572E19"/>
    <w:rsid w:val="005961C8"/>
    <w:rsid w:val="005966F1"/>
    <w:rsid w:val="005B2F86"/>
    <w:rsid w:val="005D7914"/>
    <w:rsid w:val="005E2B41"/>
    <w:rsid w:val="005F0B42"/>
    <w:rsid w:val="005F1707"/>
    <w:rsid w:val="00640F49"/>
    <w:rsid w:val="00681A10"/>
    <w:rsid w:val="006A16E3"/>
    <w:rsid w:val="006A1ED8"/>
    <w:rsid w:val="006C2031"/>
    <w:rsid w:val="006D461A"/>
    <w:rsid w:val="006F35EE"/>
    <w:rsid w:val="007021FF"/>
    <w:rsid w:val="00712895"/>
    <w:rsid w:val="00734ACB"/>
    <w:rsid w:val="00757357"/>
    <w:rsid w:val="00781AC6"/>
    <w:rsid w:val="00792497"/>
    <w:rsid w:val="00806737"/>
    <w:rsid w:val="00811570"/>
    <w:rsid w:val="00825F8D"/>
    <w:rsid w:val="00834B71"/>
    <w:rsid w:val="0086445C"/>
    <w:rsid w:val="00892108"/>
    <w:rsid w:val="00894693"/>
    <w:rsid w:val="008A08D7"/>
    <w:rsid w:val="008B6909"/>
    <w:rsid w:val="008C30BC"/>
    <w:rsid w:val="00906890"/>
    <w:rsid w:val="00911BE4"/>
    <w:rsid w:val="00951972"/>
    <w:rsid w:val="009608F3"/>
    <w:rsid w:val="0098333C"/>
    <w:rsid w:val="00985EF1"/>
    <w:rsid w:val="009A24AC"/>
    <w:rsid w:val="00A14DA8"/>
    <w:rsid w:val="00A21F00"/>
    <w:rsid w:val="00A312BC"/>
    <w:rsid w:val="00A32171"/>
    <w:rsid w:val="00A84021"/>
    <w:rsid w:val="00A84D35"/>
    <w:rsid w:val="00A917B3"/>
    <w:rsid w:val="00AB4B51"/>
    <w:rsid w:val="00AC3430"/>
    <w:rsid w:val="00B10CC7"/>
    <w:rsid w:val="00B36DF7"/>
    <w:rsid w:val="00B539E7"/>
    <w:rsid w:val="00B62458"/>
    <w:rsid w:val="00BC18B2"/>
    <w:rsid w:val="00BD33EE"/>
    <w:rsid w:val="00BF21E1"/>
    <w:rsid w:val="00C106D6"/>
    <w:rsid w:val="00C60F0C"/>
    <w:rsid w:val="00C72959"/>
    <w:rsid w:val="00C805C9"/>
    <w:rsid w:val="00C92939"/>
    <w:rsid w:val="00CA1679"/>
    <w:rsid w:val="00CB151C"/>
    <w:rsid w:val="00CE5A1A"/>
    <w:rsid w:val="00CF55F6"/>
    <w:rsid w:val="00D33D63"/>
    <w:rsid w:val="00D5253A"/>
    <w:rsid w:val="00D577E8"/>
    <w:rsid w:val="00D62A45"/>
    <w:rsid w:val="00D90028"/>
    <w:rsid w:val="00D90138"/>
    <w:rsid w:val="00DD44B1"/>
    <w:rsid w:val="00DD78D1"/>
    <w:rsid w:val="00DE32CD"/>
    <w:rsid w:val="00DF71B9"/>
    <w:rsid w:val="00E73F76"/>
    <w:rsid w:val="00E90403"/>
    <w:rsid w:val="00EA2C9F"/>
    <w:rsid w:val="00EA420E"/>
    <w:rsid w:val="00ED0BDA"/>
    <w:rsid w:val="00EE142A"/>
    <w:rsid w:val="00EF1360"/>
    <w:rsid w:val="00EF3220"/>
    <w:rsid w:val="00F2288C"/>
    <w:rsid w:val="00F32AF0"/>
    <w:rsid w:val="00F43903"/>
    <w:rsid w:val="00F872CA"/>
    <w:rsid w:val="00F94155"/>
    <w:rsid w:val="00F9783F"/>
    <w:rsid w:val="00FD2EF7"/>
    <w:rsid w:val="00FE1D2E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E5F624F-F364-4E5B-AC19-8B15BDF2A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70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811570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811570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811570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811570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811570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811570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81157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811570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81157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811570"/>
    <w:pPr>
      <w:numPr>
        <w:numId w:val="22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811570"/>
    <w:pPr>
      <w:numPr>
        <w:numId w:val="23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811570"/>
    <w:pPr>
      <w:numPr>
        <w:numId w:val="24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811570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811570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811570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811570"/>
    <w:rPr>
      <w:b/>
      <w:spacing w:val="4"/>
      <w:w w:val="103"/>
      <w:kern w:val="14"/>
      <w:sz w:val="18"/>
      <w:lang w:val="en-GB" w:eastAsia="ru-RU"/>
    </w:rPr>
  </w:style>
  <w:style w:type="character" w:styleId="Hyperlink">
    <w:name w:val="Hyperlink"/>
    <w:basedOn w:val="DefaultParagraphFont"/>
    <w:uiPriority w:val="99"/>
    <w:unhideWhenUsed/>
    <w:rsid w:val="00811570"/>
    <w:rPr>
      <w:color w:val="0000FF" w:themeColor="hyperlink"/>
      <w:u w:val="none"/>
    </w:rPr>
  </w:style>
  <w:style w:type="character" w:styleId="FootnoteReference">
    <w:name w:val="footnote reference"/>
    <w:aliases w:val="4_GR"/>
    <w:basedOn w:val="DefaultParagraphFont"/>
    <w:qFormat/>
    <w:rsid w:val="00811570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811570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811570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811570"/>
    <w:rPr>
      <w:spacing w:val="4"/>
      <w:w w:val="103"/>
      <w:kern w:val="14"/>
      <w:sz w:val="16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811570"/>
    <w:rPr>
      <w:rFonts w:ascii="Times New Roman" w:hAnsi="Times New Roman"/>
      <w:b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11570"/>
    <w:rPr>
      <w:color w:val="800080" w:themeColor="followedHyperlink"/>
      <w:u w:val="none"/>
    </w:rPr>
  </w:style>
  <w:style w:type="table" w:styleId="TableGrid">
    <w:name w:val="Table Grid"/>
    <w:basedOn w:val="TableNormal"/>
    <w:uiPriority w:val="59"/>
    <w:rsid w:val="002979E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811570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811570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811570"/>
    <w:rPr>
      <w:rFonts w:cs="Arial"/>
      <w:b/>
      <w:bCs/>
      <w:spacing w:val="4"/>
      <w:w w:val="103"/>
      <w:kern w:val="14"/>
      <w:szCs w:val="32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811570"/>
  </w:style>
  <w:style w:type="character" w:customStyle="1" w:styleId="EndnoteTextChar">
    <w:name w:val="Endnote Text Char"/>
    <w:aliases w:val="2_GR Char"/>
    <w:basedOn w:val="DefaultParagraphFont"/>
    <w:link w:val="EndnoteText"/>
    <w:rsid w:val="00811570"/>
    <w:rPr>
      <w:spacing w:val="5"/>
      <w:w w:val="104"/>
      <w:kern w:val="14"/>
      <w:sz w:val="18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1250</Words>
  <Characters>7125</Characters>
  <Application>Microsoft Office Word</Application>
  <DocSecurity>0</DocSecurity>
  <Lines>59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ECE/TRANS/WP.15/AC.2/2017/44</vt:lpstr>
      <vt:lpstr>ECE/TRANS/WP.15/AC.2/2017/44</vt:lpstr>
      <vt:lpstr>A/</vt:lpstr>
    </vt:vector>
  </TitlesOfParts>
  <Company>DCM</Company>
  <LinksUpToDate>false</LinksUpToDate>
  <CharactersWithSpaces>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ECE/TRANS/WP.15/AC.2/2017/44</dc:title>
  <dc:subject/>
  <dc:creator>Sharkina</dc:creator>
  <cp:keywords/>
  <cp:lastModifiedBy>Marie-Claude Collet</cp:lastModifiedBy>
  <cp:revision>3</cp:revision>
  <cp:lastPrinted>2017-07-06T06:11:00Z</cp:lastPrinted>
  <dcterms:created xsi:type="dcterms:W3CDTF">2017-07-06T06:11:00Z</dcterms:created>
  <dcterms:modified xsi:type="dcterms:W3CDTF">2017-07-06T06:11:00Z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