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bookmarkStart w:id="2" w:name="_GoBack"/>
            <w:bookmarkEnd w:id="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0B0D36">
            <w:pPr>
              <w:jc w:val="right"/>
              <w:rPr>
                <w:snapToGrid/>
                <w:lang w:eastAsia="en-US"/>
              </w:rPr>
            </w:pPr>
            <w:r w:rsidRPr="00650142">
              <w:rPr>
                <w:snapToGrid/>
                <w:sz w:val="40"/>
                <w:lang w:eastAsia="en-US"/>
              </w:rPr>
              <w:t>ECE</w:t>
            </w:r>
            <w:r w:rsidRPr="00650142">
              <w:rPr>
                <w:snapToGrid/>
                <w:lang w:eastAsia="en-US"/>
              </w:rPr>
              <w:t>/TRANS/WP.15/AC.2/2017/</w:t>
            </w:r>
            <w:r w:rsidR="000B0D36">
              <w:rPr>
                <w:snapToGrid/>
                <w:lang w:eastAsia="en-US"/>
              </w:rPr>
              <w:t>24</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eastAsia="en-GB"/>
              </w:rPr>
              <w:drawing>
                <wp:inline distT="0" distB="0" distL="0" distR="0" wp14:anchorId="0B286CAA" wp14:editId="28DD64BD">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proofErr w:type="spellStart"/>
            <w:r w:rsidRPr="00650142">
              <w:rPr>
                <w:snapToGrid/>
                <w:lang w:val="fr-FR" w:eastAsia="en-US"/>
              </w:rPr>
              <w:t>Distr</w:t>
            </w:r>
            <w:proofErr w:type="spellEnd"/>
            <w:r w:rsidRPr="00650142">
              <w:rPr>
                <w:snapToGrid/>
                <w:lang w:val="fr-FR" w:eastAsia="en-US"/>
              </w:rPr>
              <w:t>. générale</w:t>
            </w:r>
          </w:p>
          <w:p w:rsidR="00650142" w:rsidRPr="00650142" w:rsidRDefault="009229CB" w:rsidP="00650142">
            <w:pPr>
              <w:spacing w:line="240" w:lineRule="exact"/>
              <w:rPr>
                <w:snapToGrid/>
                <w:lang w:val="fr-FR" w:eastAsia="en-US"/>
              </w:rPr>
            </w:pPr>
            <w:r w:rsidRPr="009229CB">
              <w:rPr>
                <w:snapToGrid/>
                <w:lang w:val="fr-FR" w:eastAsia="en-US"/>
              </w:rPr>
              <w:t xml:space="preserve">24 </w:t>
            </w:r>
            <w:r w:rsidR="00131D66" w:rsidRPr="009229CB">
              <w:rPr>
                <w:snapToGrid/>
                <w:lang w:val="fr-FR" w:eastAsia="en-US"/>
              </w:rPr>
              <w:t>mai</w:t>
            </w:r>
            <w:r w:rsidR="00650142" w:rsidRPr="009229CB">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9229CB" w:rsidRDefault="00650142" w:rsidP="00650142">
      <w:pPr>
        <w:spacing w:before="120"/>
        <w:rPr>
          <w:b/>
          <w:snapToGrid/>
          <w:lang w:val="fr-CH" w:eastAsia="en-US"/>
        </w:rPr>
      </w:pPr>
      <w:r w:rsidRPr="009229CB">
        <w:rPr>
          <w:b/>
          <w:snapToGrid/>
          <w:lang w:val="fr-CH" w:eastAsia="en-US"/>
        </w:rPr>
        <w:t>Trente-et-unième session</w:t>
      </w:r>
    </w:p>
    <w:p w:rsidR="00650142" w:rsidRPr="009229CB" w:rsidRDefault="00650142" w:rsidP="00650142">
      <w:pPr>
        <w:rPr>
          <w:snapToGrid/>
          <w:lang w:val="fr-CH" w:eastAsia="en-US"/>
        </w:rPr>
      </w:pPr>
      <w:r w:rsidRPr="009229CB">
        <w:rPr>
          <w:snapToGrid/>
          <w:lang w:val="fr-CH" w:eastAsia="en-US"/>
        </w:rPr>
        <w:t>Genève, 28-31 août 2017</w:t>
      </w:r>
    </w:p>
    <w:p w:rsidR="00650142" w:rsidRPr="009229CB" w:rsidRDefault="00650142" w:rsidP="00650142">
      <w:pPr>
        <w:rPr>
          <w:snapToGrid/>
          <w:lang w:val="fr-CH" w:eastAsia="en-US"/>
        </w:rPr>
      </w:pPr>
      <w:r w:rsidRPr="009229CB">
        <w:rPr>
          <w:snapToGrid/>
          <w:lang w:val="fr-CH" w:eastAsia="en-US"/>
        </w:rPr>
        <w:t>Point 4 b) de l’ordre du jour provisoire</w:t>
      </w:r>
    </w:p>
    <w:p w:rsidR="00650142" w:rsidRPr="009229CB" w:rsidRDefault="00650142" w:rsidP="00650142">
      <w:pPr>
        <w:rPr>
          <w:b/>
          <w:snapToGrid/>
          <w:lang w:val="fr-CH" w:eastAsia="en-US"/>
        </w:rPr>
      </w:pPr>
      <w:r w:rsidRPr="009229CB">
        <w:rPr>
          <w:b/>
          <w:snapToGrid/>
          <w:lang w:val="fr-CH" w:eastAsia="en-US"/>
        </w:rPr>
        <w:t xml:space="preserve">Propositions d’amendements au Règlement annexé à l’ADN: </w:t>
      </w:r>
      <w:r w:rsidRPr="009229CB">
        <w:rPr>
          <w:b/>
          <w:snapToGrid/>
          <w:lang w:val="fr-CH" w:eastAsia="en-US"/>
        </w:rPr>
        <w:br/>
        <w:t>autres propositions</w:t>
      </w:r>
      <w:bookmarkEnd w:id="0"/>
      <w:bookmarkEnd w:id="1"/>
    </w:p>
    <w:p w:rsidR="00D054BC" w:rsidRPr="006747E6" w:rsidRDefault="00D054BC" w:rsidP="00D054BC">
      <w:pPr>
        <w:pStyle w:val="HChG"/>
        <w:rPr>
          <w:snapToGrid/>
          <w:lang w:val="fr-FR"/>
        </w:rPr>
      </w:pPr>
      <w:r w:rsidRPr="009229CB">
        <w:rPr>
          <w:snapToGrid/>
          <w:lang w:val="fr-FR"/>
        </w:rPr>
        <w:tab/>
      </w:r>
      <w:r w:rsidRPr="009229CB">
        <w:rPr>
          <w:snapToGrid/>
          <w:lang w:val="fr-FR"/>
        </w:rPr>
        <w:tab/>
        <w:t>Sous-section</w:t>
      </w:r>
      <w:r w:rsidRPr="006747E6">
        <w:rPr>
          <w:snapToGrid/>
          <w:lang w:val="fr-FR"/>
        </w:rPr>
        <w:t xml:space="preserve"> 7.2.4.9 de l’ADN – Transbordement</w:t>
      </w:r>
    </w:p>
    <w:p w:rsidR="00D054BC" w:rsidRPr="006747E6" w:rsidRDefault="00D054BC" w:rsidP="00D054BC">
      <w:pPr>
        <w:tabs>
          <w:tab w:val="right" w:pos="851"/>
        </w:tabs>
        <w:snapToGrid w:val="0"/>
        <w:spacing w:line="300" w:lineRule="exact"/>
        <w:ind w:left="1134" w:right="1134" w:hanging="1134"/>
        <w:jc w:val="both"/>
        <w:rPr>
          <w:vertAlign w:val="superscript"/>
          <w:lang w:val="fr-FR"/>
        </w:rPr>
      </w:pPr>
      <w:r w:rsidRPr="006747E6">
        <w:rPr>
          <w:lang w:val="fr-FR"/>
        </w:rPr>
        <w:tab/>
      </w:r>
      <w:r w:rsidRPr="006747E6">
        <w:rPr>
          <w:lang w:val="fr-FR"/>
        </w:rPr>
        <w:tab/>
      </w:r>
      <w:r w:rsidRPr="006747E6">
        <w:rPr>
          <w:b/>
          <w:sz w:val="24"/>
          <w:lang w:val="fr-FR"/>
        </w:rPr>
        <w:t>Communication du Gouvernement de l’Allemagne</w:t>
      </w:r>
      <w:r w:rsidRPr="00BB262C">
        <w:rPr>
          <w:lang w:val="fr-FR"/>
        </w:rPr>
        <w:footnoteReference w:id="2"/>
      </w:r>
      <w:r w:rsidRPr="006747E6">
        <w:rPr>
          <w:vertAlign w:val="superscript"/>
          <w:lang w:val="fr-FR"/>
        </w:rPr>
        <w:t>,</w:t>
      </w:r>
      <w:r w:rsidRPr="00BB262C">
        <w:rPr>
          <w:rStyle w:val="FootnoteReference"/>
          <w:sz w:val="20"/>
          <w:vertAlign w:val="baseline"/>
          <w:lang w:val="fr-FR"/>
        </w:rPr>
        <w:footnoteReference w:customMarkFollows="1" w:id="3"/>
        <w:t>*</w:t>
      </w:r>
      <w:r w:rsidR="00BB262C" w:rsidRPr="00BB262C">
        <w:rPr>
          <w:lang w:val="fr-FR"/>
        </w:rPr>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13819" w:rsidTr="00213819">
        <w:trPr>
          <w:jc w:val="center"/>
        </w:trPr>
        <w:tc>
          <w:tcPr>
            <w:tcW w:w="9637" w:type="dxa"/>
            <w:shd w:val="clear" w:color="auto" w:fill="auto"/>
          </w:tcPr>
          <w:p w:rsidR="00213819" w:rsidRPr="00213819" w:rsidRDefault="00213819" w:rsidP="00213819">
            <w:pPr>
              <w:spacing w:before="240" w:after="120"/>
              <w:ind w:left="255"/>
              <w:rPr>
                <w:i/>
                <w:sz w:val="24"/>
                <w:lang w:val="fr-CH" w:eastAsia="en-US"/>
              </w:rPr>
            </w:pPr>
            <w:r w:rsidRPr="00213819">
              <w:rPr>
                <w:i/>
                <w:sz w:val="24"/>
                <w:lang w:val="fr-CH" w:eastAsia="en-US"/>
              </w:rPr>
              <w:t xml:space="preserve">Résumé </w:t>
            </w:r>
          </w:p>
        </w:tc>
      </w:tr>
      <w:tr w:rsidR="00213819" w:rsidTr="00213819">
        <w:trPr>
          <w:jc w:val="center"/>
        </w:trPr>
        <w:tc>
          <w:tcPr>
            <w:tcW w:w="9637" w:type="dxa"/>
            <w:shd w:val="clear" w:color="auto" w:fill="auto"/>
          </w:tcPr>
          <w:p w:rsidR="00213819" w:rsidRDefault="00213819" w:rsidP="00213819">
            <w:pPr>
              <w:widowControl w:val="0"/>
              <w:tabs>
                <w:tab w:val="left" w:pos="284"/>
                <w:tab w:val="left" w:pos="1149"/>
                <w:tab w:val="left" w:pos="3129"/>
              </w:tabs>
              <w:suppressAutoHyphens w:val="0"/>
              <w:overflowPunct w:val="0"/>
              <w:autoSpaceDE w:val="0"/>
              <w:autoSpaceDN w:val="0"/>
              <w:adjustRightInd w:val="0"/>
              <w:spacing w:before="120" w:after="120"/>
              <w:ind w:right="567"/>
              <w:textAlignment w:val="baseline"/>
              <w:rPr>
                <w:lang w:val="fr-CH" w:eastAsia="en-US"/>
              </w:rPr>
            </w:pPr>
            <w:r>
              <w:rPr>
                <w:b/>
                <w:color w:val="000000"/>
                <w:lang w:val="fr-FR"/>
              </w:rPr>
              <w:tab/>
            </w:r>
            <w:r>
              <w:rPr>
                <w:b/>
                <w:color w:val="000000"/>
                <w:lang w:val="fr-FR"/>
              </w:rPr>
              <w:tab/>
            </w:r>
            <w:r w:rsidRPr="006747E6">
              <w:rPr>
                <w:b/>
                <w:color w:val="000000"/>
                <w:lang w:val="fr-FR"/>
              </w:rPr>
              <w:t>Résumé</w:t>
            </w:r>
            <w:r>
              <w:rPr>
                <w:b/>
                <w:color w:val="000000"/>
                <w:lang w:val="fr-FR"/>
              </w:rPr>
              <w:t xml:space="preserve"> Analytique</w:t>
            </w:r>
            <w:r w:rsidRPr="006747E6">
              <w:rPr>
                <w:b/>
                <w:color w:val="000000"/>
                <w:lang w:val="fr-FR"/>
              </w:rPr>
              <w:t>:</w:t>
            </w:r>
            <w:r>
              <w:rPr>
                <w:b/>
                <w:color w:val="000000"/>
                <w:lang w:val="fr-FR"/>
              </w:rPr>
              <w:t xml:space="preserve"> </w:t>
            </w:r>
            <w:r>
              <w:rPr>
                <w:b/>
                <w:color w:val="000000"/>
                <w:lang w:val="fr-FR"/>
              </w:rPr>
              <w:tab/>
            </w:r>
            <w:r w:rsidRPr="006747E6">
              <w:rPr>
                <w:color w:val="000000"/>
                <w:lang w:val="fr-FR"/>
              </w:rPr>
              <w:t xml:space="preserve">Il subsiste des incertitudes en liaison avec l'application de la sous-section </w:t>
            </w:r>
            <w:r>
              <w:rPr>
                <w:color w:val="000000"/>
                <w:lang w:val="fr-FR"/>
              </w:rPr>
              <w:tab/>
            </w:r>
            <w:r>
              <w:rPr>
                <w:color w:val="000000"/>
                <w:lang w:val="fr-FR"/>
              </w:rPr>
              <w:tab/>
            </w:r>
            <w:r>
              <w:rPr>
                <w:color w:val="000000"/>
                <w:lang w:val="fr-FR"/>
              </w:rPr>
              <w:tab/>
            </w:r>
            <w:r w:rsidRPr="006747E6">
              <w:rPr>
                <w:color w:val="000000"/>
                <w:lang w:val="fr-FR"/>
              </w:rPr>
              <w:t xml:space="preserve">7.2.4.9 ADN en ce qui concerne le transbordement entre deux citernes à </w:t>
            </w:r>
            <w:r>
              <w:rPr>
                <w:color w:val="000000"/>
                <w:lang w:val="fr-FR"/>
              </w:rPr>
              <w:tab/>
            </w:r>
            <w:r>
              <w:rPr>
                <w:color w:val="000000"/>
                <w:lang w:val="fr-FR"/>
              </w:rPr>
              <w:tab/>
            </w:r>
            <w:r>
              <w:rPr>
                <w:color w:val="000000"/>
                <w:lang w:val="fr-FR"/>
              </w:rPr>
              <w:tab/>
            </w:r>
            <w:r w:rsidRPr="006747E6">
              <w:rPr>
                <w:color w:val="000000"/>
                <w:lang w:val="fr-FR"/>
              </w:rPr>
              <w:t>cargaison de deux bateaux avitailleurs.</w:t>
            </w:r>
          </w:p>
        </w:tc>
      </w:tr>
      <w:tr w:rsidR="00213819" w:rsidTr="00213819">
        <w:trPr>
          <w:jc w:val="center"/>
        </w:trPr>
        <w:tc>
          <w:tcPr>
            <w:tcW w:w="9637" w:type="dxa"/>
            <w:shd w:val="clear" w:color="auto" w:fill="auto"/>
          </w:tcPr>
          <w:p w:rsidR="00213819" w:rsidRDefault="00213819" w:rsidP="00213819">
            <w:pPr>
              <w:tabs>
                <w:tab w:val="left" w:pos="1129"/>
                <w:tab w:val="left" w:pos="3139"/>
              </w:tabs>
              <w:spacing w:before="120" w:after="120"/>
              <w:rPr>
                <w:lang w:val="fr-CH" w:eastAsia="en-US"/>
              </w:rPr>
            </w:pPr>
            <w:r>
              <w:rPr>
                <w:b/>
                <w:color w:val="000000"/>
                <w:lang w:val="fr-FR"/>
              </w:rPr>
              <w:tab/>
              <w:t>Mesure à prendre</w:t>
            </w:r>
            <w:r w:rsidRPr="006747E6">
              <w:rPr>
                <w:b/>
                <w:color w:val="000000"/>
                <w:lang w:val="fr-FR"/>
              </w:rPr>
              <w:t>:</w:t>
            </w:r>
            <w:r>
              <w:rPr>
                <w:b/>
                <w:color w:val="000000"/>
                <w:lang w:val="fr-FR"/>
              </w:rPr>
              <w:tab/>
            </w:r>
            <w:r w:rsidRPr="006747E6">
              <w:rPr>
                <w:bCs/>
                <w:color w:val="000000"/>
                <w:lang w:val="fr-FR"/>
              </w:rPr>
              <w:t xml:space="preserve">Ajout d'une 2ème remarque à la fin de la sous-section 7.2.4.9 ADN. </w:t>
            </w:r>
            <w:r>
              <w:rPr>
                <w:bCs/>
                <w:color w:val="000000"/>
                <w:lang w:val="fr-FR"/>
              </w:rPr>
              <w:tab/>
            </w:r>
            <w:r>
              <w:rPr>
                <w:bCs/>
                <w:color w:val="000000"/>
                <w:lang w:val="fr-FR"/>
              </w:rPr>
              <w:tab/>
            </w:r>
            <w:r>
              <w:rPr>
                <w:bCs/>
                <w:color w:val="000000"/>
                <w:lang w:val="fr-FR"/>
              </w:rPr>
              <w:tab/>
            </w:r>
            <w:r w:rsidRPr="006747E6">
              <w:rPr>
                <w:bCs/>
                <w:color w:val="000000"/>
                <w:lang w:val="fr-FR"/>
              </w:rPr>
              <w:t xml:space="preserve">Complément au 7.2.4.7.2 ADN concernant la remise de produits pour </w:t>
            </w:r>
            <w:r>
              <w:rPr>
                <w:bCs/>
                <w:color w:val="000000"/>
                <w:lang w:val="fr-FR"/>
              </w:rPr>
              <w:tab/>
            </w:r>
            <w:r>
              <w:rPr>
                <w:bCs/>
                <w:color w:val="000000"/>
                <w:lang w:val="fr-FR"/>
              </w:rPr>
              <w:tab/>
            </w:r>
            <w:r>
              <w:rPr>
                <w:bCs/>
                <w:color w:val="000000"/>
                <w:lang w:val="fr-FR"/>
              </w:rPr>
              <w:tab/>
            </w:r>
            <w:r w:rsidRPr="006747E6">
              <w:rPr>
                <w:bCs/>
                <w:color w:val="000000"/>
                <w:lang w:val="fr-FR"/>
              </w:rPr>
              <w:t>l'exploitation des bateaux.</w:t>
            </w:r>
          </w:p>
        </w:tc>
      </w:tr>
      <w:tr w:rsidR="00213819" w:rsidTr="00213819">
        <w:trPr>
          <w:jc w:val="center"/>
        </w:trPr>
        <w:tc>
          <w:tcPr>
            <w:tcW w:w="9637" w:type="dxa"/>
            <w:shd w:val="clear" w:color="auto" w:fill="auto"/>
          </w:tcPr>
          <w:p w:rsidR="00213819" w:rsidRPr="006747E6" w:rsidRDefault="00213819" w:rsidP="00213819">
            <w:pPr>
              <w:tabs>
                <w:tab w:val="left" w:pos="1119"/>
                <w:tab w:val="left" w:pos="3118"/>
              </w:tabs>
              <w:rPr>
                <w:b/>
                <w:color w:val="000000"/>
                <w:lang w:val="fr-FR"/>
              </w:rPr>
            </w:pPr>
            <w:r>
              <w:rPr>
                <w:b/>
                <w:color w:val="000000"/>
                <w:lang w:val="fr-FR"/>
              </w:rPr>
              <w:tab/>
            </w:r>
            <w:r w:rsidRPr="006747E6">
              <w:rPr>
                <w:b/>
                <w:color w:val="000000"/>
                <w:lang w:val="fr-FR"/>
              </w:rPr>
              <w:t>Documents connexes :</w:t>
            </w:r>
            <w:r>
              <w:rPr>
                <w:b/>
                <w:color w:val="000000"/>
                <w:lang w:val="fr-FR"/>
              </w:rPr>
              <w:t xml:space="preserve"> </w:t>
            </w:r>
            <w:r>
              <w:rPr>
                <w:b/>
                <w:color w:val="000000"/>
                <w:lang w:val="fr-FR"/>
              </w:rPr>
              <w:tab/>
            </w:r>
            <w:r w:rsidRPr="00213819">
              <w:rPr>
                <w:color w:val="000000"/>
                <w:lang w:val="fr-FR"/>
              </w:rPr>
              <w:t>Aucun</w:t>
            </w:r>
          </w:p>
        </w:tc>
      </w:tr>
      <w:tr w:rsidR="00213819" w:rsidTr="00213819">
        <w:trPr>
          <w:jc w:val="center"/>
        </w:trPr>
        <w:tc>
          <w:tcPr>
            <w:tcW w:w="9637" w:type="dxa"/>
            <w:shd w:val="clear" w:color="auto" w:fill="auto"/>
          </w:tcPr>
          <w:p w:rsidR="00213819" w:rsidRPr="006747E6" w:rsidRDefault="00213819" w:rsidP="00213819">
            <w:pPr>
              <w:rPr>
                <w:b/>
                <w:color w:val="000000"/>
                <w:lang w:val="fr-FR"/>
              </w:rPr>
            </w:pPr>
          </w:p>
        </w:tc>
      </w:tr>
    </w:tbl>
    <w:p w:rsidR="00D054BC" w:rsidRDefault="00D054BC" w:rsidP="00213819">
      <w:pPr>
        <w:rPr>
          <w:snapToGrid/>
          <w:lang w:val="fr-CH" w:eastAsia="en-US"/>
        </w:rPr>
      </w:pPr>
    </w:p>
    <w:p w:rsidR="00D054BC" w:rsidRDefault="00D054BC" w:rsidP="00650142">
      <w:pPr>
        <w:rPr>
          <w:b/>
          <w:snapToGrid/>
          <w:lang w:val="fr-CH" w:eastAsia="en-US"/>
        </w:rPr>
      </w:pPr>
    </w:p>
    <w:p w:rsidR="00D054BC" w:rsidRDefault="00D054BC" w:rsidP="00650142">
      <w:pPr>
        <w:rPr>
          <w:b/>
          <w:snapToGrid/>
          <w:lang w:val="fr-CH" w:eastAsia="en-US"/>
        </w:rPr>
      </w:pPr>
    </w:p>
    <w:p w:rsidR="00213819" w:rsidRPr="006747E6" w:rsidRDefault="00213819" w:rsidP="00213819">
      <w:pPr>
        <w:pStyle w:val="H1G"/>
        <w:rPr>
          <w:snapToGrid/>
          <w:lang w:val="fr-FR"/>
        </w:rPr>
      </w:pPr>
      <w:r>
        <w:rPr>
          <w:snapToGrid/>
          <w:lang w:val="fr-FR"/>
        </w:rPr>
        <w:lastRenderedPageBreak/>
        <w:tab/>
      </w:r>
      <w:r w:rsidRPr="006747E6">
        <w:rPr>
          <w:snapToGrid/>
          <w:lang w:val="fr-FR"/>
        </w:rPr>
        <w:t>I.</w:t>
      </w:r>
      <w:r w:rsidRPr="006747E6">
        <w:rPr>
          <w:snapToGrid/>
          <w:lang w:val="fr-FR"/>
        </w:rPr>
        <w:tab/>
        <w:t>Introduction</w:t>
      </w:r>
    </w:p>
    <w:p w:rsidR="00213819" w:rsidRPr="006747E6" w:rsidRDefault="00213819" w:rsidP="00213819">
      <w:pPr>
        <w:pStyle w:val="SingleTxtG"/>
        <w:rPr>
          <w:lang w:val="fr-FR"/>
        </w:rPr>
      </w:pPr>
      <w:r w:rsidRPr="006747E6">
        <w:rPr>
          <w:lang w:val="fr-FR"/>
        </w:rPr>
        <w:t>1.</w:t>
      </w:r>
      <w:r w:rsidRPr="006747E6">
        <w:rPr>
          <w:lang w:val="fr-FR"/>
        </w:rPr>
        <w:tab/>
        <w:t>La sous-section 7.2.4.9 ADN prévoit une interdiction du transbordement de marchandises dangereuses d'un bateau à un autre, sauf avec une autorisation.</w:t>
      </w:r>
    </w:p>
    <w:p w:rsidR="00213819" w:rsidRPr="006747E6" w:rsidRDefault="00213819" w:rsidP="00213819">
      <w:pPr>
        <w:pStyle w:val="SingleTxtG"/>
        <w:rPr>
          <w:lang w:val="fr-FR"/>
        </w:rPr>
      </w:pPr>
      <w:r w:rsidRPr="006747E6">
        <w:rPr>
          <w:lang w:val="fr-FR"/>
        </w:rPr>
        <w:t>2.</w:t>
      </w:r>
      <w:r w:rsidRPr="006747E6">
        <w:rPr>
          <w:lang w:val="fr-FR"/>
        </w:rPr>
        <w:tab/>
        <w:t>Nous avons eu connaissance d'interprétations selon lesquelles cette prescription ne s'applique pas au transbordement d'une citerne à cargaison d'un bateau avitailleur à une citerne à cargaison d'un autre bateau avitailleur.</w:t>
      </w:r>
    </w:p>
    <w:p w:rsidR="00213819" w:rsidRPr="006747E6" w:rsidRDefault="00213819" w:rsidP="00213819">
      <w:pPr>
        <w:pStyle w:val="SingleTxtG"/>
        <w:rPr>
          <w:lang w:val="fr-FR"/>
        </w:rPr>
      </w:pPr>
      <w:r w:rsidRPr="006747E6">
        <w:rPr>
          <w:lang w:val="fr-FR"/>
        </w:rPr>
        <w:t>3.</w:t>
      </w:r>
      <w:r w:rsidRPr="006747E6">
        <w:rPr>
          <w:lang w:val="fr-FR"/>
        </w:rPr>
        <w:tab/>
        <w:t>L'Allemagne propose de préciser la situation par l'ajout d'une remarque à la sous-section 7.2.4.9 ADN et d'un complément au 7.2.4.7.2 ADN.</w:t>
      </w:r>
    </w:p>
    <w:p w:rsidR="00213819" w:rsidRPr="006747E6" w:rsidRDefault="00213819" w:rsidP="00213819">
      <w:pPr>
        <w:pStyle w:val="H1G"/>
        <w:rPr>
          <w:snapToGrid/>
          <w:lang w:val="fr-FR"/>
        </w:rPr>
      </w:pPr>
      <w:r>
        <w:rPr>
          <w:snapToGrid/>
          <w:lang w:val="fr-FR"/>
        </w:rPr>
        <w:tab/>
      </w:r>
      <w:r w:rsidRPr="006747E6">
        <w:rPr>
          <w:snapToGrid/>
          <w:lang w:val="fr-FR"/>
        </w:rPr>
        <w:t>II.</w:t>
      </w:r>
      <w:r w:rsidRPr="006747E6">
        <w:rPr>
          <w:snapToGrid/>
          <w:lang w:val="fr-FR"/>
        </w:rPr>
        <w:tab/>
        <w:t>Proposition</w:t>
      </w:r>
    </w:p>
    <w:p w:rsidR="00213819" w:rsidRPr="006747E6" w:rsidRDefault="00213819" w:rsidP="00213819">
      <w:pPr>
        <w:pStyle w:val="SingleTxtG"/>
        <w:rPr>
          <w:snapToGrid/>
          <w:lang w:val="fr-FR"/>
        </w:rPr>
      </w:pPr>
      <w:r>
        <w:rPr>
          <w:snapToGrid/>
          <w:lang w:val="fr-FR"/>
        </w:rPr>
        <w:t>4</w:t>
      </w:r>
      <w:r w:rsidRPr="006747E6">
        <w:rPr>
          <w:snapToGrid/>
          <w:lang w:val="fr-FR"/>
        </w:rPr>
        <w:t>.</w:t>
      </w:r>
      <w:r w:rsidRPr="006747E6">
        <w:rPr>
          <w:snapToGrid/>
          <w:lang w:val="fr-FR"/>
        </w:rPr>
        <w:tab/>
        <w:t>A la fin de la sous-section 7.2.4.9 ADN, appor</w:t>
      </w:r>
      <w:r w:rsidR="00C60690">
        <w:rPr>
          <w:snapToGrid/>
          <w:lang w:val="fr-FR"/>
        </w:rPr>
        <w:t>ter les modifications suivantes</w:t>
      </w:r>
      <w:r w:rsidRPr="006747E6">
        <w:rPr>
          <w:snapToGrid/>
          <w:lang w:val="fr-FR"/>
        </w:rPr>
        <w:t>:</w:t>
      </w:r>
    </w:p>
    <w:p w:rsidR="00C60690" w:rsidRPr="006747E6" w:rsidRDefault="00C60690" w:rsidP="00C60690">
      <w:pPr>
        <w:pStyle w:val="SingleTxtG"/>
        <w:ind w:left="1701"/>
        <w:rPr>
          <w:snapToGrid/>
          <w:lang w:val="fr-FR"/>
        </w:rPr>
      </w:pPr>
      <w:r>
        <w:rPr>
          <w:b/>
          <w:snapToGrid/>
          <w:lang w:val="fr-FR"/>
        </w:rPr>
        <w:t>«</w:t>
      </w:r>
      <w:r w:rsidRPr="00C60690">
        <w:rPr>
          <w:b/>
          <w:i/>
          <w:snapToGrid/>
          <w:lang w:val="fr-FR"/>
        </w:rPr>
        <w:t xml:space="preserve">NOTA </w:t>
      </w:r>
      <w:r w:rsidRPr="00C60690">
        <w:rPr>
          <w:b/>
          <w:i/>
          <w:snapToGrid/>
          <w:u w:val="single"/>
          <w:lang w:val="fr-FR"/>
        </w:rPr>
        <w:t>1</w:t>
      </w:r>
      <w:r w:rsidRPr="006747E6">
        <w:rPr>
          <w:snapToGrid/>
          <w:lang w:val="fr-FR"/>
        </w:rPr>
        <w:t>: Pour le transbordement sur un moyen de transport d’un mode différent, voir le 7.</w:t>
      </w:r>
      <w:r>
        <w:rPr>
          <w:snapToGrid/>
          <w:lang w:val="fr-FR"/>
        </w:rPr>
        <w:t>2</w:t>
      </w:r>
      <w:r w:rsidRPr="006747E6">
        <w:rPr>
          <w:snapToGrid/>
          <w:lang w:val="fr-FR"/>
        </w:rPr>
        <w:t>.4.7.1.</w:t>
      </w:r>
    </w:p>
    <w:p w:rsidR="00D054BC" w:rsidRDefault="00C60690" w:rsidP="00C60690">
      <w:pPr>
        <w:pStyle w:val="SingleTxtG"/>
        <w:ind w:left="1701"/>
        <w:rPr>
          <w:b/>
          <w:snapToGrid/>
          <w:lang w:val="fr-CH" w:eastAsia="en-US"/>
        </w:rPr>
      </w:pPr>
      <w:r w:rsidRPr="00C60690">
        <w:rPr>
          <w:b/>
          <w:i/>
          <w:u w:val="single"/>
          <w:lang w:val="fr-FR"/>
        </w:rPr>
        <w:t>NOTA 2</w:t>
      </w:r>
      <w:r w:rsidRPr="006747E6">
        <w:rPr>
          <w:b/>
          <w:u w:val="single"/>
          <w:lang w:val="fr-FR"/>
        </w:rPr>
        <w:t xml:space="preserve">: </w:t>
      </w:r>
      <w:r w:rsidRPr="006747E6">
        <w:rPr>
          <w:u w:val="single"/>
          <w:lang w:val="fr-FR"/>
        </w:rPr>
        <w:t>L'interdiction s'applique aussi au transbordement entre les [citernes à carg</w:t>
      </w:r>
      <w:r>
        <w:rPr>
          <w:u w:val="single"/>
          <w:lang w:val="fr-FR"/>
        </w:rPr>
        <w:t>aison de] bateaux avitailleurs.</w:t>
      </w:r>
      <w:r w:rsidRPr="006747E6">
        <w:rPr>
          <w:u w:val="single"/>
          <w:lang w:val="fr-FR"/>
        </w:rPr>
        <w:t>»</w:t>
      </w:r>
    </w:p>
    <w:p w:rsidR="00C60690" w:rsidRPr="006747E6" w:rsidRDefault="00C60690" w:rsidP="00C60690">
      <w:pPr>
        <w:pStyle w:val="SingleTxtG"/>
        <w:rPr>
          <w:snapToGrid/>
          <w:lang w:val="fr-FR"/>
        </w:rPr>
      </w:pPr>
      <w:r>
        <w:rPr>
          <w:snapToGrid/>
          <w:lang w:val="fr-FR"/>
        </w:rPr>
        <w:t>5</w:t>
      </w:r>
      <w:r w:rsidRPr="006747E6">
        <w:rPr>
          <w:snapToGrid/>
          <w:lang w:val="fr-FR"/>
        </w:rPr>
        <w:t>.</w:t>
      </w:r>
      <w:r w:rsidRPr="006747E6">
        <w:rPr>
          <w:snapToGrid/>
          <w:lang w:val="fr-FR"/>
        </w:rPr>
        <w:tab/>
        <w:t>Modifier</w:t>
      </w:r>
      <w:r>
        <w:rPr>
          <w:snapToGrid/>
          <w:lang w:val="fr-FR"/>
        </w:rPr>
        <w:t xml:space="preserve"> 7.2.4.7.2 pour lire comme suit</w:t>
      </w:r>
      <w:r w:rsidRPr="006747E6">
        <w:rPr>
          <w:snapToGrid/>
          <w:lang w:val="fr-FR"/>
        </w:rPr>
        <w:t>:</w:t>
      </w:r>
    </w:p>
    <w:p w:rsidR="00C60690" w:rsidRPr="006747E6" w:rsidRDefault="00C60690" w:rsidP="00C60690">
      <w:pPr>
        <w:pStyle w:val="SingleTxtG"/>
        <w:ind w:left="1701"/>
        <w:rPr>
          <w:lang w:val="fr-FR"/>
        </w:rPr>
      </w:pPr>
      <w:r>
        <w:rPr>
          <w:b/>
          <w:lang w:val="fr-FR"/>
        </w:rPr>
        <w:t>«</w:t>
      </w:r>
      <w:r w:rsidRPr="006747E6">
        <w:rPr>
          <w:b/>
          <w:lang w:val="fr-FR"/>
        </w:rPr>
        <w:t>7.2.4.7.2</w:t>
      </w:r>
      <w:r w:rsidRPr="006747E6">
        <w:rPr>
          <w:b/>
          <w:lang w:val="fr-FR"/>
        </w:rPr>
        <w:tab/>
      </w:r>
      <w:r w:rsidRPr="006747E6">
        <w:rPr>
          <w:lang w:val="fr-FR"/>
        </w:rPr>
        <w:t xml:space="preserve">La réception de déchets liquides non emballés huileux et graisseux survenant lors de l'exploitation des bateaux </w:t>
      </w:r>
      <w:r w:rsidRPr="006747E6">
        <w:rPr>
          <w:u w:val="single"/>
          <w:lang w:val="fr-FR"/>
        </w:rPr>
        <w:t>qui proviennent d'autres bateaux</w:t>
      </w:r>
      <w:r w:rsidRPr="006747E6">
        <w:rPr>
          <w:lang w:val="fr-FR"/>
        </w:rPr>
        <w:t xml:space="preserve"> et la remise de produits pour l'exploitation des bateaux </w:t>
      </w:r>
      <w:r w:rsidRPr="006747E6">
        <w:rPr>
          <w:u w:val="single"/>
          <w:lang w:val="fr-FR"/>
        </w:rPr>
        <w:t>dans les réservoirs à carburant d'autres bateaux</w:t>
      </w:r>
      <w:r w:rsidRPr="006747E6">
        <w:rPr>
          <w:lang w:val="fr-FR"/>
        </w:rPr>
        <w:t xml:space="preserve"> ne sont pas considérés comme chargement ou déchargement au sens du 7.2.4.7.1 ci-dessus </w:t>
      </w:r>
      <w:r w:rsidRPr="006747E6">
        <w:rPr>
          <w:u w:val="single"/>
          <w:lang w:val="fr-FR"/>
        </w:rPr>
        <w:t>ni comme transbordement au sens du 7.2.4.9</w:t>
      </w:r>
      <w:r>
        <w:rPr>
          <w:lang w:val="fr-FR"/>
        </w:rPr>
        <w:t>.</w:t>
      </w:r>
      <w:r w:rsidRPr="006747E6">
        <w:rPr>
          <w:lang w:val="fr-FR"/>
        </w:rPr>
        <w:t>»</w:t>
      </w:r>
    </w:p>
    <w:p w:rsidR="00C60690" w:rsidRPr="006747E6" w:rsidRDefault="00C60690" w:rsidP="00C60690">
      <w:pPr>
        <w:pStyle w:val="SingleTxtG"/>
        <w:rPr>
          <w:snapToGrid/>
          <w:lang w:val="fr-FR"/>
        </w:rPr>
      </w:pPr>
      <w:r>
        <w:rPr>
          <w:snapToGrid/>
          <w:lang w:val="fr-FR"/>
        </w:rPr>
        <w:t>6</w:t>
      </w:r>
      <w:r w:rsidRPr="006747E6">
        <w:rPr>
          <w:snapToGrid/>
          <w:lang w:val="fr-FR"/>
        </w:rPr>
        <w:t>.</w:t>
      </w:r>
      <w:r w:rsidRPr="006747E6">
        <w:rPr>
          <w:snapToGrid/>
          <w:lang w:val="fr-FR"/>
        </w:rPr>
        <w:tab/>
        <w:t>Le Comité de sécurité de l'ADN pourrait s'accorder sur l'interprétation</w:t>
      </w:r>
      <w:r w:rsidR="000B0D36">
        <w:rPr>
          <w:snapToGrid/>
          <w:lang w:val="fr-FR"/>
        </w:rPr>
        <w:t xml:space="preserve"> suivante de la définition du «</w:t>
      </w:r>
      <w:r w:rsidRPr="006747E6">
        <w:rPr>
          <w:snapToGrid/>
          <w:lang w:val="fr-FR"/>
        </w:rPr>
        <w:t>tr</w:t>
      </w:r>
      <w:r w:rsidR="000B0D36">
        <w:rPr>
          <w:snapToGrid/>
          <w:lang w:val="fr-FR"/>
        </w:rPr>
        <w:t>ansport</w:t>
      </w:r>
      <w:r>
        <w:rPr>
          <w:snapToGrid/>
          <w:lang w:val="fr-FR"/>
        </w:rPr>
        <w:t>» dans la section 1.2.1</w:t>
      </w:r>
      <w:r w:rsidRPr="006747E6">
        <w:rPr>
          <w:snapToGrid/>
          <w:lang w:val="fr-FR"/>
        </w:rPr>
        <w:t>:</w:t>
      </w:r>
    </w:p>
    <w:p w:rsidR="00C60690" w:rsidRPr="006747E6" w:rsidRDefault="00C60690" w:rsidP="00C60690">
      <w:pPr>
        <w:pStyle w:val="SingleTxtG"/>
        <w:ind w:left="1701"/>
        <w:rPr>
          <w:snapToGrid/>
          <w:lang w:val="fr-FR"/>
        </w:rPr>
      </w:pPr>
      <w:r w:rsidRPr="006747E6">
        <w:rPr>
          <w:snapToGrid/>
          <w:lang w:val="fr-FR"/>
        </w:rPr>
        <w:t>Le transport inclut aussi le chargement, déchargement et dégazage des bateaux, ainsi que le transbordement entre des bateaux.</w:t>
      </w:r>
    </w:p>
    <w:p w:rsidR="000B0D36" w:rsidRPr="006747E6" w:rsidRDefault="000B0D36" w:rsidP="000B0D36">
      <w:pPr>
        <w:pStyle w:val="H1G"/>
        <w:rPr>
          <w:snapToGrid/>
          <w:lang w:val="fr-FR"/>
        </w:rPr>
      </w:pPr>
      <w:r>
        <w:rPr>
          <w:snapToGrid/>
          <w:lang w:val="fr-FR"/>
        </w:rPr>
        <w:tab/>
      </w:r>
      <w:r w:rsidRPr="006747E6">
        <w:rPr>
          <w:snapToGrid/>
          <w:lang w:val="fr-FR"/>
        </w:rPr>
        <w:t>III.</w:t>
      </w:r>
      <w:r w:rsidRPr="006747E6">
        <w:rPr>
          <w:snapToGrid/>
          <w:lang w:val="fr-FR"/>
        </w:rPr>
        <w:tab/>
        <w:t>Motif</w:t>
      </w:r>
    </w:p>
    <w:p w:rsidR="000B0D36" w:rsidRPr="006747E6" w:rsidRDefault="000B0D36" w:rsidP="000B0D36">
      <w:pPr>
        <w:pStyle w:val="SingleTxtG"/>
        <w:rPr>
          <w:lang w:val="fr-FR"/>
        </w:rPr>
      </w:pPr>
      <w:r>
        <w:rPr>
          <w:lang w:val="fr-FR"/>
        </w:rPr>
        <w:t>7</w:t>
      </w:r>
      <w:r w:rsidRPr="006747E6">
        <w:rPr>
          <w:lang w:val="fr-FR"/>
        </w:rPr>
        <w:t>.</w:t>
      </w:r>
      <w:r w:rsidRPr="006747E6">
        <w:rPr>
          <w:lang w:val="fr-FR"/>
        </w:rPr>
        <w:tab/>
        <w:t>La modification du 7.2.4.9 permet de préciser que l'interdiction du transbordement s'applique aussi aux bateaux avitailleurs. Ces derniers sont aussi des bateaux-citernes au sens de l'ADN auxquels s'appliquent les prescriptions pertinentes. Cela à moins que les bateaux avitailleurs soient expressément exonérés dans une prescription donnée, comme par exemple au 7.2.4.25.4 ADN.</w:t>
      </w:r>
    </w:p>
    <w:p w:rsidR="000B0D36" w:rsidRPr="006747E6" w:rsidRDefault="000B0D36" w:rsidP="000B0D36">
      <w:pPr>
        <w:pStyle w:val="SingleTxtG"/>
        <w:rPr>
          <w:snapToGrid/>
          <w:lang w:val="fr-FR"/>
        </w:rPr>
      </w:pPr>
      <w:r>
        <w:rPr>
          <w:snapToGrid/>
          <w:lang w:val="fr-FR"/>
        </w:rPr>
        <w:t>8</w:t>
      </w:r>
      <w:r w:rsidRPr="006747E6">
        <w:rPr>
          <w:snapToGrid/>
          <w:lang w:val="fr-FR"/>
        </w:rPr>
        <w:t>.</w:t>
      </w:r>
      <w:r w:rsidRPr="006747E6">
        <w:rPr>
          <w:snapToGrid/>
          <w:lang w:val="fr-FR"/>
        </w:rPr>
        <w:tab/>
        <w:t>La modification du 7.2.4.7.2 ADN est proposée en tant que modification corrélative. Dans la distinction concernant le transbordement est précisé une nouvelle fois ce que l'on entend par la remise de produits pour l'exploitation du bateau.</w:t>
      </w:r>
    </w:p>
    <w:p w:rsidR="000B0D36" w:rsidRPr="006747E6" w:rsidRDefault="000B0D36" w:rsidP="000B0D36">
      <w:pPr>
        <w:pStyle w:val="H1G"/>
        <w:rPr>
          <w:lang w:val="fr-FR"/>
        </w:rPr>
      </w:pPr>
      <w:r>
        <w:rPr>
          <w:lang w:val="fr-FR"/>
        </w:rPr>
        <w:tab/>
      </w:r>
      <w:r w:rsidRPr="006747E6">
        <w:rPr>
          <w:lang w:val="fr-FR"/>
        </w:rPr>
        <w:t>IV.</w:t>
      </w:r>
      <w:r w:rsidRPr="006747E6">
        <w:rPr>
          <w:lang w:val="fr-FR"/>
        </w:rPr>
        <w:tab/>
        <w:t>Sécurité</w:t>
      </w:r>
    </w:p>
    <w:p w:rsidR="000B0D36" w:rsidRPr="006747E6" w:rsidRDefault="000B0D36" w:rsidP="000B0D36">
      <w:pPr>
        <w:pStyle w:val="SingleTxtG"/>
        <w:rPr>
          <w:snapToGrid/>
          <w:lang w:val="fr-FR"/>
        </w:rPr>
      </w:pPr>
      <w:r>
        <w:rPr>
          <w:snapToGrid/>
          <w:lang w:val="fr-FR"/>
        </w:rPr>
        <w:t>9</w:t>
      </w:r>
      <w:r w:rsidRPr="006747E6">
        <w:rPr>
          <w:snapToGrid/>
          <w:lang w:val="fr-FR"/>
        </w:rPr>
        <w:t>.</w:t>
      </w:r>
      <w:r w:rsidRPr="006747E6">
        <w:rPr>
          <w:snapToGrid/>
          <w:lang w:val="fr-FR"/>
        </w:rPr>
        <w:tab/>
        <w:t xml:space="preserve">Cette modification préserve la sécurité du transport. Il n'existe pas d'indications selon lesquelles le </w:t>
      </w:r>
      <w:r>
        <w:rPr>
          <w:snapToGrid/>
          <w:lang w:val="fr-FR"/>
        </w:rPr>
        <w:t>t</w:t>
      </w:r>
      <w:r w:rsidRPr="006747E6">
        <w:rPr>
          <w:snapToGrid/>
          <w:lang w:val="fr-FR"/>
        </w:rPr>
        <w:t>ransbordement entre deux bateaux avitailleurs ne présenterait pas les mêmes risques que le transbordement entre deux bateaux-citernes ayant un port en lourd supérieur à 300 tonnes. Le transbordement entre des bateaux avitailleurs peut donner lieu aux mêmes dangers d'explosion et de pollution des eaux. A titre d'exemple, 300</w:t>
      </w:r>
      <w:r>
        <w:rPr>
          <w:snapToGrid/>
          <w:lang w:val="fr-FR"/>
        </w:rPr>
        <w:t> </w:t>
      </w:r>
      <w:r w:rsidRPr="006747E6">
        <w:rPr>
          <w:snapToGrid/>
          <w:lang w:val="fr-FR"/>
        </w:rPr>
        <w:t>tonnes de carburant diesel représentent plus de 300 000 litres.</w:t>
      </w:r>
    </w:p>
    <w:p w:rsidR="000B0D36" w:rsidRPr="006747E6" w:rsidRDefault="000B0D36" w:rsidP="000B0D36">
      <w:pPr>
        <w:pStyle w:val="H1G"/>
        <w:rPr>
          <w:lang w:val="fr-FR"/>
        </w:rPr>
      </w:pPr>
      <w:r>
        <w:rPr>
          <w:lang w:val="fr-FR"/>
        </w:rPr>
        <w:lastRenderedPageBreak/>
        <w:tab/>
      </w:r>
      <w:r w:rsidRPr="006747E6">
        <w:rPr>
          <w:lang w:val="fr-FR"/>
        </w:rPr>
        <w:t>V.</w:t>
      </w:r>
      <w:r w:rsidRPr="006747E6">
        <w:rPr>
          <w:lang w:val="fr-FR"/>
        </w:rPr>
        <w:tab/>
        <w:t xml:space="preserve">Mise en </w:t>
      </w:r>
      <w:proofErr w:type="spellStart"/>
      <w:r w:rsidRPr="006747E6">
        <w:rPr>
          <w:lang w:val="fr-FR"/>
        </w:rPr>
        <w:t>oeuvre</w:t>
      </w:r>
      <w:proofErr w:type="spellEnd"/>
    </w:p>
    <w:p w:rsidR="000B0D36" w:rsidRPr="006747E6" w:rsidRDefault="000B0D36" w:rsidP="000B0D36">
      <w:pPr>
        <w:pStyle w:val="SingleTxtG"/>
        <w:rPr>
          <w:snapToGrid/>
          <w:lang w:val="fr-FR"/>
        </w:rPr>
      </w:pPr>
      <w:r>
        <w:rPr>
          <w:snapToGrid/>
          <w:lang w:val="fr-FR"/>
        </w:rPr>
        <w:t>10</w:t>
      </w:r>
      <w:r w:rsidRPr="006747E6">
        <w:rPr>
          <w:snapToGrid/>
          <w:lang w:val="fr-FR"/>
        </w:rPr>
        <w:t>.</w:t>
      </w:r>
      <w:r w:rsidRPr="006747E6">
        <w:rPr>
          <w:snapToGrid/>
          <w:lang w:val="fr-FR"/>
        </w:rPr>
        <w:tab/>
        <w:t>La modification ne devrait pas donner lieu à des modifications techniques ou nécessiter des investissements et ne devrait pas avoir pour conséquences d'autres contraintes pour le secteur. La remarque vise seulement à clarifier la situation. Comme dans le passé, la possibilité d'une autorisation de l'autorité compétente permet d'appliquer des dérogations lorsque cela est dûment justifié.</w:t>
      </w:r>
    </w:p>
    <w:p w:rsidR="000B0D36" w:rsidRPr="000B0D36" w:rsidRDefault="000B0D36" w:rsidP="000B0D36">
      <w:pPr>
        <w:overflowPunct w:val="0"/>
        <w:autoSpaceDE w:val="0"/>
        <w:autoSpaceDN w:val="0"/>
        <w:adjustRightInd w:val="0"/>
        <w:spacing w:before="240"/>
        <w:ind w:left="1134" w:right="1134"/>
        <w:jc w:val="center"/>
        <w:textAlignment w:val="baseline"/>
        <w:rPr>
          <w:snapToGrid/>
          <w:u w:val="single"/>
          <w:lang w:val="fr-FR"/>
        </w:rPr>
      </w:pPr>
      <w:r>
        <w:rPr>
          <w:snapToGrid/>
          <w:u w:val="single"/>
          <w:lang w:val="fr-FR"/>
        </w:rPr>
        <w:tab/>
      </w:r>
      <w:r>
        <w:rPr>
          <w:snapToGrid/>
          <w:u w:val="single"/>
          <w:lang w:val="fr-FR"/>
        </w:rPr>
        <w:tab/>
      </w:r>
      <w:r>
        <w:rPr>
          <w:snapToGrid/>
          <w:u w:val="single"/>
          <w:lang w:val="fr-FR"/>
        </w:rPr>
        <w:tab/>
      </w:r>
    </w:p>
    <w:p w:rsidR="000B0D36" w:rsidRDefault="000B0D36" w:rsidP="00C60690">
      <w:pPr>
        <w:pStyle w:val="SingleTxtG"/>
        <w:rPr>
          <w:b/>
          <w:snapToGrid/>
          <w:lang w:val="fr-CH" w:eastAsia="en-US"/>
        </w:rPr>
      </w:pPr>
    </w:p>
    <w:p w:rsidR="000B0D36" w:rsidRDefault="000B0D36" w:rsidP="00C60690">
      <w:pPr>
        <w:pStyle w:val="SingleTxtG"/>
        <w:rPr>
          <w:b/>
          <w:snapToGrid/>
          <w:lang w:val="fr-CH" w:eastAsia="en-US"/>
        </w:rPr>
      </w:pPr>
    </w:p>
    <w:sectPr w:rsidR="000B0D36" w:rsidSect="00415735">
      <w:headerReference w:type="even" r:id="rId10"/>
      <w:headerReference w:type="default" r:id="rId11"/>
      <w:footerReference w:type="even" r:id="rId12"/>
      <w:footerReference w:type="default" r:id="rId13"/>
      <w:footnotePr>
        <w:numFmt w:val="chicago"/>
        <w:numRestart w:val="eachPage"/>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462D4A">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462D4A">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D054BC" w:rsidRPr="00D054BC" w:rsidRDefault="00D054BC" w:rsidP="00D054BC">
      <w:pPr>
        <w:pStyle w:val="FootnoteText"/>
        <w:widowControl w:val="0"/>
        <w:tabs>
          <w:tab w:val="clear" w:pos="1021"/>
          <w:tab w:val="left" w:pos="1418"/>
          <w:tab w:val="left" w:pos="1701"/>
          <w:tab w:val="left" w:pos="9639"/>
        </w:tabs>
        <w:ind w:right="0" w:firstLine="0"/>
        <w:rPr>
          <w:szCs w:val="18"/>
          <w:lang w:val="fr-FR"/>
        </w:rPr>
      </w:pPr>
      <w:r w:rsidRPr="00BB262C">
        <w:rPr>
          <w:rStyle w:val="FootnoteReference"/>
          <w:sz w:val="20"/>
          <w:vertAlign w:val="baseline"/>
        </w:rPr>
        <w:footnoteRef/>
      </w:r>
      <w:r w:rsidRPr="00D054BC">
        <w:rPr>
          <w:szCs w:val="18"/>
          <w:lang w:val="fr-FR"/>
        </w:rPr>
        <w:tab/>
        <w:t>Diffusé en langue allemande par la Commission centrale pour la navigation du Rhin sous la cote</w:t>
      </w:r>
      <w:r w:rsidR="00213819">
        <w:rPr>
          <w:szCs w:val="18"/>
          <w:lang w:val="fr-FR"/>
        </w:rPr>
        <w:t xml:space="preserve"> CCNR/ZKR/ADN/WP.15/AC.2/2017/24</w:t>
      </w:r>
    </w:p>
  </w:footnote>
  <w:footnote w:id="3">
    <w:p w:rsidR="00D054BC" w:rsidRPr="00D054BC" w:rsidRDefault="00BB262C" w:rsidP="00D054BC">
      <w:pPr>
        <w:pStyle w:val="FootnoteText"/>
        <w:tabs>
          <w:tab w:val="left" w:pos="1418"/>
        </w:tabs>
        <w:ind w:firstLine="0"/>
        <w:rPr>
          <w:szCs w:val="18"/>
          <w:lang w:val="fr-CH"/>
        </w:rPr>
      </w:pPr>
      <w:r w:rsidRPr="00BB262C">
        <w:rPr>
          <w:sz w:val="20"/>
        </w:rPr>
        <w:t>*</w:t>
      </w:r>
      <w:r w:rsidR="00D054BC" w:rsidRPr="00BB262C">
        <w:rPr>
          <w:rStyle w:val="FootnoteReference"/>
          <w:sz w:val="20"/>
          <w:vertAlign w:val="baseline"/>
        </w:rPr>
        <w:t>*</w:t>
      </w:r>
      <w:r w:rsidR="00D054BC" w:rsidRPr="00BB262C">
        <w:rPr>
          <w:szCs w:val="18"/>
        </w:rPr>
        <w:t xml:space="preserve"> </w:t>
      </w:r>
      <w:r w:rsidR="00D054BC">
        <w:rPr>
          <w:szCs w:val="18"/>
        </w:rPr>
        <w:tab/>
      </w:r>
      <w:r w:rsidR="00D054BC" w:rsidRPr="00D054BC">
        <w:rPr>
          <w:szCs w:val="18"/>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35" w:rsidRPr="00415735" w:rsidRDefault="00E23F1A" w:rsidP="00415735">
    <w:pPr>
      <w:pBdr>
        <w:bottom w:val="single" w:sz="4" w:space="4" w:color="auto"/>
      </w:pBdr>
      <w:spacing w:line="240" w:lineRule="auto"/>
      <w:rPr>
        <w:b/>
        <w:snapToGrid/>
        <w:sz w:val="18"/>
        <w:lang w:eastAsia="en-US"/>
      </w:rPr>
    </w:pPr>
    <w:r>
      <w:rPr>
        <w:b/>
        <w:sz w:val="18"/>
        <w:lang w:eastAsia="en-US"/>
      </w:rPr>
      <w:t>ECE/TRANS/WP.15/AC.2/2017/</w:t>
    </w:r>
    <w:r w:rsidR="000B0D36">
      <w:rPr>
        <w:b/>
        <w:sz w:val="18"/>
        <w:lang w:eastAsia="en-US"/>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F502C4" w:rsidRDefault="00E23F1A" w:rsidP="00F502C4">
    <w:pPr>
      <w:pStyle w:val="Header"/>
      <w:jc w:val="right"/>
    </w:pPr>
    <w:r>
      <w:rPr>
        <w:lang w:eastAsia="en-US"/>
      </w:rPr>
      <w:t>ECE/TRANS/WP.15/AC.2/2017/</w:t>
    </w:r>
    <w:r w:rsidR="000B0D36">
      <w:rPr>
        <w:lang w:eastAsia="en-US"/>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2">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6">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8">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9">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1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1">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3">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2">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4">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5">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7">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8">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30">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3">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5">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1">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2">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4">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1"/>
  </w:num>
  <w:num w:numId="2">
    <w:abstractNumId w:val="2"/>
  </w:num>
  <w:num w:numId="3">
    <w:abstractNumId w:val="37"/>
  </w:num>
  <w:num w:numId="4">
    <w:abstractNumId w:val="7"/>
  </w:num>
  <w:num w:numId="5">
    <w:abstractNumId w:val="42"/>
  </w:num>
  <w:num w:numId="6">
    <w:abstractNumId w:val="5"/>
  </w:num>
  <w:num w:numId="7">
    <w:abstractNumId w:val="8"/>
  </w:num>
  <w:num w:numId="8">
    <w:abstractNumId w:val="26"/>
  </w:num>
  <w:num w:numId="9">
    <w:abstractNumId w:val="16"/>
  </w:num>
  <w:num w:numId="10">
    <w:abstractNumId w:val="9"/>
  </w:num>
  <w:num w:numId="11">
    <w:abstractNumId w:val="29"/>
  </w:num>
  <w:num w:numId="12">
    <w:abstractNumId w:val="6"/>
  </w:num>
  <w:num w:numId="13">
    <w:abstractNumId w:val="40"/>
  </w:num>
  <w:num w:numId="14">
    <w:abstractNumId w:val="10"/>
  </w:num>
  <w:num w:numId="15">
    <w:abstractNumId w:val="44"/>
  </w:num>
  <w:num w:numId="16">
    <w:abstractNumId w:val="38"/>
  </w:num>
  <w:num w:numId="17">
    <w:abstractNumId w:val="25"/>
  </w:num>
  <w:num w:numId="18">
    <w:abstractNumId w:val="19"/>
  </w:num>
  <w:num w:numId="19">
    <w:abstractNumId w:val="27"/>
  </w:num>
  <w:num w:numId="20">
    <w:abstractNumId w:val="12"/>
  </w:num>
  <w:num w:numId="21">
    <w:abstractNumId w:val="35"/>
  </w:num>
  <w:num w:numId="22">
    <w:abstractNumId w:val="43"/>
  </w:num>
  <w:num w:numId="23">
    <w:abstractNumId w:val="36"/>
  </w:num>
  <w:num w:numId="24">
    <w:abstractNumId w:val="22"/>
  </w:num>
  <w:num w:numId="25">
    <w:abstractNumId w:val="34"/>
  </w:num>
  <w:num w:numId="26">
    <w:abstractNumId w:val="21"/>
  </w:num>
  <w:num w:numId="27">
    <w:abstractNumId w:val="20"/>
  </w:num>
  <w:num w:numId="28">
    <w:abstractNumId w:val="39"/>
  </w:num>
  <w:num w:numId="29">
    <w:abstractNumId w:val="23"/>
  </w:num>
  <w:num w:numId="30">
    <w:abstractNumId w:val="33"/>
  </w:num>
  <w:num w:numId="31">
    <w:abstractNumId w:val="24"/>
  </w:num>
  <w:num w:numId="32">
    <w:abstractNumId w:val="32"/>
  </w:num>
  <w:num w:numId="33">
    <w:abstractNumId w:val="4"/>
  </w:num>
  <w:num w:numId="34">
    <w:abstractNumId w:val="14"/>
  </w:num>
  <w:num w:numId="35">
    <w:abstractNumId w:val="41"/>
  </w:num>
  <w:num w:numId="36">
    <w:abstractNumId w:val="17"/>
  </w:num>
  <w:num w:numId="37">
    <w:abstractNumId w:val="3"/>
  </w:num>
  <w:num w:numId="38">
    <w:abstractNumId w:val="13"/>
  </w:num>
  <w:num w:numId="39">
    <w:abstractNumId w:val="15"/>
  </w:num>
  <w:num w:numId="40">
    <w:abstractNumId w:val="28"/>
  </w:num>
  <w:num w:numId="41">
    <w:abstractNumId w:val="30"/>
  </w:num>
  <w:num w:numId="42">
    <w:abstractNumId w:val="18"/>
  </w:num>
  <w:num w:numId="43">
    <w:abstractNumId w:val="11"/>
  </w:num>
  <w:num w:numId="44">
    <w:abstractNumId w:val="31"/>
  </w:num>
  <w:num w:numId="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421F"/>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0D36"/>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1D66"/>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148D"/>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3819"/>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0976"/>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E18F3"/>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53B8"/>
    <w:rsid w:val="0035627E"/>
    <w:rsid w:val="00361A12"/>
    <w:rsid w:val="003630AA"/>
    <w:rsid w:val="003632F3"/>
    <w:rsid w:val="003641EF"/>
    <w:rsid w:val="0036507D"/>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661C"/>
    <w:rsid w:val="003B7822"/>
    <w:rsid w:val="003C1867"/>
    <w:rsid w:val="003C1F26"/>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24A9"/>
    <w:rsid w:val="003F302F"/>
    <w:rsid w:val="003F3B18"/>
    <w:rsid w:val="003F4A0B"/>
    <w:rsid w:val="003F729B"/>
    <w:rsid w:val="003F72C8"/>
    <w:rsid w:val="00400769"/>
    <w:rsid w:val="00403952"/>
    <w:rsid w:val="004049D8"/>
    <w:rsid w:val="00407014"/>
    <w:rsid w:val="004152DA"/>
    <w:rsid w:val="00415735"/>
    <w:rsid w:val="00415889"/>
    <w:rsid w:val="00416E8D"/>
    <w:rsid w:val="00417E2F"/>
    <w:rsid w:val="00421563"/>
    <w:rsid w:val="00423439"/>
    <w:rsid w:val="0042348F"/>
    <w:rsid w:val="00424A17"/>
    <w:rsid w:val="004256CF"/>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2D4A"/>
    <w:rsid w:val="004644C6"/>
    <w:rsid w:val="00466C98"/>
    <w:rsid w:val="004743AE"/>
    <w:rsid w:val="0047563F"/>
    <w:rsid w:val="004805AE"/>
    <w:rsid w:val="00480BB9"/>
    <w:rsid w:val="00481194"/>
    <w:rsid w:val="00481AC6"/>
    <w:rsid w:val="00481C01"/>
    <w:rsid w:val="004835E7"/>
    <w:rsid w:val="00483CB2"/>
    <w:rsid w:val="004860F4"/>
    <w:rsid w:val="00490B3B"/>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1E3E"/>
    <w:rsid w:val="004D2AF1"/>
    <w:rsid w:val="004D785F"/>
    <w:rsid w:val="004D7A03"/>
    <w:rsid w:val="004E2C8B"/>
    <w:rsid w:val="004E6760"/>
    <w:rsid w:val="004E74FC"/>
    <w:rsid w:val="004F13C8"/>
    <w:rsid w:val="004F17B7"/>
    <w:rsid w:val="004F1BE5"/>
    <w:rsid w:val="004F2C14"/>
    <w:rsid w:val="004F312F"/>
    <w:rsid w:val="004F4FBF"/>
    <w:rsid w:val="004F6071"/>
    <w:rsid w:val="004F6279"/>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0E2C"/>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50142"/>
    <w:rsid w:val="006517B6"/>
    <w:rsid w:val="00651FC8"/>
    <w:rsid w:val="00665595"/>
    <w:rsid w:val="006659D9"/>
    <w:rsid w:val="00665BFA"/>
    <w:rsid w:val="006679D1"/>
    <w:rsid w:val="00673795"/>
    <w:rsid w:val="00676EEB"/>
    <w:rsid w:val="00682DD7"/>
    <w:rsid w:val="0068316E"/>
    <w:rsid w:val="00683296"/>
    <w:rsid w:val="006833A6"/>
    <w:rsid w:val="0068417B"/>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1AB7"/>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264D"/>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29CB"/>
    <w:rsid w:val="00925B30"/>
    <w:rsid w:val="0092768B"/>
    <w:rsid w:val="00930B07"/>
    <w:rsid w:val="009316CC"/>
    <w:rsid w:val="00932460"/>
    <w:rsid w:val="00936C2E"/>
    <w:rsid w:val="00936F09"/>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585"/>
    <w:rsid w:val="00A04C69"/>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262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3698"/>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690"/>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0A7"/>
    <w:rsid w:val="00CD6B2E"/>
    <w:rsid w:val="00CD7454"/>
    <w:rsid w:val="00CE01C0"/>
    <w:rsid w:val="00CE129C"/>
    <w:rsid w:val="00CE497F"/>
    <w:rsid w:val="00CE4A8F"/>
    <w:rsid w:val="00CE4B5A"/>
    <w:rsid w:val="00CE4D7C"/>
    <w:rsid w:val="00CE6550"/>
    <w:rsid w:val="00CE7B0F"/>
    <w:rsid w:val="00CF36F3"/>
    <w:rsid w:val="00CF37F3"/>
    <w:rsid w:val="00CF3CB7"/>
    <w:rsid w:val="00CF5BB0"/>
    <w:rsid w:val="00D00450"/>
    <w:rsid w:val="00D0058E"/>
    <w:rsid w:val="00D008A3"/>
    <w:rsid w:val="00D01E98"/>
    <w:rsid w:val="00D04BA4"/>
    <w:rsid w:val="00D04E81"/>
    <w:rsid w:val="00D054BC"/>
    <w:rsid w:val="00D073C6"/>
    <w:rsid w:val="00D10687"/>
    <w:rsid w:val="00D121B6"/>
    <w:rsid w:val="00D1389C"/>
    <w:rsid w:val="00D1425B"/>
    <w:rsid w:val="00D164DD"/>
    <w:rsid w:val="00D2031B"/>
    <w:rsid w:val="00D25388"/>
    <w:rsid w:val="00D25FE2"/>
    <w:rsid w:val="00D26929"/>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1DB0"/>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3F1A"/>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0B57"/>
    <w:rsid w:val="00F60E9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3B6D"/>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2">
    <w:name w:val="N2"/>
    <w:basedOn w:val="Normal"/>
    <w:rsid w:val="004D1E3E"/>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ADN11">
    <w:name w:val="ADN_1_1"/>
    <w:basedOn w:val="N2"/>
    <w:rsid w:val="00CE7B0F"/>
    <w:pPr>
      <w:spacing w:line="240" w:lineRule="atLeast"/>
    </w:pPr>
    <w:rPr>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2">
    <w:name w:val="N2"/>
    <w:basedOn w:val="Normal"/>
    <w:rsid w:val="004D1E3E"/>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ADN11">
    <w:name w:val="ADN_1_1"/>
    <w:basedOn w:val="N2"/>
    <w:rsid w:val="00CE7B0F"/>
    <w:pPr>
      <w:spacing w:line="240" w:lineRule="atLeast"/>
    </w:pPr>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08F4-2C8B-4855-9908-E57AA829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3</Pages>
  <Words>607</Words>
  <Characters>3644</Characters>
  <Application>Microsoft Office Word</Application>
  <DocSecurity>0</DocSecurity>
  <Lines>83</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Laurence Berthet</cp:lastModifiedBy>
  <cp:revision>9</cp:revision>
  <cp:lastPrinted>2017-05-24T12:03:00Z</cp:lastPrinted>
  <dcterms:created xsi:type="dcterms:W3CDTF">2017-05-18T15:39:00Z</dcterms:created>
  <dcterms:modified xsi:type="dcterms:W3CDTF">2017-05-24T12:03:00Z</dcterms:modified>
</cp:coreProperties>
</file>