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EF" w:rsidRPr="00B81B38" w:rsidRDefault="00C817EF" w:rsidP="00C817EF">
      <w:pPr>
        <w:spacing w:line="240" w:lineRule="auto"/>
        <w:ind w:left="5387" w:right="-286"/>
        <w:outlineLvl w:val="0"/>
        <w:rPr>
          <w:rFonts w:ascii="Arial" w:hAnsi="Arial" w:cs="Arial"/>
          <w:snapToGrid w:val="0"/>
          <w:lang w:val="de-DE" w:eastAsia="fr-FR" w:bidi="fr-FR"/>
        </w:rPr>
      </w:pPr>
      <w:bookmarkStart w:id="0" w:name="_GoBack"/>
      <w:bookmarkEnd w:id="0"/>
      <w:r w:rsidRPr="00B81B3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63FE96" wp14:editId="412A9277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B38">
        <w:rPr>
          <w:rFonts w:ascii="Arial" w:eastAsia="Arial" w:hAnsi="Arial" w:cs="Arial"/>
          <w:bCs/>
          <w:lang w:val="de-DE" w:eastAsia="de-DE"/>
        </w:rPr>
        <w:t>CCNR-ZKR/ADN/WP.15/AC.2/2017/</w:t>
      </w:r>
      <w:r w:rsidR="00910339" w:rsidRPr="00B81B38">
        <w:rPr>
          <w:rFonts w:ascii="Arial" w:eastAsia="Arial" w:hAnsi="Arial" w:cs="Arial"/>
          <w:bCs/>
          <w:lang w:val="de-DE" w:eastAsia="de-DE"/>
        </w:rPr>
        <w:t>10</w:t>
      </w:r>
    </w:p>
    <w:p w:rsidR="00C817EF" w:rsidRPr="00B81B38" w:rsidRDefault="00C817EF" w:rsidP="00C817EF">
      <w:pPr>
        <w:tabs>
          <w:tab w:val="left" w:pos="5670"/>
        </w:tabs>
        <w:spacing w:line="240" w:lineRule="auto"/>
        <w:ind w:left="5387"/>
        <w:rPr>
          <w:rFonts w:ascii="Arial" w:hAnsi="Arial" w:cs="Arial"/>
          <w:sz w:val="16"/>
          <w:lang w:val="de-DE" w:eastAsia="de-DE"/>
        </w:rPr>
      </w:pPr>
      <w:r w:rsidRPr="00B81B38">
        <w:rPr>
          <w:rFonts w:ascii="Arial" w:hAnsi="Arial" w:cs="Arial"/>
          <w:sz w:val="16"/>
          <w:lang w:val="de-DE" w:eastAsia="de-DE"/>
        </w:rPr>
        <w:t>Allgemeine Verteilung</w:t>
      </w:r>
    </w:p>
    <w:p w:rsidR="00C817EF" w:rsidRPr="00B81B38" w:rsidRDefault="00910339" w:rsidP="00C817EF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lang w:val="de-DE" w:eastAsia="de-DE"/>
        </w:rPr>
      </w:pPr>
      <w:r w:rsidRPr="00B81B38">
        <w:rPr>
          <w:rFonts w:ascii="Arial" w:eastAsia="Arial" w:hAnsi="Arial" w:cs="Arial"/>
          <w:lang w:val="de-DE" w:eastAsia="de-DE"/>
        </w:rPr>
        <w:t>11</w:t>
      </w:r>
      <w:r w:rsidR="00C817EF" w:rsidRPr="00B81B38">
        <w:rPr>
          <w:rFonts w:ascii="Arial" w:eastAsia="Arial" w:hAnsi="Arial" w:cs="Arial"/>
          <w:lang w:val="de-DE" w:eastAsia="de-DE"/>
        </w:rPr>
        <w:t>. November 2016</w:t>
      </w:r>
    </w:p>
    <w:p w:rsidR="00C817EF" w:rsidRPr="00B81B38" w:rsidRDefault="00C817EF" w:rsidP="00C817EF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B81B38">
        <w:rPr>
          <w:rFonts w:ascii="Arial" w:eastAsia="Arial" w:hAnsi="Arial" w:cs="Arial"/>
          <w:sz w:val="16"/>
          <w:lang w:val="de-DE" w:eastAsia="de-DE"/>
        </w:rPr>
        <w:t>Or</w:t>
      </w:r>
      <w:proofErr w:type="spellEnd"/>
      <w:r w:rsidRPr="00B81B38">
        <w:rPr>
          <w:rFonts w:ascii="Arial" w:eastAsia="Arial" w:hAnsi="Arial" w:cs="Arial"/>
          <w:sz w:val="16"/>
          <w:lang w:val="de-DE" w:eastAsia="de-DE"/>
        </w:rPr>
        <w:t>. ENGLISCH</w:t>
      </w:r>
    </w:p>
    <w:p w:rsidR="00C817EF" w:rsidRPr="00B81B38" w:rsidRDefault="00C817EF" w:rsidP="00C817EF">
      <w:pPr>
        <w:spacing w:line="240" w:lineRule="auto"/>
        <w:rPr>
          <w:rFonts w:ascii="Arial" w:hAnsi="Arial" w:cs="Arial"/>
          <w:sz w:val="16"/>
          <w:lang w:val="de-DE" w:eastAsia="de-DE"/>
        </w:rPr>
      </w:pPr>
    </w:p>
    <w:p w:rsidR="00C817EF" w:rsidRPr="00B81B38" w:rsidRDefault="00C817EF" w:rsidP="00C817EF">
      <w:pPr>
        <w:spacing w:line="240" w:lineRule="auto"/>
        <w:rPr>
          <w:rFonts w:ascii="Arial" w:hAnsi="Arial" w:cs="Arial"/>
          <w:sz w:val="16"/>
          <w:lang w:val="de-DE" w:eastAsia="de-DE"/>
        </w:rPr>
      </w:pP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81B38">
        <w:rPr>
          <w:rFonts w:ascii="Arial" w:hAnsi="Arial" w:cs="Arial"/>
          <w:noProof/>
          <w:snapToGrid w:val="0"/>
          <w:sz w:val="16"/>
          <w:lang w:val="de-DE" w:eastAsia="fr-FR"/>
        </w:rPr>
        <w:t>GEMEINSAME EXPERTENTAGUNG FÜR DIE DEM</w:t>
      </w: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81B38">
        <w:rPr>
          <w:rFonts w:ascii="Arial" w:hAnsi="Arial" w:cs="Arial"/>
          <w:noProof/>
          <w:snapToGrid w:val="0"/>
          <w:sz w:val="16"/>
          <w:lang w:val="de-DE" w:eastAsia="fr-FR"/>
        </w:rPr>
        <w:t>ÜBEREINKOMMEN ÜBER DIE INTERNATIONALE BEFÖRDERUNG</w:t>
      </w: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81B38">
        <w:rPr>
          <w:rFonts w:ascii="Arial" w:hAnsi="Arial" w:cs="Arial"/>
          <w:noProof/>
          <w:snapToGrid w:val="0"/>
          <w:sz w:val="16"/>
          <w:lang w:val="de-DE" w:eastAsia="fr-FR"/>
        </w:rPr>
        <w:t>VON GEFÄHRLICHEN GÜTERN AUF BINNENWASSERSTRASSEN</w:t>
      </w: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position w:val="2"/>
          <w:sz w:val="16"/>
          <w:lang w:val="de-DE" w:eastAsia="fr-FR"/>
        </w:rPr>
      </w:pPr>
      <w:r w:rsidRPr="00B81B38">
        <w:rPr>
          <w:rFonts w:ascii="Arial" w:hAnsi="Arial" w:cs="Arial"/>
          <w:noProof/>
          <w:snapToGrid w:val="0"/>
          <w:sz w:val="16"/>
          <w:lang w:val="de-DE" w:eastAsia="fr-FR"/>
        </w:rPr>
        <w:t>BEIGEFÜGTE VERORDNUNG (ADN)</w:t>
      </w: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81B38">
        <w:rPr>
          <w:rFonts w:ascii="Arial" w:hAnsi="Arial" w:cs="Arial"/>
          <w:noProof/>
          <w:snapToGrid w:val="0"/>
          <w:position w:val="2"/>
          <w:sz w:val="16"/>
          <w:lang w:val="de-DE" w:eastAsia="fr-FR"/>
        </w:rPr>
        <w:t>(SICHERHEITSAUSSCHUSS)</w:t>
      </w: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60"/>
        <w:rPr>
          <w:rFonts w:ascii="Arial" w:hAnsi="Arial" w:cs="Arial"/>
          <w:noProof/>
          <w:snapToGrid w:val="0"/>
          <w:sz w:val="16"/>
          <w:lang w:val="de-DE" w:eastAsia="fr-FR"/>
        </w:rPr>
      </w:pPr>
      <w:r w:rsidRPr="00B81B38">
        <w:rPr>
          <w:rFonts w:ascii="Arial" w:hAnsi="Arial" w:cs="Arial"/>
          <w:snapToGrid w:val="0"/>
          <w:sz w:val="16"/>
          <w:lang w:val="de-DE" w:eastAsia="fr-FR"/>
        </w:rPr>
        <w:t xml:space="preserve">(30. </w:t>
      </w:r>
      <w:r w:rsidRPr="00B81B38">
        <w:rPr>
          <w:rFonts w:ascii="Arial" w:hAnsi="Arial" w:cs="Arial"/>
          <w:noProof/>
          <w:snapToGrid w:val="0"/>
          <w:sz w:val="16"/>
          <w:lang w:val="de-DE" w:eastAsia="fr-FR"/>
        </w:rPr>
        <w:t>Tagung, Genf, 23. bis 27. Januar 2017)</w:t>
      </w: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B81B38">
        <w:rPr>
          <w:rFonts w:ascii="Arial" w:hAnsi="Arial" w:cs="Arial"/>
          <w:sz w:val="16"/>
          <w:szCs w:val="16"/>
          <w:lang w:val="de-DE"/>
        </w:rPr>
        <w:t xml:space="preserve">Punkt 5 </w:t>
      </w:r>
      <w:r w:rsidR="00910339" w:rsidRPr="00B81B38">
        <w:rPr>
          <w:rFonts w:ascii="Arial" w:hAnsi="Arial" w:cs="Arial"/>
          <w:sz w:val="16"/>
          <w:szCs w:val="16"/>
          <w:lang w:val="de-DE"/>
        </w:rPr>
        <w:t>a</w:t>
      </w:r>
      <w:r w:rsidRPr="00B81B38">
        <w:rPr>
          <w:rFonts w:ascii="Arial" w:hAnsi="Arial" w:cs="Arial"/>
          <w:sz w:val="16"/>
          <w:szCs w:val="16"/>
          <w:lang w:val="de-DE"/>
        </w:rPr>
        <w:t>) der vorläufigen Tagesordnung</w:t>
      </w:r>
    </w:p>
    <w:p w:rsidR="00C817EF" w:rsidRPr="00B81B38" w:rsidRDefault="00C817EF" w:rsidP="00C817EF">
      <w:pPr>
        <w:tabs>
          <w:tab w:val="left" w:pos="2977"/>
        </w:tabs>
        <w:spacing w:line="240" w:lineRule="auto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B81B38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Arbeiten der Gemeinsamen RID/ADR/ADN-Tagung</w:t>
      </w:r>
    </w:p>
    <w:p w:rsidR="00C817EF" w:rsidRPr="006E60DD" w:rsidRDefault="00C817EF" w:rsidP="00C817EF">
      <w:pPr>
        <w:rPr>
          <w:lang w:val="de-DE"/>
        </w:rPr>
      </w:pPr>
    </w:p>
    <w:p w:rsidR="00C817EF" w:rsidRPr="006E60DD" w:rsidRDefault="00C817EF" w:rsidP="00C817EF">
      <w:pPr>
        <w:rPr>
          <w:b/>
          <w:lang w:val="de-DE"/>
        </w:rPr>
      </w:pPr>
    </w:p>
    <w:p w:rsidR="00D2078A" w:rsidRPr="006E60DD" w:rsidRDefault="00D2078A" w:rsidP="00910339">
      <w:pPr>
        <w:pStyle w:val="HChG"/>
        <w:tabs>
          <w:tab w:val="left" w:pos="810"/>
        </w:tabs>
        <w:rPr>
          <w:lang w:val="de-DE"/>
        </w:rPr>
      </w:pPr>
      <w:r w:rsidRPr="006E60DD">
        <w:rPr>
          <w:lang w:val="de-DE"/>
        </w:rPr>
        <w:tab/>
      </w:r>
      <w:r w:rsidR="00EA6778" w:rsidRPr="006E60DD">
        <w:rPr>
          <w:lang w:val="de-DE"/>
        </w:rPr>
        <w:tab/>
      </w:r>
      <w:r w:rsidRPr="006E60DD">
        <w:rPr>
          <w:lang w:val="de-DE"/>
        </w:rPr>
        <w:tab/>
      </w:r>
      <w:r w:rsidR="00910339" w:rsidRPr="006E60DD">
        <w:rPr>
          <w:lang w:val="de-DE"/>
        </w:rPr>
        <w:t>Richtlinien 67/548/EWG und 88/379/EWG des Rates der Europäischen Union</w:t>
      </w:r>
    </w:p>
    <w:p w:rsidR="00D2078A" w:rsidRPr="006E60DD" w:rsidRDefault="00D2078A" w:rsidP="00910339">
      <w:pPr>
        <w:pStyle w:val="H1G"/>
        <w:rPr>
          <w:lang w:val="de-DE"/>
        </w:rPr>
      </w:pPr>
      <w:r w:rsidRPr="006E60DD">
        <w:rPr>
          <w:lang w:val="de-DE"/>
        </w:rPr>
        <w:tab/>
      </w:r>
      <w:r w:rsidRPr="006E60DD">
        <w:rPr>
          <w:lang w:val="de-DE"/>
        </w:rPr>
        <w:tab/>
      </w:r>
      <w:r w:rsidR="00910339" w:rsidRPr="006E60DD">
        <w:rPr>
          <w:lang w:val="de-DE"/>
        </w:rPr>
        <w:t>Anmerkung des Sekretariats</w:t>
      </w:r>
      <w:r w:rsidR="00910339" w:rsidRPr="006E60DD">
        <w:rPr>
          <w:rStyle w:val="FootnoteReference"/>
          <w:sz w:val="24"/>
          <w:szCs w:val="24"/>
          <w:lang w:val="de-DE"/>
        </w:rPr>
        <w:footnoteReference w:customMarkFollows="1" w:id="1"/>
        <w:t>*</w:t>
      </w:r>
      <w:r w:rsidR="00910339" w:rsidRPr="006E60DD">
        <w:rPr>
          <w:szCs w:val="24"/>
          <w:vertAlign w:val="superscript"/>
          <w:lang w:val="de-DE"/>
        </w:rPr>
        <w:t xml:space="preserve">, </w:t>
      </w:r>
      <w:r w:rsidR="00910339" w:rsidRPr="006E60DD">
        <w:rPr>
          <w:rStyle w:val="FootnoteReference"/>
          <w:sz w:val="24"/>
          <w:szCs w:val="24"/>
          <w:lang w:val="de-DE"/>
        </w:rPr>
        <w:footnoteReference w:customMarkFollows="1" w:id="2"/>
        <w:t>**</w:t>
      </w:r>
    </w:p>
    <w:p w:rsidR="00D2078A" w:rsidRPr="006E60DD" w:rsidRDefault="00D2078A" w:rsidP="00910339">
      <w:pPr>
        <w:pStyle w:val="HChG"/>
        <w:tabs>
          <w:tab w:val="left" w:pos="810"/>
        </w:tabs>
        <w:rPr>
          <w:lang w:val="de-DE"/>
        </w:rPr>
      </w:pPr>
      <w:r w:rsidRPr="006E60DD">
        <w:rPr>
          <w:lang w:val="de-DE"/>
        </w:rPr>
        <w:tab/>
      </w:r>
      <w:r w:rsidR="004671C1" w:rsidRPr="006E60DD">
        <w:rPr>
          <w:lang w:val="de-DE"/>
        </w:rPr>
        <w:tab/>
      </w:r>
      <w:r w:rsidR="004671C1" w:rsidRPr="006E60DD">
        <w:rPr>
          <w:lang w:val="de-DE"/>
        </w:rPr>
        <w:tab/>
      </w:r>
      <w:r w:rsidR="00910339" w:rsidRPr="006E60DD">
        <w:rPr>
          <w:lang w:val="de-DE"/>
        </w:rPr>
        <w:t>Einleitung</w:t>
      </w:r>
    </w:p>
    <w:p w:rsidR="00BD2EE4" w:rsidRPr="006E60DD" w:rsidRDefault="00910339" w:rsidP="00B20874">
      <w:pPr>
        <w:pStyle w:val="SingleTxtG"/>
        <w:rPr>
          <w:lang w:val="de-DE"/>
        </w:rPr>
      </w:pPr>
      <w:r w:rsidRPr="006E60DD">
        <w:rPr>
          <w:lang w:val="de-DE"/>
        </w:rPr>
        <w:t xml:space="preserve">Das Sekretariat möchte den Sicherheitsausschuss darauf aufmerksam machen, dass die Richtlinien 67/548/EWG und 88/379/EWG des Rates der Europäischen Union, </w:t>
      </w:r>
      <w:r w:rsidR="00BF657C" w:rsidRPr="006E60DD">
        <w:rPr>
          <w:lang w:val="de-DE"/>
        </w:rPr>
        <w:t xml:space="preserve">auf </w:t>
      </w:r>
      <w:r w:rsidRPr="006E60DD">
        <w:rPr>
          <w:lang w:val="de-DE"/>
        </w:rPr>
        <w:t>die in Fußnote</w:t>
      </w:r>
      <w:r w:rsidR="00BF657C" w:rsidRPr="006E60DD">
        <w:rPr>
          <w:lang w:val="de-DE"/>
        </w:rPr>
        <w:t xml:space="preserve"> *</w:t>
      </w:r>
      <w:r w:rsidRPr="006E60DD">
        <w:rPr>
          <w:lang w:val="de-DE"/>
        </w:rPr>
        <w:t xml:space="preserve"> </w:t>
      </w:r>
      <w:r w:rsidR="00B94984" w:rsidRPr="006E60DD">
        <w:rPr>
          <w:lang w:val="de-DE"/>
        </w:rPr>
        <w:t>des</w:t>
      </w:r>
      <w:r w:rsidRPr="006E60DD">
        <w:rPr>
          <w:lang w:val="de-DE"/>
        </w:rPr>
        <w:t xml:space="preserve"> Unterabschnitt</w:t>
      </w:r>
      <w:r w:rsidR="00B94984" w:rsidRPr="006E60DD">
        <w:rPr>
          <w:lang w:val="de-DE"/>
        </w:rPr>
        <w:t>s</w:t>
      </w:r>
      <w:r w:rsidRPr="006E60DD">
        <w:rPr>
          <w:lang w:val="de-DE"/>
        </w:rPr>
        <w:t xml:space="preserve"> 3.2.4.3 </w:t>
      </w:r>
      <w:r w:rsidR="00BF657C" w:rsidRPr="006E60DD">
        <w:rPr>
          <w:lang w:val="de-DE"/>
        </w:rPr>
        <w:t>verwiesen wird, aufgehoben wurde</w:t>
      </w:r>
      <w:r w:rsidR="00114F86" w:rsidRPr="006E60DD">
        <w:rPr>
          <w:lang w:val="de-DE"/>
        </w:rPr>
        <w:t>n</w:t>
      </w:r>
      <w:r w:rsidR="00BF657C" w:rsidRPr="006E60DD">
        <w:rPr>
          <w:lang w:val="de-DE"/>
        </w:rPr>
        <w:t xml:space="preserve"> und die Fußnote daher geändert werden sollte.</w:t>
      </w:r>
    </w:p>
    <w:p w:rsidR="00C72375" w:rsidRPr="006E60DD" w:rsidRDefault="00550DEF" w:rsidP="00B20874">
      <w:pPr>
        <w:pStyle w:val="HChG"/>
        <w:ind w:left="420" w:firstLine="0"/>
        <w:rPr>
          <w:lang w:val="de-DE"/>
        </w:rPr>
      </w:pPr>
      <w:r w:rsidRPr="006E60DD">
        <w:rPr>
          <w:lang w:val="de-DE"/>
        </w:rPr>
        <w:tab/>
      </w:r>
      <w:r w:rsidR="003131E2" w:rsidRPr="006E60DD">
        <w:rPr>
          <w:lang w:val="de-DE"/>
        </w:rPr>
        <w:tab/>
      </w:r>
      <w:r w:rsidR="001F59E7" w:rsidRPr="006E60DD">
        <w:rPr>
          <w:lang w:val="de-DE"/>
        </w:rPr>
        <w:t>Vorschlag</w:t>
      </w:r>
    </w:p>
    <w:p w:rsidR="00452125" w:rsidRPr="006E60DD" w:rsidRDefault="001F59E7" w:rsidP="00747D17">
      <w:pPr>
        <w:pStyle w:val="SingleTxtG"/>
        <w:rPr>
          <w:lang w:val="de-DE"/>
        </w:rPr>
      </w:pPr>
      <w:r w:rsidRPr="006E60DD">
        <w:rPr>
          <w:lang w:val="de-DE"/>
        </w:rPr>
        <w:t xml:space="preserve">Fußnote * des Unterabschnitts 3.2.4.3 Nummer 9 </w:t>
      </w:r>
      <w:r w:rsidR="00C960AB">
        <w:rPr>
          <w:lang w:val="de-DE"/>
        </w:rPr>
        <w:t>wie folgt ändern</w:t>
      </w:r>
      <w:r w:rsidRPr="006E60DD">
        <w:rPr>
          <w:lang w:val="de-DE"/>
        </w:rPr>
        <w:t>:</w:t>
      </w:r>
    </w:p>
    <w:p w:rsidR="00E30429" w:rsidRDefault="0052447D" w:rsidP="00747D17">
      <w:pPr>
        <w:pStyle w:val="SingleTxtG"/>
        <w:rPr>
          <w:rFonts w:ascii="Arial" w:hAnsi="Arial" w:cs="Arial"/>
          <w:i/>
          <w:lang w:val="de-DE"/>
        </w:rPr>
      </w:pPr>
      <w:r w:rsidRPr="006E60DD">
        <w:rPr>
          <w:rFonts w:ascii="Arial" w:hAnsi="Arial" w:cs="Arial"/>
          <w:lang w:val="de-DE"/>
        </w:rPr>
        <w:t>„</w:t>
      </w:r>
      <w:r w:rsidR="00BD2EE4" w:rsidRPr="006E60DD">
        <w:rPr>
          <w:lang w:val="de-DE"/>
        </w:rPr>
        <w:t>*</w:t>
      </w:r>
      <w:r w:rsidR="00BD2EE4" w:rsidRPr="006E60DD">
        <w:rPr>
          <w:lang w:val="de-DE"/>
        </w:rPr>
        <w:tab/>
      </w:r>
      <w:r w:rsidR="00994FAF" w:rsidRPr="006E60DD">
        <w:rPr>
          <w:b/>
          <w:i/>
          <w:lang w:val="de-DE"/>
        </w:rPr>
        <w:t xml:space="preserve">Da bisher noch keine international verbindliche </w:t>
      </w:r>
      <w:r w:rsidR="00994FAF" w:rsidRPr="006E60DD">
        <w:rPr>
          <w:i/>
          <w:lang w:val="de-DE"/>
        </w:rPr>
        <w:t>Liste von CMR-Stoffen der Kategorie 1A und 1B existiert, findet hier in der Übergangszeit, bis zum Vorliegen einer solchen Liste</w:t>
      </w:r>
      <w:r w:rsidR="006124F9" w:rsidRPr="006E60DD">
        <w:rPr>
          <w:i/>
          <w:lang w:val="de-DE"/>
        </w:rPr>
        <w:t>,</w:t>
      </w:r>
      <w:r w:rsidR="00994FAF" w:rsidRPr="006E60DD">
        <w:rPr>
          <w:i/>
          <w:lang w:val="de-DE"/>
        </w:rPr>
        <w:t xml:space="preserve"> </w:t>
      </w:r>
      <w:r w:rsidR="006124F9" w:rsidRPr="006E60DD">
        <w:rPr>
          <w:i/>
          <w:lang w:val="de-DE"/>
        </w:rPr>
        <w:t xml:space="preserve">die Liste </w:t>
      </w:r>
      <w:r w:rsidR="00994FAF" w:rsidRPr="006E60DD">
        <w:rPr>
          <w:i/>
          <w:lang w:val="de-DE"/>
        </w:rPr>
        <w:t>der CMR-Stoffe der Kategorie 1 und 2 entsprechend der Verordnung (EG) Nr. 1272/2008 des Europäischen Parlaments und des Rates in der jeweils geänderten Fassung Berücksichtigung.</w:t>
      </w:r>
      <w:r w:rsidRPr="006E60DD">
        <w:rPr>
          <w:rFonts w:ascii="Arial" w:hAnsi="Arial" w:cs="Arial"/>
          <w:i/>
          <w:lang w:val="de-DE"/>
        </w:rPr>
        <w:t>“</w:t>
      </w:r>
      <w:r w:rsidR="00747D17" w:rsidRPr="006E60DD">
        <w:rPr>
          <w:rFonts w:ascii="Arial" w:hAnsi="Arial" w:cs="Arial"/>
          <w:i/>
          <w:lang w:val="de-DE"/>
        </w:rPr>
        <w:t>.</w:t>
      </w:r>
    </w:p>
    <w:p w:rsidR="00B81B38" w:rsidRPr="006E60DD" w:rsidRDefault="00B81B38" w:rsidP="00747D17">
      <w:pPr>
        <w:pStyle w:val="SingleTxtG"/>
        <w:rPr>
          <w:i/>
          <w:lang w:val="de-DE"/>
        </w:rPr>
      </w:pPr>
    </w:p>
    <w:p w:rsidR="00A81985" w:rsidRPr="00B81B38" w:rsidRDefault="00B81B38" w:rsidP="00D2078A">
      <w:pPr>
        <w:spacing w:before="120"/>
        <w:jc w:val="center"/>
        <w:rPr>
          <w:lang w:val="de-DE"/>
        </w:rPr>
      </w:pPr>
      <w:r w:rsidRPr="00B81B38">
        <w:rPr>
          <w:lang w:val="de-DE"/>
        </w:rPr>
        <w:t>***</w:t>
      </w:r>
    </w:p>
    <w:sectPr w:rsidR="00A81985" w:rsidRPr="00B81B38" w:rsidSect="00C32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Pr="00FB1744" w:rsidRDefault="00D04710" w:rsidP="00FB1744">
      <w:pPr>
        <w:pStyle w:val="Footer"/>
      </w:pPr>
    </w:p>
  </w:endnote>
  <w:endnote w:type="continuationSeparator" w:id="0">
    <w:p w:rsidR="00D04710" w:rsidRPr="00FB1744" w:rsidRDefault="00D047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1E2959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550DEF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B38" w:rsidRPr="00B81B38" w:rsidRDefault="00B81B38" w:rsidP="00B81B38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r w:rsidRPr="00B81B38">
      <w:rPr>
        <w:rFonts w:ascii="Arial" w:hAnsi="Arial"/>
        <w:noProof/>
        <w:sz w:val="12"/>
        <w:szCs w:val="24"/>
        <w:lang w:val="fr-FR" w:eastAsia="fr-FR"/>
      </w:rPr>
      <w:t>mm_ba/adn_wp15_ac2_2017_10de</w:t>
    </w:r>
  </w:p>
  <w:p w:rsidR="00C32FBF" w:rsidRPr="00B81B38" w:rsidRDefault="00C32FBF" w:rsidP="00C32FBF">
    <w:pPr>
      <w:spacing w:line="240" w:lineRule="auto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910339" w:rsidRPr="00B81B38" w:rsidRDefault="00910339" w:rsidP="00910339">
      <w:pPr>
        <w:pStyle w:val="FootnoteText"/>
        <w:rPr>
          <w:lang w:val="de-DE"/>
        </w:rPr>
      </w:pPr>
      <w:r>
        <w:tab/>
      </w:r>
      <w:r w:rsidRPr="00B81B38">
        <w:rPr>
          <w:rStyle w:val="FootnoteReference"/>
          <w:lang w:val="de-DE"/>
        </w:rPr>
        <w:t>*</w:t>
      </w:r>
      <w:r w:rsidRPr="00B81B38">
        <w:rPr>
          <w:lang w:val="de-DE"/>
        </w:rPr>
        <w:t xml:space="preserve"> </w:t>
      </w:r>
      <w:r w:rsidRPr="00B81B38">
        <w:rPr>
          <w:lang w:val="de-DE"/>
        </w:rPr>
        <w:tab/>
      </w:r>
      <w:r w:rsidRPr="00910339">
        <w:rPr>
          <w:lang w:val="de-DE"/>
        </w:rPr>
        <w:t>Von der UN-ECE in Englisch, Französisch und Russisch unter dem Aktenzeichen CCNR-</w:t>
      </w:r>
      <w:r w:rsidR="00B81B38" w:rsidRPr="00B81B38">
        <w:rPr>
          <w:rFonts w:eastAsia="Times New Roman"/>
          <w:snapToGrid w:val="0"/>
          <w:sz w:val="16"/>
          <w:szCs w:val="16"/>
          <w:lang w:val="de-DE" w:eastAsia="fr-FR"/>
        </w:rPr>
        <w:t xml:space="preserve"> ECE/TRANS/WP.15/AC.2/2017</w:t>
      </w:r>
      <w:r w:rsidRPr="00910339">
        <w:rPr>
          <w:lang w:val="de-DE"/>
        </w:rPr>
        <w:t>/10 verteilt.</w:t>
      </w:r>
    </w:p>
  </w:footnote>
  <w:footnote w:id="2">
    <w:p w:rsidR="00910339" w:rsidRPr="00B81B38" w:rsidRDefault="00910339" w:rsidP="00910339">
      <w:pPr>
        <w:pStyle w:val="FootnoteText"/>
        <w:rPr>
          <w:lang w:val="de-DE"/>
        </w:rPr>
      </w:pPr>
      <w:r w:rsidRPr="00B81B38">
        <w:rPr>
          <w:lang w:val="de-DE"/>
        </w:rPr>
        <w:tab/>
      </w:r>
      <w:r w:rsidRPr="00B81B38">
        <w:rPr>
          <w:rStyle w:val="FootnoteReference"/>
          <w:lang w:val="de-DE"/>
        </w:rPr>
        <w:t>**</w:t>
      </w:r>
      <w:r w:rsidRPr="00B81B38">
        <w:rPr>
          <w:lang w:val="de-DE"/>
        </w:rPr>
        <w:t xml:space="preserve"> </w:t>
      </w:r>
      <w:r w:rsidRPr="00B81B38">
        <w:rPr>
          <w:lang w:val="de-DE"/>
        </w:rPr>
        <w:tab/>
      </w:r>
      <w:r w:rsidRPr="00910339">
        <w:rPr>
          <w:lang w:val="de-DE"/>
        </w:rPr>
        <w:t>Gemäß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D2078A" w:rsidP="00C32FBF">
    <w:pPr>
      <w:pStyle w:val="Header"/>
    </w:pPr>
    <w:r>
      <w:t>ECE/TRANS/WP.15/AC.2/2017/</w:t>
    </w:r>
    <w:r w:rsidR="00EA6778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Header"/>
      <w:jc w:val="right"/>
    </w:pPr>
    <w:r w:rsidRPr="00C32FBF">
      <w:t>ECE/TRA</w:t>
    </w:r>
    <w:r w:rsidR="00C72375">
      <w:t>NS/WP.15/AC.2/2017/15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DD" w:rsidRPr="00B81B38" w:rsidRDefault="006E60DD" w:rsidP="00B81B3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E5160BA"/>
    <w:multiLevelType w:val="hybridMultilevel"/>
    <w:tmpl w:val="1CA400E8"/>
    <w:lvl w:ilvl="0" w:tplc="853CD8F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75726C8"/>
    <w:multiLevelType w:val="hybridMultilevel"/>
    <w:tmpl w:val="44829922"/>
    <w:lvl w:ilvl="0" w:tplc="30626D4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567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46E92"/>
    <w:rsid w:val="000677CA"/>
    <w:rsid w:val="000B4F2F"/>
    <w:rsid w:val="000B615C"/>
    <w:rsid w:val="000F66A9"/>
    <w:rsid w:val="00114F86"/>
    <w:rsid w:val="001170DC"/>
    <w:rsid w:val="001425AE"/>
    <w:rsid w:val="00154C02"/>
    <w:rsid w:val="00177579"/>
    <w:rsid w:val="001E2959"/>
    <w:rsid w:val="001F59E7"/>
    <w:rsid w:val="00204EB5"/>
    <w:rsid w:val="00247E2C"/>
    <w:rsid w:val="002963EC"/>
    <w:rsid w:val="002D6C53"/>
    <w:rsid w:val="002F5595"/>
    <w:rsid w:val="003131E2"/>
    <w:rsid w:val="00334F6A"/>
    <w:rsid w:val="00342AC8"/>
    <w:rsid w:val="003B4550"/>
    <w:rsid w:val="00452125"/>
    <w:rsid w:val="00461253"/>
    <w:rsid w:val="00463595"/>
    <w:rsid w:val="004671C1"/>
    <w:rsid w:val="00491A68"/>
    <w:rsid w:val="005042C2"/>
    <w:rsid w:val="0052447D"/>
    <w:rsid w:val="00535005"/>
    <w:rsid w:val="00550DEF"/>
    <w:rsid w:val="00595889"/>
    <w:rsid w:val="005B7347"/>
    <w:rsid w:val="005F3F8A"/>
    <w:rsid w:val="005F4DAD"/>
    <w:rsid w:val="006124F9"/>
    <w:rsid w:val="00616531"/>
    <w:rsid w:val="00631881"/>
    <w:rsid w:val="006427AC"/>
    <w:rsid w:val="00671529"/>
    <w:rsid w:val="006E60DD"/>
    <w:rsid w:val="00717266"/>
    <w:rsid w:val="007268F9"/>
    <w:rsid w:val="00747D17"/>
    <w:rsid w:val="007C52B0"/>
    <w:rsid w:val="00894E1D"/>
    <w:rsid w:val="008E5B74"/>
    <w:rsid w:val="00910339"/>
    <w:rsid w:val="009411B4"/>
    <w:rsid w:val="00967585"/>
    <w:rsid w:val="00994FAF"/>
    <w:rsid w:val="009D0139"/>
    <w:rsid w:val="009F5CDC"/>
    <w:rsid w:val="00A46D97"/>
    <w:rsid w:val="00A775CF"/>
    <w:rsid w:val="00A81985"/>
    <w:rsid w:val="00A95E91"/>
    <w:rsid w:val="00AB3C7E"/>
    <w:rsid w:val="00AC3BBB"/>
    <w:rsid w:val="00AE07E8"/>
    <w:rsid w:val="00AE4C38"/>
    <w:rsid w:val="00B06045"/>
    <w:rsid w:val="00B10271"/>
    <w:rsid w:val="00B20874"/>
    <w:rsid w:val="00B64A2E"/>
    <w:rsid w:val="00B81B38"/>
    <w:rsid w:val="00B94984"/>
    <w:rsid w:val="00BD2EE4"/>
    <w:rsid w:val="00BF657C"/>
    <w:rsid w:val="00C0141B"/>
    <w:rsid w:val="00C04418"/>
    <w:rsid w:val="00C125CF"/>
    <w:rsid w:val="00C32FBF"/>
    <w:rsid w:val="00C35A27"/>
    <w:rsid w:val="00C57AFC"/>
    <w:rsid w:val="00C72375"/>
    <w:rsid w:val="00C817EF"/>
    <w:rsid w:val="00C82643"/>
    <w:rsid w:val="00C960AB"/>
    <w:rsid w:val="00D04710"/>
    <w:rsid w:val="00D1081B"/>
    <w:rsid w:val="00D2078A"/>
    <w:rsid w:val="00DD6019"/>
    <w:rsid w:val="00E02C2B"/>
    <w:rsid w:val="00E30429"/>
    <w:rsid w:val="00EA6778"/>
    <w:rsid w:val="00ED6C48"/>
    <w:rsid w:val="00F65F5D"/>
    <w:rsid w:val="00F86A3A"/>
    <w:rsid w:val="00FA77B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9E8FA09-35FC-4103-8A22-BF95425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EA6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74D8-7141-4E12-8E04-266F4196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1608944</vt:lpstr>
      <vt:lpstr>1608944</vt:lpstr>
      <vt:lpstr>1608944</vt:lpstr>
    </vt:vector>
  </TitlesOfParts>
  <Company>DCM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Lucille</cp:lastModifiedBy>
  <cp:revision>2</cp:revision>
  <cp:lastPrinted>2016-11-08T17:18:00Z</cp:lastPrinted>
  <dcterms:created xsi:type="dcterms:W3CDTF">2016-12-12T10:38:00Z</dcterms:created>
  <dcterms:modified xsi:type="dcterms:W3CDTF">2016-12-12T10:38:00Z</dcterms:modified>
</cp:coreProperties>
</file>