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447BF" w:rsidRPr="00D7030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447BF" w:rsidRPr="00367E6A" w:rsidRDefault="003447BF" w:rsidP="00F0151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47BF" w:rsidRPr="00367E6A" w:rsidRDefault="003447BF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447BF" w:rsidRPr="006D7AA7" w:rsidRDefault="003447BF" w:rsidP="00DC45A6">
            <w:pPr>
              <w:jc w:val="right"/>
              <w:rPr>
                <w:lang w:val="en-GB"/>
              </w:rPr>
            </w:pPr>
            <w:r w:rsidRPr="006D7AA7">
              <w:rPr>
                <w:sz w:val="40"/>
                <w:lang w:val="en-GB"/>
              </w:rPr>
              <w:t>ECE</w:t>
            </w:r>
            <w:r w:rsidRPr="006D7AA7">
              <w:rPr>
                <w:lang w:val="en-GB"/>
              </w:rPr>
              <w:t>/TRANS/WP.15/AC.2/201</w:t>
            </w:r>
            <w:r w:rsidR="00D70305" w:rsidRPr="006D7AA7">
              <w:rPr>
                <w:lang w:val="en-GB"/>
              </w:rPr>
              <w:t>8</w:t>
            </w:r>
            <w:r w:rsidRPr="006D7AA7">
              <w:rPr>
                <w:lang w:val="en-GB"/>
              </w:rPr>
              <w:t>/</w:t>
            </w:r>
            <w:r w:rsidR="00DC45A6">
              <w:rPr>
                <w:lang w:val="en-GB"/>
              </w:rPr>
              <w:t>5</w:t>
            </w:r>
          </w:p>
        </w:tc>
      </w:tr>
      <w:tr w:rsidR="003447BF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3447BF" w:rsidP="00F01516">
            <w:pPr>
              <w:spacing w:before="120"/>
              <w:jc w:val="center"/>
              <w:rPr>
                <w:lang w:val="fr-FR"/>
              </w:rPr>
            </w:pPr>
            <w:r w:rsidRPr="00241AAF"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3pt;height:46.6pt;visibility:visible">
                  <v:imagedata r:id="rId8" o:title="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3447BF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Default="003447BF" w:rsidP="00C4302B">
            <w:pPr>
              <w:spacing w:before="240" w:line="240" w:lineRule="exact"/>
              <w:rPr>
                <w:lang w:val="fr-FR"/>
              </w:rPr>
            </w:pPr>
            <w:r>
              <w:rPr>
                <w:lang w:val="fr-FR"/>
              </w:rPr>
              <w:t>Distr. générale</w:t>
            </w:r>
          </w:p>
          <w:p w:rsidR="003447BF" w:rsidRDefault="0062309D" w:rsidP="00072E86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DC45A6">
              <w:rPr>
                <w:lang w:val="fr-FR"/>
              </w:rPr>
              <w:t xml:space="preserve"> </w:t>
            </w:r>
            <w:r w:rsidR="00D70305">
              <w:rPr>
                <w:lang w:val="fr-FR"/>
              </w:rPr>
              <w:t>octobre 201</w:t>
            </w:r>
            <w:r w:rsidR="00072E86">
              <w:rPr>
                <w:lang w:val="fr-FR"/>
              </w:rPr>
              <w:t>7</w:t>
            </w:r>
          </w:p>
          <w:p w:rsidR="003447BF" w:rsidRDefault="003447BF" w:rsidP="00C4302B">
            <w:pPr>
              <w:spacing w:line="240" w:lineRule="exact"/>
              <w:rPr>
                <w:lang w:val="fr-FR"/>
              </w:rPr>
            </w:pPr>
          </w:p>
          <w:p w:rsidR="003447BF" w:rsidRPr="00367E6A" w:rsidRDefault="003447BF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Original</w:t>
            </w:r>
            <w:r w:rsidR="00AD545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  <w:r w:rsidR="00D319BE">
              <w:rPr>
                <w:lang w:val="fr-FR"/>
              </w:rPr>
              <w:t>f</w:t>
            </w:r>
            <w:r>
              <w:rPr>
                <w:lang w:val="fr-FR"/>
              </w:rPr>
              <w:t xml:space="preserve">rançais </w:t>
            </w:r>
          </w:p>
        </w:tc>
      </w:tr>
    </w:tbl>
    <w:p w:rsidR="003447BF" w:rsidRPr="00367E6A" w:rsidRDefault="003447BF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3447BF" w:rsidRPr="00367E6A" w:rsidRDefault="003447BF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3447BF" w:rsidRPr="00367E6A" w:rsidRDefault="003447BF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3447BF" w:rsidRPr="00A17EEC" w:rsidRDefault="003447B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3447BF" w:rsidRPr="00234E40" w:rsidRDefault="00D70305" w:rsidP="00D70305">
      <w:pPr>
        <w:spacing w:before="120"/>
        <w:rPr>
          <w:b/>
        </w:rPr>
      </w:pPr>
      <w:r>
        <w:rPr>
          <w:b/>
        </w:rPr>
        <w:t>Trente-deuxième</w:t>
      </w:r>
      <w:r w:rsidR="003447BF">
        <w:rPr>
          <w:b/>
        </w:rPr>
        <w:t xml:space="preserve"> </w:t>
      </w:r>
      <w:r w:rsidR="003447BF" w:rsidRPr="00234E40">
        <w:rPr>
          <w:b/>
        </w:rPr>
        <w:t>session</w:t>
      </w:r>
    </w:p>
    <w:p w:rsidR="003447BF" w:rsidRDefault="003447BF" w:rsidP="00745866">
      <w:r>
        <w:t>Genève, 22-</w:t>
      </w:r>
      <w:r w:rsidR="00745866">
        <w:t>26</w:t>
      </w:r>
      <w:r>
        <w:t xml:space="preserve"> </w:t>
      </w:r>
      <w:r w:rsidR="00745866">
        <w:t>janvier</w:t>
      </w:r>
      <w:r>
        <w:t xml:space="preserve"> 201</w:t>
      </w:r>
      <w:r w:rsidR="00745866">
        <w:t>8</w:t>
      </w:r>
    </w:p>
    <w:p w:rsidR="003447BF" w:rsidRDefault="003447BF" w:rsidP="0049374F">
      <w:r w:rsidRPr="00B93E72">
        <w:t xml:space="preserve">Point </w:t>
      </w:r>
      <w:r w:rsidR="00DB533B">
        <w:t>5</w:t>
      </w:r>
      <w:r w:rsidRPr="0013653F">
        <w:t xml:space="preserve">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3447BF" w:rsidRPr="00B30CFB" w:rsidRDefault="003447BF" w:rsidP="001850B8">
      <w:pPr>
        <w:rPr>
          <w:b/>
          <w:lang w:val="fr-FR"/>
        </w:rPr>
      </w:pPr>
      <w:r w:rsidRPr="00B30CFB">
        <w:rPr>
          <w:b/>
          <w:lang w:val="fr-FR"/>
        </w:rPr>
        <w:t xml:space="preserve">Propositions </w:t>
      </w:r>
      <w:r>
        <w:rPr>
          <w:b/>
          <w:lang w:val="fr-FR"/>
        </w:rPr>
        <w:t>d'amendements au R</w:t>
      </w:r>
      <w:r w:rsidRPr="00B30CFB">
        <w:rPr>
          <w:b/>
          <w:lang w:val="fr-FR"/>
        </w:rPr>
        <w:t>èglement annexé à l'ADN</w:t>
      </w:r>
      <w:r w:rsidR="001850B8">
        <w:rPr>
          <w:b/>
          <w:lang w:val="fr-FR"/>
        </w:rPr>
        <w:t> :</w:t>
      </w:r>
    </w:p>
    <w:p w:rsidR="003447BF" w:rsidRPr="00C63AC1" w:rsidRDefault="006D7AA7" w:rsidP="00B30CFB">
      <w:r>
        <w:rPr>
          <w:b/>
          <w:lang w:val="fr-FR"/>
        </w:rPr>
        <w:t>a</w:t>
      </w:r>
      <w:r w:rsidR="00F37523">
        <w:rPr>
          <w:b/>
          <w:lang w:val="fr-FR"/>
        </w:rPr>
        <w:t>u</w:t>
      </w:r>
      <w:r w:rsidR="003447BF">
        <w:rPr>
          <w:b/>
          <w:lang w:val="fr-FR"/>
        </w:rPr>
        <w:t>tres propositions</w:t>
      </w:r>
    </w:p>
    <w:p w:rsidR="003447BF" w:rsidRPr="00EA0C87" w:rsidRDefault="003447BF" w:rsidP="003F6E0A">
      <w:pPr>
        <w:pStyle w:val="HChG"/>
        <w:keepNext w:val="0"/>
      </w:pPr>
      <w:r w:rsidRPr="00C63AC1">
        <w:tab/>
      </w:r>
      <w:r w:rsidRPr="00C63AC1">
        <w:tab/>
      </w:r>
      <w:r w:rsidR="003F6E0A">
        <w:rPr>
          <w:bCs/>
          <w:lang w:val="fr-FR"/>
        </w:rPr>
        <w:t>Amendement au Chapitre</w:t>
      </w:r>
      <w:r w:rsidR="00147C56">
        <w:rPr>
          <w:bCs/>
          <w:lang w:val="fr-FR"/>
        </w:rPr>
        <w:t xml:space="preserve"> </w:t>
      </w:r>
      <w:r w:rsidRPr="00E30A6C">
        <w:rPr>
          <w:bCs/>
          <w:lang w:val="fr-FR"/>
        </w:rPr>
        <w:t>7.1</w:t>
      </w:r>
    </w:p>
    <w:p w:rsidR="003447BF" w:rsidRDefault="003447BF" w:rsidP="00147C56">
      <w:pPr>
        <w:pStyle w:val="H1G"/>
        <w:keepNext w:val="0"/>
        <w:rPr>
          <w:lang w:val="fr-FR"/>
        </w:rPr>
      </w:pPr>
      <w:r w:rsidRPr="00EA0C87">
        <w:tab/>
      </w:r>
      <w:r w:rsidRPr="00EA0C87">
        <w:tab/>
      </w:r>
      <w:r w:rsidRPr="00AA5B1E">
        <w:rPr>
          <w:lang w:val="fr-FR"/>
        </w:rPr>
        <w:t xml:space="preserve">Transmis </w:t>
      </w:r>
      <w:r w:rsidR="00147C56">
        <w:rPr>
          <w:lang w:val="fr-FR"/>
        </w:rPr>
        <w:t xml:space="preserve">par le Gouvernement de la </w:t>
      </w:r>
      <w:r w:rsidR="00AD545E">
        <w:rPr>
          <w:lang w:val="fr-FR"/>
        </w:rPr>
        <w:t>France</w:t>
      </w:r>
      <w:r w:rsidR="00DB533B">
        <w:rPr>
          <w:rStyle w:val="FootnoteReference"/>
        </w:rPr>
        <w:footnoteReference w:id="2"/>
      </w:r>
      <w:r w:rsidR="004D5258" w:rsidRPr="004D5258">
        <w:rPr>
          <w:b w:val="0"/>
          <w:lang w:val="fr-FR"/>
        </w:rPr>
        <w:t>,</w:t>
      </w:r>
      <w:r w:rsidR="00DB533B">
        <w:rPr>
          <w:rStyle w:val="FootnoteReference"/>
          <w:b w:val="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18"/>
        <w:gridCol w:w="4819"/>
      </w:tblGrid>
      <w:tr w:rsidR="00AD545E" w:rsidRPr="00D22284" w:rsidTr="00473690">
        <w:trPr>
          <w:trHeight w:val="342"/>
          <w:jc w:val="center"/>
        </w:trPr>
        <w:tc>
          <w:tcPr>
            <w:tcW w:w="4818" w:type="dxa"/>
            <w:shd w:val="clear" w:color="auto" w:fill="auto"/>
          </w:tcPr>
          <w:p w:rsidR="00AD545E" w:rsidRPr="00D22284" w:rsidRDefault="00AD545E" w:rsidP="00DC45A6">
            <w:pPr>
              <w:spacing w:before="240" w:after="120"/>
              <w:ind w:left="255"/>
              <w:rPr>
                <w:lang w:val="fr-FR"/>
              </w:rPr>
            </w:pPr>
            <w:r w:rsidRPr="00D22284">
              <w:rPr>
                <w:i/>
                <w:sz w:val="24"/>
                <w:lang w:val="fr-FR"/>
              </w:rPr>
              <w:t>Résumé </w:t>
            </w:r>
            <w:r w:rsidRPr="00D22284">
              <w:rPr>
                <w:sz w:val="24"/>
                <w:lang w:val="fr-FR"/>
              </w:rPr>
              <w:t>:</w:t>
            </w:r>
            <w:r w:rsidRPr="00D22284">
              <w:rPr>
                <w:i/>
                <w:sz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D545E" w:rsidRPr="00D22284" w:rsidRDefault="00373FA8" w:rsidP="00DC45A6">
            <w:pPr>
              <w:pStyle w:val="SingleTxtG"/>
              <w:ind w:left="147"/>
              <w:rPr>
                <w:i/>
                <w:sz w:val="24"/>
                <w:lang w:val="fr-FR"/>
              </w:rPr>
            </w:pPr>
            <w:r w:rsidRPr="00D22284">
              <w:rPr>
                <w:lang w:val="fr-FR"/>
              </w:rPr>
              <w:t>Ce document propose un amendement au Chapitre 7.1 du Règlement annexé à l’ADN</w:t>
            </w:r>
          </w:p>
        </w:tc>
      </w:tr>
      <w:tr w:rsidR="00373FA8" w:rsidRPr="00D22284" w:rsidTr="00473690">
        <w:trPr>
          <w:trHeight w:val="342"/>
          <w:jc w:val="center"/>
        </w:trPr>
        <w:tc>
          <w:tcPr>
            <w:tcW w:w="4818" w:type="dxa"/>
            <w:shd w:val="clear" w:color="auto" w:fill="auto"/>
          </w:tcPr>
          <w:p w:rsidR="00373FA8" w:rsidRPr="00D22284" w:rsidRDefault="00373FA8" w:rsidP="00DC45A6">
            <w:pPr>
              <w:pStyle w:val="SingleTxtG"/>
              <w:rPr>
                <w:i/>
                <w:sz w:val="24"/>
                <w:lang w:val="fr-FR"/>
              </w:rPr>
            </w:pPr>
            <w:r w:rsidRPr="00D22284">
              <w:rPr>
                <w:lang w:val="fr-FR"/>
              </w:rPr>
              <w:t>Mesures à prendre :</w:t>
            </w:r>
          </w:p>
        </w:tc>
        <w:tc>
          <w:tcPr>
            <w:tcW w:w="4819" w:type="dxa"/>
            <w:shd w:val="clear" w:color="auto" w:fill="auto"/>
          </w:tcPr>
          <w:p w:rsidR="00373FA8" w:rsidRPr="00D22284" w:rsidRDefault="00373FA8" w:rsidP="00DC45A6">
            <w:pPr>
              <w:pStyle w:val="SingleTxtG"/>
              <w:ind w:left="147"/>
              <w:rPr>
                <w:i/>
                <w:sz w:val="24"/>
                <w:lang w:val="fr-FR"/>
              </w:rPr>
            </w:pPr>
            <w:r w:rsidRPr="00D22284">
              <w:rPr>
                <w:lang w:val="fr-FR"/>
              </w:rPr>
              <w:t>Voir paragraphe 8</w:t>
            </w:r>
          </w:p>
        </w:tc>
      </w:tr>
      <w:tr w:rsidR="00AD545E" w:rsidRPr="00D22284" w:rsidTr="00473690">
        <w:trPr>
          <w:trHeight w:val="341"/>
          <w:jc w:val="center"/>
        </w:trPr>
        <w:tc>
          <w:tcPr>
            <w:tcW w:w="4818" w:type="dxa"/>
            <w:shd w:val="clear" w:color="auto" w:fill="auto"/>
          </w:tcPr>
          <w:p w:rsidR="00AD545E" w:rsidRPr="00D22284" w:rsidRDefault="00373FA8" w:rsidP="00DC45A6">
            <w:pPr>
              <w:pStyle w:val="SingleTxtG"/>
              <w:rPr>
                <w:i/>
                <w:sz w:val="24"/>
                <w:lang w:val="fr-FR"/>
              </w:rPr>
            </w:pPr>
            <w:r w:rsidRPr="00D22284">
              <w:rPr>
                <w:lang w:val="fr-FR"/>
              </w:rPr>
              <w:t>Documents connexes :</w:t>
            </w:r>
          </w:p>
        </w:tc>
        <w:tc>
          <w:tcPr>
            <w:tcW w:w="4819" w:type="dxa"/>
            <w:shd w:val="clear" w:color="auto" w:fill="auto"/>
          </w:tcPr>
          <w:p w:rsidR="00AD545E" w:rsidRPr="00D22284" w:rsidRDefault="00192BA5" w:rsidP="00DC45A6">
            <w:pPr>
              <w:pStyle w:val="SingleTxtG"/>
              <w:ind w:left="147"/>
              <w:rPr>
                <w:i/>
                <w:sz w:val="24"/>
                <w:lang w:val="fr-FR"/>
              </w:rPr>
            </w:pPr>
            <w:r>
              <w:rPr>
                <w:lang w:val="en-GB" w:eastAsia="de-DE"/>
              </w:rPr>
              <w:t>Document informel INF.18 de la trente et unième session</w:t>
            </w:r>
          </w:p>
        </w:tc>
      </w:tr>
    </w:tbl>
    <w:p w:rsidR="003447BF" w:rsidRPr="00FF1E43" w:rsidRDefault="00DC45A6" w:rsidP="00E30A6C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</w:r>
      <w:r w:rsidR="003447BF" w:rsidRPr="00FF1E43">
        <w:rPr>
          <w:lang w:val="fr-FR"/>
        </w:rPr>
        <w:t>Introduction</w:t>
      </w:r>
    </w:p>
    <w:p w:rsidR="00DD38E9" w:rsidRPr="00DD38E9" w:rsidRDefault="003447BF" w:rsidP="00DD38E9">
      <w:pPr>
        <w:pStyle w:val="SingleTxtG"/>
        <w:rPr>
          <w:lang w:val="fr-FR"/>
        </w:rPr>
      </w:pPr>
      <w:r w:rsidRPr="00DD38E9">
        <w:rPr>
          <w:lang w:val="fr-FR"/>
        </w:rPr>
        <w:t>1.</w:t>
      </w:r>
      <w:r w:rsidRPr="00DD38E9">
        <w:rPr>
          <w:lang w:val="fr-FR"/>
        </w:rPr>
        <w:tab/>
      </w:r>
      <w:r w:rsidR="00DD38E9" w:rsidRPr="00DD38E9">
        <w:t xml:space="preserve">Le </w:t>
      </w:r>
      <w:r w:rsidR="00DD38E9">
        <w:t xml:space="preserve">document </w:t>
      </w:r>
      <w:r w:rsidR="00192BA5">
        <w:t>informel INF.18 de la trente et unième session</w:t>
      </w:r>
      <w:r w:rsidR="00DC45A6">
        <w:rPr>
          <w:lang w:val="fr-FR" w:eastAsia="de-DE"/>
        </w:rPr>
        <w:t xml:space="preserve"> du</w:t>
      </w:r>
      <w:r w:rsidR="00DD38E9" w:rsidRPr="00DD38E9">
        <w:rPr>
          <w:lang w:val="fr-FR" w:eastAsia="de-DE"/>
        </w:rPr>
        <w:t xml:space="preserve"> Comité de sécurité en ao</w:t>
      </w:r>
      <w:r w:rsidR="00DD38E9">
        <w:rPr>
          <w:lang w:val="fr-FR" w:eastAsia="de-DE"/>
        </w:rPr>
        <w:t xml:space="preserve">ût 2017, avait mis en évidence une incohérence entre les dispositions du </w:t>
      </w:r>
      <w:r w:rsidR="00DD38E9" w:rsidRPr="00DD38E9">
        <w:t>7.1.4.1</w:t>
      </w:r>
      <w:r w:rsidR="00DD38E9">
        <w:t>.1 et celles du 7.1.4.1.5</w:t>
      </w:r>
      <w:r w:rsidR="00DD38E9" w:rsidRPr="00DD38E9">
        <w:t xml:space="preserve"> du Règlement annexé à l’ADN</w:t>
      </w:r>
      <w:r w:rsidR="00DD38E9">
        <w:t>.</w:t>
      </w:r>
    </w:p>
    <w:p w:rsidR="00DD38E9" w:rsidRDefault="00DD38E9" w:rsidP="00DD38E9">
      <w:pPr>
        <w:pStyle w:val="SingleTxtG"/>
        <w:rPr>
          <w:lang w:val="fr-FR"/>
        </w:rPr>
      </w:pPr>
      <w:r>
        <w:rPr>
          <w:lang w:val="fr-FR"/>
        </w:rPr>
        <w:lastRenderedPageBreak/>
        <w:t>2</w:t>
      </w:r>
      <w:r w:rsidRPr="00DD38E9">
        <w:rPr>
          <w:lang w:val="fr-FR"/>
        </w:rPr>
        <w:t>.</w:t>
      </w:r>
      <w:r w:rsidRPr="00DD38E9">
        <w:rPr>
          <w:lang w:val="fr-FR"/>
        </w:rPr>
        <w:tab/>
      </w:r>
      <w:r>
        <w:t xml:space="preserve">La sous-section 7.1.4.1 </w:t>
      </w:r>
      <w:r w:rsidRPr="00DD38E9">
        <w:t>traite de la limitation des quantités transportées. En particulier, le 7.1.4.1.1 indique, classe par classe, les limitations applicables aux masses brutes ne devant pas être dépassées</w:t>
      </w:r>
      <w:r>
        <w:t>, selon les termes suivants :</w:t>
      </w:r>
    </w:p>
    <w:p w:rsidR="00DD38E9" w:rsidRPr="00DD38E9" w:rsidRDefault="005E67B6" w:rsidP="005E67B6">
      <w:pPr>
        <w:pStyle w:val="SingleTxtG"/>
        <w:tabs>
          <w:tab w:val="left" w:pos="2835"/>
        </w:tabs>
        <w:ind w:left="1701" w:hanging="1134"/>
        <w:rPr>
          <w:rFonts w:eastAsia="MS Mincho"/>
          <w:i/>
          <w:iCs/>
          <w:lang w:eastAsia="ja-JP"/>
        </w:rPr>
      </w:pPr>
      <w:r>
        <w:rPr>
          <w:iCs/>
        </w:rPr>
        <w:tab/>
      </w:r>
      <w:r w:rsidR="006D7AA7" w:rsidRPr="006D7AA7">
        <w:rPr>
          <w:iCs/>
        </w:rPr>
        <w:t>«</w:t>
      </w:r>
      <w:r w:rsidR="006D7AA7">
        <w:rPr>
          <w:i/>
          <w:iCs/>
        </w:rPr>
        <w:t> 7.1.4.1.1</w:t>
      </w:r>
      <w:r w:rsidR="00DD38E9" w:rsidRPr="003337D0">
        <w:rPr>
          <w:i/>
          <w:iCs/>
        </w:rPr>
        <w:tab/>
        <w:t xml:space="preserve">Sous réserve du 7.1.4.1.3, </w:t>
      </w:r>
      <w:r w:rsidR="00DD38E9" w:rsidRPr="00DD38E9">
        <w:rPr>
          <w:b/>
          <w:bCs/>
          <w:i/>
          <w:iCs/>
          <w:u w:val="single"/>
        </w:rPr>
        <w:t>les masses brutes</w:t>
      </w:r>
      <w:r w:rsidR="00DD38E9" w:rsidRPr="003337D0">
        <w:rPr>
          <w:i/>
          <w:iCs/>
        </w:rPr>
        <w:t xml:space="preserve"> suivantes ne doivent pas </w:t>
      </w:r>
      <w:r>
        <w:rPr>
          <w:i/>
          <w:iCs/>
        </w:rPr>
        <w:tab/>
      </w:r>
      <w:r>
        <w:rPr>
          <w:i/>
          <w:iCs/>
        </w:rPr>
        <w:tab/>
      </w:r>
      <w:r w:rsidR="00DD38E9" w:rsidRPr="003337D0">
        <w:rPr>
          <w:i/>
          <w:iCs/>
        </w:rPr>
        <w:t xml:space="preserve">être dépassées sur un bateau. Pour les convois poussés et les </w:t>
      </w:r>
      <w:r>
        <w:rPr>
          <w:i/>
          <w:iCs/>
        </w:rPr>
        <w:tab/>
      </w:r>
      <w:r w:rsidR="00DD38E9" w:rsidRPr="003337D0">
        <w:rPr>
          <w:i/>
          <w:iCs/>
        </w:rPr>
        <w:t xml:space="preserve">formations à couple cette masse brute s’applique à </w:t>
      </w:r>
      <w:r w:rsidR="00DD38E9" w:rsidRPr="003337D0">
        <w:rPr>
          <w:rFonts w:eastAsia="MS Mincho"/>
          <w:i/>
          <w:iCs/>
          <w:lang w:eastAsia="ja-JP"/>
        </w:rPr>
        <w:t xml:space="preserve">chaque unité du </w:t>
      </w:r>
      <w:r>
        <w:rPr>
          <w:rFonts w:eastAsia="MS Mincho"/>
          <w:i/>
          <w:iCs/>
          <w:lang w:eastAsia="ja-JP"/>
        </w:rPr>
        <w:tab/>
      </w:r>
      <w:r>
        <w:rPr>
          <w:rFonts w:eastAsia="MS Mincho"/>
          <w:i/>
          <w:iCs/>
          <w:lang w:eastAsia="ja-JP"/>
        </w:rPr>
        <w:tab/>
      </w:r>
      <w:r w:rsidR="00DD38E9" w:rsidRPr="003337D0">
        <w:rPr>
          <w:rFonts w:eastAsia="MS Mincho"/>
          <w:i/>
          <w:iCs/>
          <w:lang w:eastAsia="ja-JP"/>
        </w:rPr>
        <w:t>convoi ou de la formation.</w:t>
      </w:r>
      <w:r w:rsidR="006D7AA7">
        <w:rPr>
          <w:rFonts w:eastAsia="MS Mincho"/>
          <w:i/>
          <w:iCs/>
          <w:lang w:eastAsia="ja-JP"/>
        </w:rPr>
        <w:t> </w:t>
      </w:r>
      <w:r w:rsidR="006D7AA7">
        <w:rPr>
          <w:i/>
          <w:iCs/>
        </w:rPr>
        <w:t>»</w:t>
      </w:r>
    </w:p>
    <w:p w:rsidR="00DD38E9" w:rsidRPr="00DD38E9" w:rsidRDefault="00DD38E9" w:rsidP="00DD38E9">
      <w:pPr>
        <w:pStyle w:val="SingleTxtG"/>
        <w:rPr>
          <w:lang w:val="fr-FR"/>
        </w:rPr>
      </w:pPr>
      <w:r>
        <w:rPr>
          <w:lang w:val="fr-FR"/>
        </w:rPr>
        <w:t>3</w:t>
      </w:r>
      <w:r w:rsidRPr="00DD38E9">
        <w:rPr>
          <w:lang w:val="fr-FR"/>
        </w:rPr>
        <w:t>.</w:t>
      </w:r>
      <w:r w:rsidRPr="00DD38E9">
        <w:rPr>
          <w:lang w:val="fr-FR"/>
        </w:rPr>
        <w:tab/>
      </w:r>
      <w:r w:rsidRPr="00DD38E9">
        <w:t>Dans la même sous-section, le 7.1.4.1.5 fournit des précisions supplémentaires applicables aux matières explosibles transportées ou aux matières explosibles contenues dans les objets explosibles transportés, comme suit</w:t>
      </w:r>
      <w:r>
        <w:t> :</w:t>
      </w:r>
    </w:p>
    <w:p w:rsidR="00DD38E9" w:rsidRPr="00DD38E9" w:rsidRDefault="00DC45A6" w:rsidP="00DC45A6">
      <w:pPr>
        <w:pStyle w:val="SingleTxtG"/>
        <w:tabs>
          <w:tab w:val="left" w:pos="2835"/>
        </w:tabs>
        <w:ind w:left="1701" w:hanging="1134"/>
        <w:rPr>
          <w:i/>
          <w:iCs/>
        </w:rPr>
      </w:pPr>
      <w:r>
        <w:rPr>
          <w:iCs/>
        </w:rPr>
        <w:tab/>
      </w:r>
      <w:r w:rsidR="006D7AA7" w:rsidRPr="006D7AA7">
        <w:rPr>
          <w:iCs/>
        </w:rPr>
        <w:t>«</w:t>
      </w:r>
      <w:r w:rsidR="006D7AA7">
        <w:rPr>
          <w:iCs/>
        </w:rPr>
        <w:t> </w:t>
      </w:r>
      <w:r>
        <w:rPr>
          <w:i/>
          <w:iCs/>
        </w:rPr>
        <w:t>7.1.4.1.5</w:t>
      </w:r>
      <w:r w:rsidR="00DD38E9" w:rsidRPr="00F44CFB">
        <w:rPr>
          <w:i/>
          <w:iCs/>
        </w:rPr>
        <w:tab/>
        <w:t xml:space="preserve">Si </w:t>
      </w:r>
      <w:r w:rsidR="00DD38E9" w:rsidRPr="00DD38E9">
        <w:rPr>
          <w:b/>
          <w:bCs/>
          <w:i/>
          <w:iCs/>
          <w:u w:val="single"/>
        </w:rPr>
        <w:t>la masse totale nette de matières explosibles</w:t>
      </w:r>
      <w:r w:rsidR="00DD38E9" w:rsidRPr="00F44CFB">
        <w:rPr>
          <w:i/>
          <w:iCs/>
        </w:rPr>
        <w:t xml:space="preserve"> transportées et des </w:t>
      </w:r>
      <w:r>
        <w:rPr>
          <w:i/>
          <w:iCs/>
        </w:rPr>
        <w:tab/>
      </w:r>
      <w:r>
        <w:rPr>
          <w:i/>
          <w:iCs/>
        </w:rPr>
        <w:tab/>
      </w:r>
      <w:r w:rsidR="00DD38E9" w:rsidRPr="00F44CFB">
        <w:rPr>
          <w:i/>
          <w:iCs/>
        </w:rPr>
        <w:t xml:space="preserve">matières explosibles contenues dans les objets explosibles transportés </w:t>
      </w:r>
      <w:r>
        <w:rPr>
          <w:i/>
          <w:iCs/>
        </w:rPr>
        <w:tab/>
      </w:r>
      <w:r>
        <w:rPr>
          <w:i/>
          <w:iCs/>
        </w:rPr>
        <w:tab/>
      </w:r>
      <w:r w:rsidR="00DD38E9" w:rsidRPr="00F44CFB">
        <w:rPr>
          <w:i/>
          <w:iCs/>
        </w:rPr>
        <w:t xml:space="preserve">n’est pas connue, le tableau du 7.1.4.1.1 ci-dessus s’applique à la </w:t>
      </w:r>
      <w:r>
        <w:rPr>
          <w:i/>
          <w:iCs/>
        </w:rPr>
        <w:tab/>
      </w:r>
      <w:r>
        <w:rPr>
          <w:i/>
          <w:iCs/>
        </w:rPr>
        <w:tab/>
      </w:r>
      <w:r w:rsidR="00DD38E9" w:rsidRPr="00F44CFB">
        <w:rPr>
          <w:i/>
          <w:iCs/>
        </w:rPr>
        <w:t>masse brute de la cargaison.</w:t>
      </w:r>
      <w:r w:rsidR="006D7AA7">
        <w:rPr>
          <w:i/>
          <w:iCs/>
        </w:rPr>
        <w:t> </w:t>
      </w:r>
      <w:r w:rsidR="006D7AA7" w:rsidRPr="006D7AA7">
        <w:rPr>
          <w:iCs/>
        </w:rPr>
        <w:t>»</w:t>
      </w:r>
    </w:p>
    <w:p w:rsidR="00DD38E9" w:rsidRDefault="00DD38E9" w:rsidP="00DD38E9">
      <w:pPr>
        <w:pStyle w:val="SingleTxtG"/>
        <w:rPr>
          <w:lang w:val="fr-FR"/>
        </w:rPr>
      </w:pPr>
      <w:r>
        <w:rPr>
          <w:lang w:val="fr-FR"/>
        </w:rPr>
        <w:t>4</w:t>
      </w:r>
      <w:r w:rsidRPr="00DD38E9">
        <w:rPr>
          <w:lang w:val="fr-FR"/>
        </w:rPr>
        <w:t>.</w:t>
      </w:r>
      <w:r w:rsidRPr="00DD38E9">
        <w:rPr>
          <w:lang w:val="fr-FR"/>
        </w:rPr>
        <w:tab/>
      </w:r>
      <w:r>
        <w:t>Il convient de noter que cette incohérence est assez ancienne, puisqu’on la retrouve, exprimée dans les mêmes termes, dans l’ADNR 2007.</w:t>
      </w:r>
    </w:p>
    <w:p w:rsidR="00DD38E9" w:rsidRPr="00952247" w:rsidRDefault="00952247" w:rsidP="00952247">
      <w:pPr>
        <w:pStyle w:val="SingleTxtG"/>
        <w:rPr>
          <w:lang w:val="fr-FR"/>
        </w:rPr>
      </w:pPr>
      <w:r w:rsidRPr="00952247">
        <w:rPr>
          <w:lang w:val="fr-FR"/>
        </w:rPr>
        <w:t>5.</w:t>
      </w:r>
      <w:r w:rsidRPr="00952247">
        <w:rPr>
          <w:lang w:val="fr-FR"/>
        </w:rPr>
        <w:tab/>
      </w:r>
      <w:r w:rsidRPr="00952247">
        <w:t xml:space="preserve">Le document </w:t>
      </w:r>
      <w:r w:rsidR="00192BA5">
        <w:t>informel INF.18 de la trente et unième session</w:t>
      </w:r>
      <w:r w:rsidRPr="00952247">
        <w:rPr>
          <w:lang w:val="fr-FR" w:eastAsia="de-DE"/>
        </w:rPr>
        <w:t xml:space="preserve"> proposait une modification du 7.1.4.1.1, afin de prendre en compte dans cet article, non pas les masses brutes des matières et objets explosibles, mais les masses nettes de </w:t>
      </w:r>
      <w:r w:rsidRPr="00952247">
        <w:t>substances explosibles ou de substances explosibles contenues dans des objets</w:t>
      </w:r>
      <w:r>
        <w:t>.</w:t>
      </w:r>
    </w:p>
    <w:p w:rsidR="00DD38E9" w:rsidRDefault="00952247" w:rsidP="009416C9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4C3B4F">
        <w:rPr>
          <w:lang w:val="fr-FR"/>
        </w:rPr>
        <w:t xml:space="preserve">Cependant, au cours des échanges qui se sont déroulés sur cette proposition lors de la </w:t>
      </w:r>
      <w:r w:rsidR="00D94430">
        <w:rPr>
          <w:lang w:val="fr-FR"/>
        </w:rPr>
        <w:t xml:space="preserve">trente et unième </w:t>
      </w:r>
      <w:r w:rsidR="004C3B4F">
        <w:rPr>
          <w:lang w:val="fr-FR"/>
        </w:rPr>
        <w:t xml:space="preserve">session du Comité, il est apparu que </w:t>
      </w:r>
      <w:r w:rsidR="009416C9">
        <w:rPr>
          <w:lang w:val="fr-FR"/>
        </w:rPr>
        <w:t xml:space="preserve">la </w:t>
      </w:r>
      <w:r w:rsidR="004C3B4F">
        <w:rPr>
          <w:lang w:val="fr-FR"/>
        </w:rPr>
        <w:t xml:space="preserve">prise en compte de la notion de masse brute appliquée aux matières et objets de la Classe 1 résultait historiquement d’un choix délibéré, et que le remplacement de la masse brute par les mêmes </w:t>
      </w:r>
      <w:r w:rsidR="003F6E0A">
        <w:rPr>
          <w:lang w:val="fr-FR"/>
        </w:rPr>
        <w:t xml:space="preserve">valeurs numériques des </w:t>
      </w:r>
      <w:r w:rsidR="004C3B4F">
        <w:rPr>
          <w:lang w:val="fr-FR"/>
        </w:rPr>
        <w:t xml:space="preserve">quantités, mais </w:t>
      </w:r>
      <w:r w:rsidR="003F6E0A">
        <w:rPr>
          <w:lang w:val="fr-FR"/>
        </w:rPr>
        <w:t xml:space="preserve">exprimées </w:t>
      </w:r>
      <w:r w:rsidR="004C3B4F">
        <w:rPr>
          <w:lang w:val="fr-FR"/>
        </w:rPr>
        <w:t>en masse nette, pou</w:t>
      </w:r>
      <w:r w:rsidR="009416C9">
        <w:rPr>
          <w:lang w:val="fr-FR"/>
        </w:rPr>
        <w:t>v</w:t>
      </w:r>
      <w:r w:rsidR="004C3B4F">
        <w:rPr>
          <w:lang w:val="fr-FR"/>
        </w:rPr>
        <w:t>ait augmenter considérablement le niveau de risque à bord des bateaux (notamment pour les matières du code de classification 1.1A).</w:t>
      </w:r>
    </w:p>
    <w:p w:rsidR="003447BF" w:rsidRPr="00D94430" w:rsidRDefault="00D94430" w:rsidP="00D94430">
      <w:pPr>
        <w:pStyle w:val="HChG"/>
      </w:pPr>
      <w:r>
        <w:tab/>
        <w:t>II.</w:t>
      </w:r>
      <w:r>
        <w:tab/>
      </w:r>
      <w:r w:rsidR="003447BF" w:rsidRPr="00D94430">
        <w:t xml:space="preserve">Proposition </w:t>
      </w:r>
    </w:p>
    <w:p w:rsidR="004C3B4F" w:rsidRDefault="004C3B4F" w:rsidP="003F6E0A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Pour tenir compte des échanges évoqués au paragraphe 6 ci-dessus, et résoudre l’incohérence entre les paragraphes 7.1.4.1.1 et 7.1.4.1.5 du Règlement annexé, il est proposé d</w:t>
      </w:r>
      <w:r w:rsidR="003F6E0A">
        <w:rPr>
          <w:lang w:val="fr-FR"/>
        </w:rPr>
        <w:t>e maintenir le 7.1.4.1.1, et de supprimer le texte du 7.1.4.1.5 :</w:t>
      </w:r>
    </w:p>
    <w:p w:rsidR="004C3B4F" w:rsidRDefault="00D94430" w:rsidP="004C3B4F">
      <w:pPr>
        <w:pStyle w:val="SingleTxtG"/>
        <w:rPr>
          <w:i/>
          <w:iCs/>
        </w:rPr>
      </w:pPr>
      <w:r>
        <w:rPr>
          <w:iCs/>
        </w:rPr>
        <w:tab/>
      </w:r>
      <w:r w:rsidR="006D7AA7" w:rsidRPr="006D7AA7">
        <w:rPr>
          <w:iCs/>
        </w:rPr>
        <w:t>«</w:t>
      </w:r>
      <w:r w:rsidR="006D7AA7">
        <w:rPr>
          <w:iCs/>
        </w:rPr>
        <w:t> </w:t>
      </w:r>
      <w:r w:rsidR="004C3B4F">
        <w:rPr>
          <w:i/>
          <w:iCs/>
        </w:rPr>
        <w:t xml:space="preserve">7.1.4.1.1 </w:t>
      </w:r>
      <w:r w:rsidR="004C3B4F">
        <w:rPr>
          <w:i/>
          <w:iCs/>
        </w:rPr>
        <w:tab/>
        <w:t>[Rédaction existante inchangée]</w:t>
      </w:r>
      <w:r w:rsidR="006D7AA7">
        <w:rPr>
          <w:i/>
          <w:iCs/>
        </w:rPr>
        <w:t> </w:t>
      </w:r>
      <w:r w:rsidR="006D7AA7" w:rsidRPr="006D7AA7">
        <w:rPr>
          <w:iCs/>
        </w:rPr>
        <w:t>»</w:t>
      </w:r>
      <w:r w:rsidR="004C3B4F">
        <w:rPr>
          <w:i/>
          <w:iCs/>
        </w:rPr>
        <w:t>; et</w:t>
      </w:r>
    </w:p>
    <w:p w:rsidR="004C3B4F" w:rsidRPr="006D7AA7" w:rsidRDefault="00D94430" w:rsidP="004C3B4F">
      <w:pPr>
        <w:pStyle w:val="SingleTxtG"/>
        <w:rPr>
          <w:lang w:val="en-GB"/>
        </w:rPr>
      </w:pPr>
      <w:r>
        <w:rPr>
          <w:iCs/>
        </w:rPr>
        <w:tab/>
      </w:r>
      <w:r w:rsidR="006D7AA7" w:rsidRPr="006D7AA7">
        <w:rPr>
          <w:iCs/>
        </w:rPr>
        <w:t>«</w:t>
      </w:r>
      <w:r w:rsidR="006D7AA7">
        <w:rPr>
          <w:i/>
          <w:iCs/>
        </w:rPr>
        <w:t> </w:t>
      </w:r>
      <w:r w:rsidR="00AE1716" w:rsidRPr="00F44CFB">
        <w:rPr>
          <w:i/>
          <w:iCs/>
        </w:rPr>
        <w:t xml:space="preserve">7.1.4.1.5 </w:t>
      </w:r>
      <w:r w:rsidR="00AE1716" w:rsidRPr="00F44CFB">
        <w:rPr>
          <w:i/>
          <w:iCs/>
        </w:rPr>
        <w:tab/>
      </w:r>
      <w:r w:rsidR="00AE1716" w:rsidRPr="00AE1716">
        <w:rPr>
          <w:rFonts w:ascii="(Utiliser une police de caractè" w:hAnsi="(Utiliser une police de caractè"/>
          <w:i/>
          <w:iCs/>
          <w:dstrike/>
        </w:rPr>
        <w:t xml:space="preserve">Si la masse totale nette de matières explosibles transportées et des </w:t>
      </w:r>
      <w:r w:rsidRPr="00D94430">
        <w:rPr>
          <w:rFonts w:ascii="(Utiliser une police de caractè" w:hAnsi="(Utiliser une police de caractè"/>
          <w:i/>
          <w:iCs/>
        </w:rPr>
        <w:tab/>
      </w:r>
      <w:r w:rsidRPr="00D94430">
        <w:rPr>
          <w:rFonts w:ascii="(Utiliser une police de caractè" w:hAnsi="(Utiliser une police de caractè"/>
          <w:i/>
          <w:iCs/>
        </w:rPr>
        <w:tab/>
      </w:r>
      <w:r w:rsidRPr="00D94430">
        <w:rPr>
          <w:rFonts w:ascii="(Utiliser une police de caractè" w:hAnsi="(Utiliser une police de caractè"/>
          <w:i/>
          <w:iCs/>
        </w:rPr>
        <w:tab/>
      </w:r>
      <w:r w:rsidR="00AE1716" w:rsidRPr="00AE1716">
        <w:rPr>
          <w:rFonts w:ascii="(Utiliser une police de caractè" w:hAnsi="(Utiliser une police de caractè"/>
          <w:i/>
          <w:iCs/>
          <w:dstrike/>
        </w:rPr>
        <w:t xml:space="preserve">matières explosibles contenues dans les objets explosibles transportés </w:t>
      </w:r>
      <w:r w:rsidRPr="00D94430">
        <w:rPr>
          <w:rFonts w:ascii="(Utiliser une police de caractè" w:hAnsi="(Utiliser une police de caractè"/>
          <w:i/>
          <w:iCs/>
        </w:rPr>
        <w:tab/>
      </w:r>
      <w:r w:rsidRPr="00D94430">
        <w:rPr>
          <w:rFonts w:ascii="(Utiliser une police de caractè" w:hAnsi="(Utiliser une police de caractè"/>
          <w:i/>
          <w:iCs/>
        </w:rPr>
        <w:tab/>
      </w:r>
      <w:r w:rsidRPr="00D94430">
        <w:rPr>
          <w:rFonts w:ascii="(Utiliser une police de caractè" w:hAnsi="(Utiliser une police de caractè"/>
          <w:i/>
          <w:iCs/>
        </w:rPr>
        <w:tab/>
      </w:r>
      <w:r w:rsidR="00AE1716" w:rsidRPr="00AE1716">
        <w:rPr>
          <w:rFonts w:ascii="(Utiliser une police de caractè" w:hAnsi="(Utiliser une police de caractè"/>
          <w:i/>
          <w:iCs/>
          <w:dstrike/>
        </w:rPr>
        <w:t xml:space="preserve">n’est pas connue, le tableau du 7.1.4.1.1 ci-dessus s’applique à la </w:t>
      </w:r>
      <w:r w:rsidRPr="00D94430">
        <w:rPr>
          <w:rFonts w:ascii="(Utiliser une police de caractè" w:hAnsi="(Utiliser une police de caractè"/>
          <w:i/>
          <w:iCs/>
        </w:rPr>
        <w:tab/>
      </w:r>
      <w:r w:rsidRPr="00D94430">
        <w:rPr>
          <w:rFonts w:ascii="(Utiliser une police de caractè" w:hAnsi="(Utiliser une police de caractè"/>
          <w:i/>
          <w:iCs/>
        </w:rPr>
        <w:tab/>
      </w:r>
      <w:r w:rsidRPr="00D94430">
        <w:rPr>
          <w:rFonts w:ascii="(Utiliser une police de caractè" w:hAnsi="(Utiliser une police de caractè"/>
          <w:i/>
          <w:iCs/>
        </w:rPr>
        <w:tab/>
      </w:r>
      <w:r w:rsidR="00AE1716" w:rsidRPr="00AE1716">
        <w:rPr>
          <w:rFonts w:ascii="(Utiliser une police de caractè" w:hAnsi="(Utiliser une police de caractè"/>
          <w:i/>
          <w:iCs/>
          <w:dstrike/>
        </w:rPr>
        <w:t>masse brute de la cargaison.</w:t>
      </w:r>
      <w:r w:rsidR="00AE1716">
        <w:rPr>
          <w:i/>
          <w:iCs/>
        </w:rPr>
        <w:t xml:space="preserve"> </w:t>
      </w:r>
      <w:r w:rsidR="00AE1716" w:rsidRPr="00AE1716">
        <w:rPr>
          <w:b/>
          <w:bCs/>
          <w:i/>
          <w:iCs/>
          <w:u w:val="single"/>
          <w:lang w:val="en-GB"/>
        </w:rPr>
        <w:t>Supprimé</w:t>
      </w:r>
      <w:r w:rsidR="00AE1716" w:rsidRPr="00AE1716">
        <w:rPr>
          <w:b/>
          <w:bCs/>
          <w:i/>
          <w:iCs/>
          <w:lang w:val="en-GB"/>
        </w:rPr>
        <w:t>.</w:t>
      </w:r>
      <w:r w:rsidR="006D7AA7">
        <w:rPr>
          <w:b/>
          <w:bCs/>
          <w:i/>
          <w:iCs/>
          <w:lang w:val="en-GB"/>
        </w:rPr>
        <w:t> </w:t>
      </w:r>
      <w:r w:rsidR="006D7AA7">
        <w:rPr>
          <w:bCs/>
          <w:iCs/>
          <w:lang w:val="en-GB"/>
        </w:rPr>
        <w:t>»</w:t>
      </w:r>
    </w:p>
    <w:p w:rsidR="00AE1716" w:rsidRPr="00D94430" w:rsidRDefault="00D94430" w:rsidP="00D94430">
      <w:pPr>
        <w:pStyle w:val="HChG"/>
      </w:pPr>
      <w:r>
        <w:tab/>
        <w:t>III.</w:t>
      </w:r>
      <w:r>
        <w:tab/>
      </w:r>
      <w:r w:rsidR="00AE1716" w:rsidRPr="00D94430">
        <w:t>Suites à donner</w:t>
      </w:r>
    </w:p>
    <w:p w:rsidR="00AE1716" w:rsidRPr="00AE1716" w:rsidRDefault="00AE1716" w:rsidP="00AE1716">
      <w:pPr>
        <w:pStyle w:val="SingleTxtG"/>
      </w:pPr>
      <w:r w:rsidRPr="00AE1716">
        <w:rPr>
          <w:lang w:val="fr-FR"/>
        </w:rPr>
        <w:t>8.</w:t>
      </w:r>
      <w:r w:rsidRPr="00AE1716">
        <w:rPr>
          <w:lang w:val="fr-FR"/>
        </w:rPr>
        <w:tab/>
      </w:r>
      <w:r w:rsidRPr="00AE1716">
        <w:t>Le Comité est invité à prendre connaissance des propositions figurant au paragraphe</w:t>
      </w:r>
      <w:r>
        <w:t xml:space="preserve"> 7</w:t>
      </w:r>
      <w:r w:rsidRPr="00AE1716">
        <w:t xml:space="preserve"> ci-dessus et à leur donner les suites qu’il jugera appropriées.</w:t>
      </w:r>
    </w:p>
    <w:p w:rsidR="00AE1716" w:rsidRPr="00D866A8" w:rsidRDefault="00AE1716" w:rsidP="00AE1716">
      <w:pPr>
        <w:pStyle w:val="SingleTxtG"/>
        <w:spacing w:before="240" w:after="0"/>
        <w:jc w:val="center"/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AE1716" w:rsidRPr="00D866A8" w:rsidSect="001A73B7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EF" w:rsidRDefault="00CE03EF"/>
  </w:endnote>
  <w:endnote w:type="continuationSeparator" w:id="0">
    <w:p w:rsidR="00CE03EF" w:rsidRDefault="00CE03EF"/>
  </w:endnote>
  <w:endnote w:type="continuationNotice" w:id="1">
    <w:p w:rsidR="00CE03EF" w:rsidRDefault="00CE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B" w:rsidRPr="0029776B" w:rsidRDefault="00AF52DB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0E4978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B" w:rsidRPr="0029776B" w:rsidRDefault="00AF52DB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EF" w:rsidRPr="00D27D5E" w:rsidRDefault="00CE03E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03EF" w:rsidRPr="00A80554" w:rsidRDefault="00CE03EF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CE03EF" w:rsidRDefault="00CE03EF"/>
  </w:footnote>
  <w:footnote w:id="2">
    <w:p w:rsidR="00DB533B" w:rsidRDefault="00DB533B" w:rsidP="00DB533B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EF5998">
        <w:rPr>
          <w:lang w:val="fr-FR"/>
        </w:rPr>
        <w:t>Diffusé en langue allemande par la Commission centrale pour la navigation du Rhin sous la cote CCNR/ZKR/ADN/WP.15/AC.2/2018/</w:t>
      </w:r>
      <w:r>
        <w:rPr>
          <w:lang w:val="fr-FR"/>
        </w:rPr>
        <w:t>5.</w:t>
      </w:r>
    </w:p>
  </w:footnote>
  <w:footnote w:id="3">
    <w:p w:rsidR="00DB533B" w:rsidRDefault="00DB533B" w:rsidP="00DB533B">
      <w:pPr>
        <w:pStyle w:val="FootnoteText"/>
        <w:ind w:firstLine="0"/>
      </w:pPr>
      <w:r>
        <w:rPr>
          <w:rStyle w:val="FootnoteReference"/>
        </w:rPr>
        <w:t>**</w:t>
      </w:r>
      <w:r>
        <w:t xml:space="preserve"> </w:t>
      </w:r>
      <w:r w:rsidRPr="00EF5998">
        <w:rPr>
          <w:lang w:val="fr-FR"/>
        </w:rPr>
        <w:t>Conformément au programme de travail du Comité des</w:t>
      </w:r>
      <w:r>
        <w:rPr>
          <w:lang w:val="fr-FR"/>
        </w:rPr>
        <w:t xml:space="preserve"> transports intérieurs pour 2017-2018 </w:t>
      </w:r>
      <w:r w:rsidRPr="00EF5998">
        <w:rPr>
          <w:lang w:val="fr-FR"/>
        </w:rPr>
        <w:t>(ECE/TRANS/</w:t>
      </w:r>
      <w:r>
        <w:rPr>
          <w:lang w:val="fr-FR"/>
        </w:rPr>
        <w:t>WP.15/237, annexe V</w:t>
      </w:r>
      <w:r w:rsidRPr="00EF5998">
        <w:rPr>
          <w:lang w:val="fr-FR"/>
        </w:rPr>
        <w:t xml:space="preserve"> (9.3.))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B" w:rsidRPr="006D7AA7" w:rsidRDefault="004D5258" w:rsidP="00DD38E9">
    <w:pPr>
      <w:pStyle w:val="Header"/>
      <w:rPr>
        <w:lang w:val="en-GB"/>
      </w:rPr>
    </w:pPr>
    <w:r>
      <w:rPr>
        <w:lang w:val="en-GB"/>
      </w:rPr>
      <w:t>ECE/TRANS/WP.15/AC.2/2018/5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B" w:rsidRPr="00DD38E9" w:rsidRDefault="00AF52DB" w:rsidP="0029776B">
    <w:pPr>
      <w:pStyle w:val="Header"/>
      <w:jc w:val="right"/>
      <w:rPr>
        <w:color w:val="FF0000"/>
        <w:lang w:val="en-GB"/>
      </w:rPr>
    </w:pPr>
    <w:r w:rsidRPr="00DD38E9">
      <w:rPr>
        <w:color w:val="FF0000"/>
        <w:lang w:val="en-GB"/>
      </w:rPr>
      <w:t>ECE/TRANS/WP.15/AC.2/2018/XX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7E12"/>
    <w:rsid w:val="000E4978"/>
    <w:rsid w:val="000E68FB"/>
    <w:rsid w:val="000F41F2"/>
    <w:rsid w:val="00104ADE"/>
    <w:rsid w:val="00114764"/>
    <w:rsid w:val="00114946"/>
    <w:rsid w:val="00114DAF"/>
    <w:rsid w:val="00115943"/>
    <w:rsid w:val="00127A72"/>
    <w:rsid w:val="0013180D"/>
    <w:rsid w:val="00135C0D"/>
    <w:rsid w:val="0013653F"/>
    <w:rsid w:val="00143574"/>
    <w:rsid w:val="00147C56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BA5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3CC1"/>
    <w:rsid w:val="001F412D"/>
    <w:rsid w:val="001F5816"/>
    <w:rsid w:val="002023CD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34E40"/>
    <w:rsid w:val="002403AA"/>
    <w:rsid w:val="00241AAF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56D7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3FA8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5981"/>
    <w:rsid w:val="003B6B20"/>
    <w:rsid w:val="003C322F"/>
    <w:rsid w:val="003C5A95"/>
    <w:rsid w:val="003C5C5B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54017"/>
    <w:rsid w:val="00461870"/>
    <w:rsid w:val="00471DA9"/>
    <w:rsid w:val="00473690"/>
    <w:rsid w:val="00475DD2"/>
    <w:rsid w:val="00486E96"/>
    <w:rsid w:val="00491EC7"/>
    <w:rsid w:val="0049374F"/>
    <w:rsid w:val="00497A70"/>
    <w:rsid w:val="00497E7A"/>
    <w:rsid w:val="004A324B"/>
    <w:rsid w:val="004A331B"/>
    <w:rsid w:val="004A3778"/>
    <w:rsid w:val="004A5C90"/>
    <w:rsid w:val="004B154F"/>
    <w:rsid w:val="004C3B4F"/>
    <w:rsid w:val="004D0EB7"/>
    <w:rsid w:val="004D5258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2556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E67B6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309D"/>
    <w:rsid w:val="00625F01"/>
    <w:rsid w:val="00630D9B"/>
    <w:rsid w:val="00631953"/>
    <w:rsid w:val="0063675E"/>
    <w:rsid w:val="006439EC"/>
    <w:rsid w:val="00654B07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D7AA7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93D70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B6524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2C6B"/>
    <w:rsid w:val="00A963DD"/>
    <w:rsid w:val="00AA0176"/>
    <w:rsid w:val="00AA3C96"/>
    <w:rsid w:val="00AA5B1E"/>
    <w:rsid w:val="00AA72C3"/>
    <w:rsid w:val="00AA77E5"/>
    <w:rsid w:val="00AB6447"/>
    <w:rsid w:val="00AC67A1"/>
    <w:rsid w:val="00AC7977"/>
    <w:rsid w:val="00AD1E14"/>
    <w:rsid w:val="00AD3F23"/>
    <w:rsid w:val="00AD545E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E03EF"/>
    <w:rsid w:val="00CF4311"/>
    <w:rsid w:val="00CF6435"/>
    <w:rsid w:val="00D016B5"/>
    <w:rsid w:val="00D034F1"/>
    <w:rsid w:val="00D10BD3"/>
    <w:rsid w:val="00D11B17"/>
    <w:rsid w:val="00D218FC"/>
    <w:rsid w:val="00D22284"/>
    <w:rsid w:val="00D27297"/>
    <w:rsid w:val="00D27D5E"/>
    <w:rsid w:val="00D31640"/>
    <w:rsid w:val="00D319BE"/>
    <w:rsid w:val="00D34270"/>
    <w:rsid w:val="00D40906"/>
    <w:rsid w:val="00D41B47"/>
    <w:rsid w:val="00D428F9"/>
    <w:rsid w:val="00D440EE"/>
    <w:rsid w:val="00D47F24"/>
    <w:rsid w:val="00D52A86"/>
    <w:rsid w:val="00D60301"/>
    <w:rsid w:val="00D64213"/>
    <w:rsid w:val="00D70305"/>
    <w:rsid w:val="00D72874"/>
    <w:rsid w:val="00D75A23"/>
    <w:rsid w:val="00D84247"/>
    <w:rsid w:val="00D8534F"/>
    <w:rsid w:val="00D86AD1"/>
    <w:rsid w:val="00D94430"/>
    <w:rsid w:val="00D96366"/>
    <w:rsid w:val="00DA1820"/>
    <w:rsid w:val="00DA57D4"/>
    <w:rsid w:val="00DA6BC7"/>
    <w:rsid w:val="00DB4793"/>
    <w:rsid w:val="00DB533B"/>
    <w:rsid w:val="00DB5C62"/>
    <w:rsid w:val="00DC158C"/>
    <w:rsid w:val="00DC45A6"/>
    <w:rsid w:val="00DC51E3"/>
    <w:rsid w:val="00DD051B"/>
    <w:rsid w:val="00DD38E9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30A6C"/>
    <w:rsid w:val="00E418A5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0189E"/>
    <w:rsid w:val="00F12577"/>
    <w:rsid w:val="00F14D09"/>
    <w:rsid w:val="00F2271B"/>
    <w:rsid w:val="00F227C9"/>
    <w:rsid w:val="00F27F4C"/>
    <w:rsid w:val="00F337B3"/>
    <w:rsid w:val="00F35A1F"/>
    <w:rsid w:val="00F37523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4543-7644-44F1-90FD-67475F4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ECE-TRANS-WP.15-AC.2-2018-XXf.doc</vt:lpstr>
      <vt:lpstr>ECE-TRANS-WP.15-AC.2-2018-XXf.doc</vt:lpstr>
    </vt:vector>
  </TitlesOfParts>
  <Company>CSD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ECE-TRANS-WP.15-AC.2-2018-XXf.doc</dc:title>
  <dc:creator>UNECE</dc:creator>
  <cp:lastModifiedBy>Laurence Berthet</cp:lastModifiedBy>
  <cp:revision>2</cp:revision>
  <cp:lastPrinted>2017-10-20T12:59:00Z</cp:lastPrinted>
  <dcterms:created xsi:type="dcterms:W3CDTF">2017-10-20T13:27:00Z</dcterms:created>
  <dcterms:modified xsi:type="dcterms:W3CDTF">2017-10-20T13:27:00Z</dcterms:modified>
</cp:coreProperties>
</file>