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CE" w:rsidRPr="00D95AD3" w:rsidRDefault="00FA06CE" w:rsidP="00FA06CE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bookmarkStart w:id="0" w:name="_GoBack"/>
      <w:bookmarkEnd w:id="0"/>
      <w:r w:rsidRPr="00D95AD3">
        <w:rPr>
          <w:rFonts w:ascii="Arial" w:hAnsi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325B5D" wp14:editId="0FE7F34D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AD3">
        <w:rPr>
          <w:rFonts w:ascii="Arial" w:eastAsia="Arial" w:hAnsi="Arial" w:cs="Arial"/>
          <w:bCs/>
          <w:szCs w:val="24"/>
          <w:lang w:val="de-DE" w:eastAsia="de-DE"/>
        </w:rPr>
        <w:t>CCNR-ZKR/ADN/WP.15/AC.2/6</w:t>
      </w:r>
      <w:r>
        <w:rPr>
          <w:rFonts w:ascii="Arial" w:eastAsia="Arial" w:hAnsi="Arial" w:cs="Arial"/>
          <w:bCs/>
          <w:szCs w:val="24"/>
          <w:lang w:val="de-DE" w:eastAsia="de-DE"/>
        </w:rPr>
        <w:t>5</w:t>
      </w:r>
    </w:p>
    <w:p w:rsidR="00FA06CE" w:rsidRPr="00A811C3" w:rsidRDefault="00FA06CE" w:rsidP="00FA06CE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A811C3">
        <w:rPr>
          <w:rFonts w:ascii="Arial" w:hAnsi="Arial"/>
          <w:lang w:val="en-US" w:bidi="fr-FR"/>
        </w:rPr>
        <w:t>CCNR-ZKR/ADN/WP.15/AC.2/6</w:t>
      </w:r>
      <w:r>
        <w:rPr>
          <w:rFonts w:ascii="Arial" w:hAnsi="Arial"/>
          <w:lang w:val="en-US" w:bidi="fr-FR"/>
        </w:rPr>
        <w:t>5</w:t>
      </w:r>
      <w:r w:rsidRPr="00A811C3">
        <w:rPr>
          <w:rFonts w:ascii="Arial" w:hAnsi="Arial"/>
          <w:lang w:val="en-US" w:bidi="fr-FR"/>
        </w:rPr>
        <w:t xml:space="preserve"> Add.1</w:t>
      </w:r>
    </w:p>
    <w:p w:rsidR="00FA06CE" w:rsidRPr="00D95AD3" w:rsidRDefault="00FA06CE" w:rsidP="00FA06CE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D95AD3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FA06CE" w:rsidRPr="00D95AD3" w:rsidRDefault="00FA06CE" w:rsidP="00FA06CE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D95AD3">
        <w:rPr>
          <w:rFonts w:ascii="Arial" w:eastAsia="Arial" w:hAnsi="Arial" w:cs="Arial"/>
          <w:szCs w:val="24"/>
          <w:lang w:val="de-DE" w:eastAsia="de-DE"/>
        </w:rPr>
        <w:t>1</w:t>
      </w:r>
      <w:r>
        <w:rPr>
          <w:rFonts w:ascii="Arial" w:eastAsia="Arial" w:hAnsi="Arial" w:cs="Arial"/>
          <w:szCs w:val="24"/>
          <w:lang w:val="de-DE" w:eastAsia="de-DE"/>
        </w:rPr>
        <w:t>0</w:t>
      </w:r>
      <w:r w:rsidRPr="00D95AD3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November</w:t>
      </w:r>
      <w:r w:rsidRPr="00D95AD3">
        <w:rPr>
          <w:rFonts w:ascii="Arial" w:eastAsia="Arial" w:hAnsi="Arial" w:cs="Arial"/>
          <w:szCs w:val="24"/>
          <w:lang w:val="de-DE" w:eastAsia="de-DE"/>
        </w:rPr>
        <w:t xml:space="preserve"> 2017</w:t>
      </w:r>
    </w:p>
    <w:p w:rsidR="00FA06CE" w:rsidRDefault="00FA06CE" w:rsidP="00FA06CE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r w:rsidRPr="00D95AD3">
        <w:rPr>
          <w:rFonts w:ascii="Arial" w:eastAsia="Arial" w:hAnsi="Arial" w:cs="Arial"/>
          <w:sz w:val="16"/>
          <w:szCs w:val="24"/>
          <w:lang w:val="de-DE" w:eastAsia="de-DE"/>
        </w:rPr>
        <w:t>Or. ENGLISCH</w:t>
      </w:r>
    </w:p>
    <w:p w:rsidR="00C1460D" w:rsidRDefault="00C1460D" w:rsidP="00FA06CE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</w:p>
    <w:p w:rsidR="00C1460D" w:rsidRPr="00D95AD3" w:rsidRDefault="00C1460D" w:rsidP="00FA06CE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</w:p>
    <w:p w:rsidR="00FA06CE" w:rsidRPr="00D95AD3" w:rsidRDefault="00FA06CE" w:rsidP="00FA06CE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D95AD3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Pr="00D95AD3">
        <w:rPr>
          <w:rFonts w:ascii="Arial" w:hAnsi="Arial" w:cs="Arial"/>
          <w:sz w:val="16"/>
          <w:szCs w:val="16"/>
          <w:lang w:val="de-DE"/>
        </w:rPr>
        <w:t>BEIGEFÜGTE VERORDNUNG (ADN)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Pr="00D95AD3">
        <w:rPr>
          <w:rFonts w:ascii="Arial" w:hAnsi="Arial" w:cs="Arial"/>
          <w:sz w:val="16"/>
          <w:szCs w:val="16"/>
          <w:lang w:val="de-DE"/>
        </w:rPr>
        <w:t>(SICHERHEITSAUSSCHUSS)</w:t>
      </w:r>
    </w:p>
    <w:p w:rsidR="00FA06CE" w:rsidRPr="00D95AD3" w:rsidRDefault="00FA06CE" w:rsidP="00FA06CE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D95AD3">
        <w:rPr>
          <w:rFonts w:ascii="Arial" w:hAnsi="Arial" w:cs="Arial"/>
          <w:sz w:val="16"/>
          <w:szCs w:val="16"/>
          <w:lang w:val="de-DE"/>
        </w:rPr>
        <w:t>(3</w:t>
      </w:r>
      <w:r>
        <w:rPr>
          <w:rFonts w:ascii="Arial" w:hAnsi="Arial" w:cs="Arial"/>
          <w:sz w:val="16"/>
          <w:szCs w:val="16"/>
          <w:lang w:val="de-DE"/>
        </w:rPr>
        <w:t>2</w:t>
      </w:r>
      <w:r w:rsidRPr="00D95AD3">
        <w:rPr>
          <w:rFonts w:ascii="Arial" w:hAnsi="Arial" w:cs="Arial"/>
          <w:sz w:val="16"/>
          <w:szCs w:val="16"/>
          <w:lang w:val="de-DE"/>
        </w:rPr>
        <w:t>. Tagung, Genf, 2</w:t>
      </w:r>
      <w:r>
        <w:rPr>
          <w:rFonts w:ascii="Arial" w:hAnsi="Arial" w:cs="Arial"/>
          <w:sz w:val="16"/>
          <w:szCs w:val="16"/>
          <w:lang w:val="de-DE"/>
        </w:rPr>
        <w:t>2</w:t>
      </w:r>
      <w:r w:rsidRPr="00D95AD3">
        <w:rPr>
          <w:rFonts w:ascii="Arial" w:hAnsi="Arial" w:cs="Arial"/>
          <w:sz w:val="16"/>
          <w:szCs w:val="16"/>
          <w:lang w:val="de-DE"/>
        </w:rPr>
        <w:t xml:space="preserve">. bis </w:t>
      </w:r>
      <w:r>
        <w:rPr>
          <w:rFonts w:ascii="Arial" w:hAnsi="Arial" w:cs="Arial"/>
          <w:sz w:val="16"/>
          <w:szCs w:val="16"/>
          <w:lang w:val="de-DE"/>
        </w:rPr>
        <w:t>26</w:t>
      </w:r>
      <w:r w:rsidRPr="00D95AD3">
        <w:rPr>
          <w:rFonts w:ascii="Arial" w:hAnsi="Arial" w:cs="Arial"/>
          <w:sz w:val="16"/>
          <w:szCs w:val="16"/>
          <w:lang w:val="de-DE"/>
        </w:rPr>
        <w:t xml:space="preserve">. </w:t>
      </w:r>
      <w:r>
        <w:rPr>
          <w:rFonts w:ascii="Arial" w:hAnsi="Arial" w:cs="Arial"/>
          <w:sz w:val="16"/>
          <w:szCs w:val="16"/>
          <w:lang w:val="de-DE"/>
        </w:rPr>
        <w:t>Januar 2018</w:t>
      </w:r>
      <w:r w:rsidRPr="00D95AD3">
        <w:rPr>
          <w:rFonts w:ascii="Arial" w:hAnsi="Arial" w:cs="Arial"/>
          <w:sz w:val="16"/>
          <w:szCs w:val="16"/>
          <w:lang w:val="de-DE"/>
        </w:rPr>
        <w:t>)</w:t>
      </w:r>
    </w:p>
    <w:p w:rsidR="00FA06CE" w:rsidRPr="00D95AD3" w:rsidRDefault="00FA06CE" w:rsidP="00FA06CE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D95AD3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:rsidR="00FA06CE" w:rsidRPr="00D95AD3" w:rsidRDefault="00FA06CE" w:rsidP="00FA06CE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D95AD3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:rsidR="00C1460D" w:rsidRDefault="00C1460D" w:rsidP="00FA06CE">
      <w:pPr>
        <w:spacing w:line="240" w:lineRule="auto"/>
        <w:jc w:val="center"/>
        <w:outlineLvl w:val="0"/>
        <w:rPr>
          <w:noProof/>
          <w:sz w:val="26"/>
          <w:szCs w:val="26"/>
          <w:lang w:val="de-DE"/>
        </w:rPr>
      </w:pPr>
    </w:p>
    <w:p w:rsidR="00C1460D" w:rsidRDefault="00C1460D" w:rsidP="00FA06CE">
      <w:pPr>
        <w:spacing w:line="240" w:lineRule="auto"/>
        <w:jc w:val="center"/>
        <w:outlineLvl w:val="0"/>
        <w:rPr>
          <w:noProof/>
          <w:sz w:val="26"/>
          <w:szCs w:val="26"/>
          <w:lang w:val="de-DE"/>
        </w:rPr>
      </w:pPr>
    </w:p>
    <w:p w:rsidR="00FA06CE" w:rsidRPr="00D95AD3" w:rsidRDefault="00FA06CE" w:rsidP="00FA06CE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D95AD3">
        <w:rPr>
          <w:noProof/>
          <w:sz w:val="26"/>
          <w:szCs w:val="26"/>
          <w:lang w:val="de-DE"/>
        </w:rPr>
        <w:t xml:space="preserve">VORLÄUFIGE TAGESORDNUNG DER </w:t>
      </w:r>
      <w:r>
        <w:rPr>
          <w:noProof/>
          <w:sz w:val="26"/>
          <w:szCs w:val="26"/>
          <w:lang w:val="de-DE"/>
        </w:rPr>
        <w:t>ZW</w:t>
      </w:r>
      <w:r w:rsidRPr="00D95AD3">
        <w:rPr>
          <w:noProof/>
          <w:sz w:val="26"/>
          <w:szCs w:val="26"/>
          <w:lang w:val="de-DE"/>
        </w:rPr>
        <w:t>EIUNDDREISSIGSTEN SITZUNG</w:t>
      </w:r>
      <w:r w:rsidRPr="00D95AD3">
        <w:rPr>
          <w:rFonts w:ascii="SimSun" w:eastAsia="SimSun"/>
          <w:noProof/>
          <w:szCs w:val="24"/>
          <w:vertAlign w:val="superscript"/>
          <w:lang w:val="de-DE"/>
        </w:rPr>
        <w:footnoteReference w:id="2"/>
      </w:r>
    </w:p>
    <w:p w:rsidR="00FA06CE" w:rsidRPr="00D95AD3" w:rsidRDefault="00FA06CE" w:rsidP="00FA06CE">
      <w:pPr>
        <w:jc w:val="center"/>
        <w:rPr>
          <w:sz w:val="24"/>
          <w:szCs w:val="24"/>
          <w:lang w:val="de-DE"/>
        </w:rPr>
      </w:pPr>
      <w:r w:rsidRPr="00D95AD3">
        <w:rPr>
          <w:noProof/>
          <w:sz w:val="24"/>
          <w:szCs w:val="24"/>
          <w:lang w:val="de-DE"/>
        </w:rPr>
        <w:t>die in Genf, Palais des Nations,</w:t>
      </w:r>
    </w:p>
    <w:p w:rsidR="00FA06CE" w:rsidRPr="00D95AD3" w:rsidRDefault="00FA06CE" w:rsidP="00FA06CE">
      <w:pPr>
        <w:jc w:val="center"/>
        <w:rPr>
          <w:noProof/>
          <w:sz w:val="24"/>
          <w:szCs w:val="24"/>
          <w:lang w:val="de-DE"/>
        </w:rPr>
      </w:pPr>
      <w:r w:rsidRPr="00D95AD3">
        <w:rPr>
          <w:noProof/>
          <w:sz w:val="24"/>
          <w:szCs w:val="24"/>
          <w:lang w:val="de-DE"/>
        </w:rPr>
        <w:t>von Montag, 2</w:t>
      </w:r>
      <w:r>
        <w:rPr>
          <w:noProof/>
          <w:sz w:val="24"/>
          <w:szCs w:val="24"/>
          <w:lang w:val="de-DE"/>
        </w:rPr>
        <w:t>2</w:t>
      </w:r>
      <w:r w:rsidRPr="00D95AD3">
        <w:rPr>
          <w:noProof/>
          <w:sz w:val="24"/>
          <w:szCs w:val="24"/>
          <w:lang w:val="de-DE"/>
        </w:rPr>
        <w:t xml:space="preserve">. </w:t>
      </w:r>
      <w:r>
        <w:rPr>
          <w:noProof/>
          <w:sz w:val="24"/>
          <w:szCs w:val="24"/>
          <w:lang w:val="de-DE"/>
        </w:rPr>
        <w:t>Januar</w:t>
      </w:r>
      <w:r w:rsidRPr="00D95AD3">
        <w:rPr>
          <w:noProof/>
          <w:sz w:val="24"/>
          <w:szCs w:val="24"/>
          <w:lang w:val="de-DE"/>
        </w:rPr>
        <w:t xml:space="preserve"> 201</w:t>
      </w:r>
      <w:r w:rsidR="00B9286C">
        <w:rPr>
          <w:noProof/>
          <w:sz w:val="24"/>
          <w:szCs w:val="24"/>
          <w:lang w:val="de-DE"/>
        </w:rPr>
        <w:t>8</w:t>
      </w:r>
      <w:r w:rsidRPr="00D95AD3">
        <w:rPr>
          <w:noProof/>
          <w:sz w:val="24"/>
          <w:szCs w:val="24"/>
          <w:lang w:val="de-DE"/>
        </w:rPr>
        <w:t xml:space="preserve">, 10.00 Uhr, bis </w:t>
      </w:r>
      <w:r>
        <w:rPr>
          <w:noProof/>
          <w:sz w:val="24"/>
          <w:szCs w:val="24"/>
          <w:lang w:val="de-DE"/>
        </w:rPr>
        <w:t>Freitag</w:t>
      </w:r>
      <w:r w:rsidRPr="00D95AD3">
        <w:rPr>
          <w:noProof/>
          <w:sz w:val="24"/>
          <w:szCs w:val="24"/>
          <w:lang w:val="de-DE"/>
        </w:rPr>
        <w:t xml:space="preserve">, </w:t>
      </w:r>
      <w:r>
        <w:rPr>
          <w:noProof/>
          <w:sz w:val="24"/>
          <w:szCs w:val="24"/>
          <w:lang w:val="de-DE"/>
        </w:rPr>
        <w:t>26</w:t>
      </w:r>
      <w:r w:rsidRPr="00D95AD3">
        <w:rPr>
          <w:noProof/>
          <w:sz w:val="24"/>
          <w:szCs w:val="24"/>
          <w:lang w:val="de-DE"/>
        </w:rPr>
        <w:t xml:space="preserve">. </w:t>
      </w:r>
      <w:r>
        <w:rPr>
          <w:noProof/>
          <w:sz w:val="24"/>
          <w:szCs w:val="24"/>
          <w:lang w:val="de-DE"/>
        </w:rPr>
        <w:t>Januar</w:t>
      </w:r>
      <w:r w:rsidRPr="00D95AD3">
        <w:rPr>
          <w:noProof/>
          <w:sz w:val="24"/>
          <w:szCs w:val="24"/>
          <w:lang w:val="de-DE"/>
        </w:rPr>
        <w:t xml:space="preserve"> 201</w:t>
      </w:r>
      <w:r w:rsidR="00B9286C">
        <w:rPr>
          <w:noProof/>
          <w:sz w:val="24"/>
          <w:szCs w:val="24"/>
          <w:lang w:val="de-DE"/>
        </w:rPr>
        <w:t>8</w:t>
      </w:r>
      <w:r w:rsidRPr="00D95AD3">
        <w:rPr>
          <w:noProof/>
          <w:sz w:val="24"/>
          <w:szCs w:val="24"/>
          <w:lang w:val="de-DE"/>
        </w:rPr>
        <w:t>, 1</w:t>
      </w:r>
      <w:r w:rsidR="00751ABF">
        <w:rPr>
          <w:noProof/>
          <w:sz w:val="24"/>
          <w:szCs w:val="24"/>
          <w:lang w:val="de-DE"/>
        </w:rPr>
        <w:t>2</w:t>
      </w:r>
      <w:r w:rsidRPr="00D95AD3">
        <w:rPr>
          <w:noProof/>
          <w:sz w:val="24"/>
          <w:szCs w:val="24"/>
          <w:lang w:val="de-DE"/>
        </w:rPr>
        <w:t>.</w:t>
      </w:r>
      <w:r w:rsidR="00751ABF">
        <w:rPr>
          <w:noProof/>
          <w:sz w:val="24"/>
          <w:szCs w:val="24"/>
          <w:lang w:val="de-DE"/>
        </w:rPr>
        <w:t>3</w:t>
      </w:r>
      <w:r w:rsidRPr="00D95AD3">
        <w:rPr>
          <w:noProof/>
          <w:sz w:val="24"/>
          <w:szCs w:val="24"/>
          <w:lang w:val="de-DE"/>
        </w:rPr>
        <w:t>0 Uhr, stattfindet</w:t>
      </w:r>
    </w:p>
    <w:p w:rsidR="00B9286C" w:rsidRDefault="00B9286C" w:rsidP="00ED345D">
      <w:pPr>
        <w:pStyle w:val="H23G"/>
        <w:rPr>
          <w:sz w:val="24"/>
          <w:szCs w:val="24"/>
          <w:lang w:val="de-DE"/>
        </w:rPr>
      </w:pPr>
    </w:p>
    <w:p w:rsidR="00D03F3E" w:rsidRPr="00C854A8" w:rsidRDefault="00262BF9" w:rsidP="00ED345D">
      <w:pPr>
        <w:pStyle w:val="H23G"/>
        <w:rPr>
          <w:sz w:val="24"/>
          <w:szCs w:val="24"/>
          <w:lang w:val="de-DE"/>
        </w:rPr>
      </w:pPr>
      <w:r w:rsidRPr="00C854A8">
        <w:rPr>
          <w:sz w:val="24"/>
          <w:szCs w:val="24"/>
          <w:lang w:val="de-DE"/>
        </w:rPr>
        <w:tab/>
      </w:r>
      <w:r w:rsidRPr="00C854A8">
        <w:rPr>
          <w:sz w:val="24"/>
          <w:szCs w:val="24"/>
          <w:lang w:val="de-DE"/>
        </w:rPr>
        <w:tab/>
      </w:r>
      <w:r w:rsidR="00D03F3E" w:rsidRPr="00C854A8">
        <w:rPr>
          <w:sz w:val="24"/>
          <w:szCs w:val="24"/>
          <w:lang w:val="de-DE"/>
        </w:rPr>
        <w:t>Addendum</w:t>
      </w:r>
    </w:p>
    <w:p w:rsidR="00D03F3E" w:rsidRPr="00C854A8" w:rsidRDefault="00262BF9" w:rsidP="00C1460D">
      <w:pPr>
        <w:pStyle w:val="H1G"/>
        <w:rPr>
          <w:lang w:val="de-DE"/>
        </w:rPr>
      </w:pPr>
      <w:r w:rsidRPr="00C854A8">
        <w:rPr>
          <w:lang w:val="de-DE"/>
        </w:rPr>
        <w:tab/>
      </w:r>
      <w:r w:rsidRPr="00C854A8">
        <w:rPr>
          <w:lang w:val="de-DE"/>
        </w:rPr>
        <w:tab/>
      </w:r>
      <w:r w:rsidR="00C1460D" w:rsidRPr="00C1460D">
        <w:rPr>
          <w:lang w:val="de-DE"/>
        </w:rPr>
        <w:t>Liste der Unterlagen gemäß Tagesordnungspunkten und Anmerkungen</w:t>
      </w:r>
    </w:p>
    <w:p w:rsidR="00262BF9" w:rsidRDefault="0026285E" w:rsidP="00C1460D">
      <w:pPr>
        <w:pStyle w:val="H23G"/>
      </w:pPr>
      <w:r w:rsidRPr="00C854A8">
        <w:rPr>
          <w:lang w:val="de-DE"/>
        </w:rPr>
        <w:tab/>
      </w:r>
      <w:r w:rsidR="00230D7B">
        <w:t>1</w:t>
      </w:r>
      <w:r w:rsidR="001921F0">
        <w:t>.</w:t>
      </w:r>
      <w:r w:rsidR="001921F0">
        <w:tab/>
      </w:r>
      <w:r w:rsidR="00C1460D" w:rsidRPr="00C1460D">
        <w:rPr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1709B4" w:rsidP="00C1460D">
            <w:pPr>
              <w:pStyle w:val="SingleTxtG"/>
              <w:spacing w:before="40"/>
              <w:ind w:right="0"/>
            </w:pPr>
            <w:r>
              <w:t>ECE/TRANS/WP.15/AC.2/</w:t>
            </w:r>
            <w:r w:rsidR="002A0074">
              <w:t xml:space="preserve">65 </w:t>
            </w:r>
            <w:r w:rsidR="0026285E">
              <w:t>(Se</w:t>
            </w:r>
            <w:r w:rsidR="00C1460D">
              <w:t>k</w:t>
            </w:r>
            <w:r w:rsidR="0026285E">
              <w:t>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C1460D" w:rsidP="00CA572D">
            <w:pPr>
              <w:pStyle w:val="SingleTxtG"/>
              <w:spacing w:before="40"/>
              <w:ind w:left="113"/>
            </w:pPr>
            <w:r w:rsidRPr="00C1460D">
              <w:rPr>
                <w:lang w:val="de-DE"/>
              </w:rPr>
              <w:t>Vorläufige Tagesordnung</w:t>
            </w:r>
          </w:p>
        </w:tc>
      </w:tr>
      <w:tr w:rsidR="0026285E" w:rsidRPr="00C854A8" w:rsidTr="00B8064E">
        <w:tc>
          <w:tcPr>
            <w:tcW w:w="4676" w:type="dxa"/>
            <w:shd w:val="clear" w:color="auto" w:fill="auto"/>
          </w:tcPr>
          <w:p w:rsidR="0026285E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2A0074">
              <w:t>65</w:t>
            </w:r>
            <w:r w:rsidR="00C1460D">
              <w:t>/Add.1 (Sek</w:t>
            </w:r>
            <w:r w:rsidR="0026285E">
              <w:t>retariat)</w:t>
            </w:r>
          </w:p>
        </w:tc>
        <w:tc>
          <w:tcPr>
            <w:tcW w:w="3829" w:type="dxa"/>
            <w:shd w:val="clear" w:color="auto" w:fill="auto"/>
          </w:tcPr>
          <w:p w:rsidR="0026285E" w:rsidRPr="00C854A8" w:rsidRDefault="00C1460D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C1460D">
              <w:rPr>
                <w:lang w:val="de-DE"/>
              </w:rPr>
              <w:t>Liste der Unterlagen gemäß Tagesordnungs</w:t>
            </w:r>
            <w:r w:rsidR="00CA572D">
              <w:rPr>
                <w:lang w:val="de-DE"/>
              </w:rPr>
              <w:softHyphen/>
            </w:r>
            <w:r w:rsidRPr="00C1460D">
              <w:rPr>
                <w:lang w:val="de-DE"/>
              </w:rPr>
              <w:t>punkten und Anmerkungen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C1460D" w:rsidP="00CA572D">
            <w:pPr>
              <w:pStyle w:val="SingleTxtG"/>
              <w:spacing w:before="40"/>
              <w:ind w:right="0"/>
            </w:pPr>
            <w:r w:rsidRPr="00C1460D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512E26" w:rsidRDefault="00C1460D" w:rsidP="00CA572D">
            <w:pPr>
              <w:pStyle w:val="SingleTxtG"/>
              <w:spacing w:before="40"/>
              <w:ind w:right="0"/>
            </w:pPr>
            <w:r w:rsidRPr="00C1460D">
              <w:rPr>
                <w:lang w:val="de-DE"/>
              </w:rPr>
              <w:t>ECE/TRANS/258, Teil</w:t>
            </w:r>
            <w:r w:rsidR="0061359B">
              <w:t xml:space="preserve"> </w:t>
            </w:r>
            <w:r w:rsidRPr="00C1460D">
              <w:rPr>
                <w:lang w:val="de-DE"/>
              </w:rPr>
              <w:t>I und II und Corrs.</w:t>
            </w:r>
            <w:r w:rsidR="00512E26">
              <w:t xml:space="preserve"> 1-3</w:t>
            </w:r>
          </w:p>
        </w:tc>
        <w:tc>
          <w:tcPr>
            <w:tcW w:w="3829" w:type="dxa"/>
            <w:shd w:val="clear" w:color="auto" w:fill="auto"/>
          </w:tcPr>
          <w:p w:rsidR="0061359B" w:rsidRDefault="00444989" w:rsidP="00CA572D">
            <w:pPr>
              <w:pStyle w:val="SingleTxtG"/>
              <w:spacing w:before="40"/>
              <w:ind w:left="113"/>
            </w:pPr>
            <w:r w:rsidRPr="00444989">
              <w:rPr>
                <w:lang w:val="de-DE"/>
              </w:rPr>
              <w:t>ADN 2017 (konsolidierte Fassung)</w:t>
            </w:r>
          </w:p>
        </w:tc>
      </w:tr>
      <w:tr w:rsidR="00CB7DD8" w:rsidRPr="00C854A8" w:rsidTr="00B8064E">
        <w:tc>
          <w:tcPr>
            <w:tcW w:w="4676" w:type="dxa"/>
            <w:shd w:val="clear" w:color="auto" w:fill="auto"/>
          </w:tcPr>
          <w:p w:rsidR="00CB7DD8" w:rsidRDefault="00444989" w:rsidP="00CA572D">
            <w:pPr>
              <w:pStyle w:val="SingleTxtG"/>
              <w:spacing w:before="40"/>
              <w:ind w:right="0"/>
            </w:pPr>
            <w:r w:rsidRPr="00444989">
              <w:rPr>
                <w:lang w:val="de-DE"/>
              </w:rPr>
              <w:t>ECE/TRANS/WP.15/AC.2/64</w:t>
            </w:r>
          </w:p>
        </w:tc>
        <w:tc>
          <w:tcPr>
            <w:tcW w:w="3829" w:type="dxa"/>
            <w:shd w:val="clear" w:color="auto" w:fill="auto"/>
          </w:tcPr>
          <w:p w:rsidR="00CB7DD8" w:rsidRPr="00C854A8" w:rsidRDefault="00444989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44989">
              <w:rPr>
                <w:lang w:val="de-DE"/>
              </w:rPr>
              <w:t>Protokoll über die einundreißigste Sitzung des ADN-Sicherheitsausschusses</w:t>
            </w:r>
          </w:p>
        </w:tc>
      </w:tr>
    </w:tbl>
    <w:p w:rsidR="00B9286C" w:rsidRDefault="00B9286C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:rsidR="001D7539" w:rsidRPr="00C854A8" w:rsidRDefault="00CB7DD8" w:rsidP="00C81942">
      <w:pPr>
        <w:pStyle w:val="H23G"/>
        <w:rPr>
          <w:lang w:val="de-DE"/>
        </w:rPr>
      </w:pPr>
      <w:r w:rsidRPr="00C854A8">
        <w:rPr>
          <w:lang w:val="de-DE"/>
        </w:rPr>
        <w:lastRenderedPageBreak/>
        <w:tab/>
      </w:r>
      <w:r w:rsidR="00230D7B" w:rsidRPr="00C854A8">
        <w:rPr>
          <w:lang w:val="de-DE"/>
        </w:rPr>
        <w:t>2</w:t>
      </w:r>
      <w:r w:rsidR="00331664" w:rsidRPr="00C854A8">
        <w:rPr>
          <w:lang w:val="de-DE"/>
        </w:rPr>
        <w:t>.</w:t>
      </w:r>
      <w:r w:rsidR="00331664" w:rsidRPr="00C854A8">
        <w:rPr>
          <w:lang w:val="de-DE"/>
        </w:rPr>
        <w:tab/>
      </w:r>
      <w:r w:rsidR="00C81942" w:rsidRPr="00C81942">
        <w:rPr>
          <w:lang w:val="de-DE"/>
        </w:rPr>
        <w:t xml:space="preserve">Wahl des Büros für </w:t>
      </w:r>
      <w:r w:rsidR="00C81942">
        <w:rPr>
          <w:lang w:val="de-DE"/>
        </w:rPr>
        <w:t xml:space="preserve">das Jahr </w:t>
      </w:r>
      <w:r w:rsidR="00C81942" w:rsidRPr="00C81942">
        <w:rPr>
          <w:lang w:val="de-DE"/>
        </w:rPr>
        <w:t>2018</w:t>
      </w:r>
    </w:p>
    <w:p w:rsidR="00742A4B" w:rsidRPr="00C854A8" w:rsidRDefault="00CB7DD8" w:rsidP="00A5615B">
      <w:pPr>
        <w:pStyle w:val="SingleTxtG"/>
        <w:rPr>
          <w:lang w:val="de-DE"/>
        </w:rPr>
      </w:pPr>
      <w:r w:rsidRPr="00C854A8">
        <w:rPr>
          <w:lang w:val="de-DE"/>
        </w:rPr>
        <w:tab/>
      </w:r>
      <w:r w:rsidR="00C81942" w:rsidRPr="00A5615B">
        <w:rPr>
          <w:lang w:val="de-DE"/>
        </w:rPr>
        <w:t>Der Sicherheitsausschuss ist aufgefordert, für seine Sitzungen im Jahr 2018 einen Vorsitzenden und einen stellvertretenden Vorsitzenden zu wählen.</w:t>
      </w:r>
    </w:p>
    <w:p w:rsidR="0081358A" w:rsidRPr="00C854A8" w:rsidRDefault="007E7463" w:rsidP="00A5615B">
      <w:pPr>
        <w:pStyle w:val="H23G"/>
        <w:rPr>
          <w:lang w:val="de-DE"/>
        </w:rPr>
      </w:pPr>
      <w:r w:rsidRPr="00C854A8">
        <w:rPr>
          <w:lang w:val="de-DE"/>
        </w:rPr>
        <w:tab/>
      </w:r>
      <w:r w:rsidR="0081358A" w:rsidRPr="00C854A8">
        <w:rPr>
          <w:lang w:val="de-DE"/>
        </w:rPr>
        <w:t>3.</w:t>
      </w:r>
      <w:r w:rsidR="0081358A" w:rsidRPr="00C854A8">
        <w:rPr>
          <w:lang w:val="de-DE"/>
        </w:rPr>
        <w:tab/>
      </w:r>
      <w:r w:rsidR="00C81942" w:rsidRPr="00A5615B">
        <w:rPr>
          <w:lang w:val="de-DE"/>
        </w:rPr>
        <w:t>Fragen im Zusammenhang mit den Arbeiten der Organe der Vereinten Nationen oder anderer Organisationen</w:t>
      </w:r>
    </w:p>
    <w:p w:rsidR="006D345C" w:rsidRPr="00C854A8" w:rsidRDefault="00C81942" w:rsidP="00A5615B">
      <w:pPr>
        <w:pStyle w:val="SingleTxtG"/>
        <w:ind w:firstLine="558"/>
        <w:rPr>
          <w:lang w:val="de-DE"/>
        </w:rPr>
      </w:pPr>
      <w:r w:rsidRPr="00A5615B">
        <w:rPr>
          <w:lang w:val="de-DE"/>
        </w:rPr>
        <w:t>Der Sicherheitsausschuss könnte sich über die Tätigkeiten anderer Organe und Organisationen informieren, die seine Arbeit betreffen.</w:t>
      </w:r>
    </w:p>
    <w:p w:rsidR="0081358A" w:rsidRPr="00C854A8" w:rsidRDefault="007E7463" w:rsidP="00A57BFD">
      <w:pPr>
        <w:pStyle w:val="H23G"/>
        <w:jc w:val="both"/>
        <w:rPr>
          <w:lang w:val="de-DE"/>
        </w:rPr>
      </w:pPr>
      <w:r w:rsidRPr="00C854A8">
        <w:rPr>
          <w:lang w:val="de-DE"/>
        </w:rPr>
        <w:tab/>
      </w:r>
      <w:r w:rsidR="0081358A" w:rsidRPr="00C854A8">
        <w:rPr>
          <w:lang w:val="de-DE"/>
        </w:rPr>
        <w:t>4.</w:t>
      </w:r>
      <w:r w:rsidR="0081358A" w:rsidRPr="00C854A8">
        <w:rPr>
          <w:lang w:val="de-DE"/>
        </w:rPr>
        <w:tab/>
      </w:r>
      <w:r w:rsidR="00C81942" w:rsidRPr="00A5615B">
        <w:rPr>
          <w:lang w:val="de-DE"/>
        </w:rPr>
        <w:t>Durchführung des Europäischen Übereinkommens über die internationale Beförderung von gefährlichen Gütern auf Binnenwasserstraßen (ADN)</w:t>
      </w:r>
    </w:p>
    <w:p w:rsidR="0081358A" w:rsidRPr="00C854A8" w:rsidRDefault="009E6DCF" w:rsidP="00A5615B">
      <w:pPr>
        <w:pStyle w:val="SingleTxtG"/>
        <w:rPr>
          <w:lang w:val="de-DE"/>
        </w:rPr>
      </w:pPr>
      <w:r w:rsidRPr="00C854A8">
        <w:rPr>
          <w:lang w:val="de-DE"/>
        </w:rPr>
        <w:tab/>
      </w:r>
      <w:r w:rsidR="00C81942" w:rsidRPr="00A5615B">
        <w:rPr>
          <w:lang w:val="de-DE"/>
        </w:rPr>
        <w:t>a)</w:t>
      </w:r>
      <w:r w:rsidRPr="00C854A8">
        <w:rPr>
          <w:lang w:val="de-DE"/>
        </w:rPr>
        <w:tab/>
      </w:r>
      <w:r w:rsidR="00C81942" w:rsidRPr="00A5615B">
        <w:rPr>
          <w:lang w:val="de-DE"/>
        </w:rPr>
        <w:t>Status des ADN</w:t>
      </w:r>
    </w:p>
    <w:p w:rsidR="0081358A" w:rsidRPr="00C854A8" w:rsidRDefault="0081358A" w:rsidP="00A5615B">
      <w:pPr>
        <w:pStyle w:val="SingleTxtG"/>
        <w:rPr>
          <w:lang w:val="de-DE"/>
        </w:rPr>
      </w:pPr>
      <w:r w:rsidRPr="00C854A8">
        <w:rPr>
          <w:lang w:val="de-DE"/>
        </w:rPr>
        <w:tab/>
      </w:r>
      <w:r w:rsidR="00C81942" w:rsidRPr="00A5615B">
        <w:rPr>
          <w:lang w:val="de-DE"/>
        </w:rPr>
        <w:t>Der Sicherheitsausschuss wird über den Status des ADN informiert werden.</w:t>
      </w:r>
    </w:p>
    <w:p w:rsidR="0081358A" w:rsidRDefault="0081358A" w:rsidP="00A5615B">
      <w:pPr>
        <w:pStyle w:val="SingleTxtG"/>
      </w:pPr>
      <w:r w:rsidRPr="00C854A8">
        <w:rPr>
          <w:lang w:val="de-DE"/>
        </w:rPr>
        <w:tab/>
      </w:r>
      <w:r w:rsidR="00C81942" w:rsidRPr="00A5615B">
        <w:rPr>
          <w:lang w:val="de-DE"/>
        </w:rPr>
        <w:t>b)</w:t>
      </w:r>
      <w:r>
        <w:tab/>
      </w:r>
      <w:r w:rsidR="00C81942" w:rsidRPr="00A5615B">
        <w:rPr>
          <w:lang w:val="de-DE"/>
        </w:rPr>
        <w:t>Ausnahmegenehmigungen, Abweichungen und Gleichwertigkeiten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D022F4" w:rsidRPr="00C854A8" w:rsidTr="00A5615B">
        <w:tc>
          <w:tcPr>
            <w:tcW w:w="4912" w:type="dxa"/>
            <w:shd w:val="clear" w:color="auto" w:fill="auto"/>
          </w:tcPr>
          <w:p w:rsidR="00D022F4" w:rsidRPr="00C854A8" w:rsidRDefault="00C81942" w:rsidP="00CA572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A5615B">
              <w:rPr>
                <w:lang w:val="de-DE"/>
              </w:rPr>
              <w:t xml:space="preserve">ECE/TRANS/WP.15/AC.2/2018/7 </w:t>
            </w:r>
            <w:r w:rsidRPr="00A5615B">
              <w:rPr>
                <w:lang w:val="de-DE"/>
              </w:rPr>
              <w:br/>
              <w:t>(Deutschland)</w:t>
            </w:r>
          </w:p>
        </w:tc>
        <w:tc>
          <w:tcPr>
            <w:tcW w:w="3593" w:type="dxa"/>
            <w:shd w:val="clear" w:color="auto" w:fill="auto"/>
          </w:tcPr>
          <w:p w:rsidR="00D022F4" w:rsidRPr="00C854A8" w:rsidRDefault="007455C1" w:rsidP="007455C1">
            <w:pPr>
              <w:pStyle w:val="SingleTxtG"/>
              <w:spacing w:before="40"/>
              <w:ind w:left="113" w:right="113"/>
              <w:rPr>
                <w:snapToGrid w:val="0"/>
                <w:lang w:val="de-DE" w:eastAsia="fr-FR"/>
              </w:rPr>
            </w:pPr>
            <w:r>
              <w:rPr>
                <w:lang w:val="de-DE"/>
              </w:rPr>
              <w:t>Ab</w:t>
            </w:r>
            <w:r w:rsidR="00C81942" w:rsidRPr="00A5615B">
              <w:rPr>
                <w:lang w:val="de-DE"/>
              </w:rPr>
              <w:t>schnitt 1.16.0 ADN – Eigner und Betreiber</w:t>
            </w:r>
          </w:p>
        </w:tc>
      </w:tr>
    </w:tbl>
    <w:p w:rsidR="003E33BF" w:rsidRPr="00C854A8" w:rsidRDefault="0081358A" w:rsidP="00A5615B">
      <w:pPr>
        <w:pStyle w:val="SingleTxtG"/>
        <w:spacing w:before="120"/>
        <w:rPr>
          <w:lang w:val="de-DE"/>
        </w:rPr>
      </w:pPr>
      <w:r w:rsidRPr="00C854A8">
        <w:rPr>
          <w:lang w:val="de-DE"/>
        </w:rPr>
        <w:tab/>
      </w:r>
      <w:r w:rsidR="003E33BF" w:rsidRPr="00C854A8">
        <w:rPr>
          <w:lang w:val="de-DE"/>
        </w:rPr>
        <w:tab/>
      </w:r>
      <w:r w:rsidR="00C81942" w:rsidRPr="00A5615B">
        <w:rPr>
          <w:lang w:val="de-DE"/>
        </w:rPr>
        <w:t xml:space="preserve">Vorschläge für Ausnahmegenehmigungen oder Abweichungen, die nach der </w:t>
      </w:r>
      <w:r w:rsidR="00834752" w:rsidRPr="00A5615B">
        <w:rPr>
          <w:lang w:val="de-DE"/>
        </w:rPr>
        <w:t>Herausgabe</w:t>
      </w:r>
      <w:r w:rsidR="00C81942" w:rsidRPr="00A5615B">
        <w:rPr>
          <w:lang w:val="de-DE"/>
        </w:rPr>
        <w:t xml:space="preserve"> dieser erläuterten Tagesordnung im Sekretariat eingehen, werden als informelle Dokumente </w:t>
      </w:r>
      <w:r w:rsidR="00A569E6" w:rsidRPr="00A5615B">
        <w:rPr>
          <w:lang w:val="de-DE"/>
        </w:rPr>
        <w:t>veröffentlicht</w:t>
      </w:r>
      <w:r w:rsidR="00C81942" w:rsidRPr="00A5615B">
        <w:rPr>
          <w:lang w:val="de-DE"/>
        </w:rPr>
        <w:t>.</w:t>
      </w:r>
    </w:p>
    <w:p w:rsidR="0081358A" w:rsidRPr="00C854A8" w:rsidRDefault="00C81942" w:rsidP="00A5615B">
      <w:pPr>
        <w:pStyle w:val="SingleTxtG"/>
        <w:ind w:firstLine="567"/>
        <w:rPr>
          <w:lang w:val="de-DE"/>
        </w:rPr>
      </w:pPr>
      <w:r w:rsidRPr="00A5615B">
        <w:rPr>
          <w:lang w:val="de-DE"/>
        </w:rPr>
        <w:t>c)</w:t>
      </w:r>
      <w:r w:rsidR="0081358A" w:rsidRPr="00C854A8">
        <w:rPr>
          <w:lang w:val="de-DE"/>
        </w:rPr>
        <w:tab/>
      </w:r>
      <w:r w:rsidRPr="00A5615B">
        <w:rPr>
          <w:lang w:val="de-DE"/>
        </w:rPr>
        <w:t>Auslegung der dem ADN beigefügten Verordnung</w:t>
      </w:r>
    </w:p>
    <w:p w:rsidR="00BE4504" w:rsidRPr="00C854A8" w:rsidRDefault="009E6DCF" w:rsidP="00A5615B">
      <w:pPr>
        <w:pStyle w:val="SingleTxtG"/>
        <w:rPr>
          <w:lang w:val="de-DE"/>
        </w:rPr>
      </w:pPr>
      <w:r w:rsidRPr="00C854A8">
        <w:rPr>
          <w:lang w:val="de-DE"/>
        </w:rPr>
        <w:tab/>
      </w:r>
      <w:r w:rsidR="00C81942" w:rsidRPr="00A5615B">
        <w:rPr>
          <w:lang w:val="de-DE"/>
        </w:rPr>
        <w:t>Der Sicherheitsausschuss ist aufgefordert, über die Auslegung etwaiger mehrdeutig oder unklar empfundener Vorschriften der dem ADN beigefügten Verordnung zu beraten.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2C174C" w:rsidRPr="00C854A8" w:rsidTr="00E74D97">
        <w:tc>
          <w:tcPr>
            <w:tcW w:w="4912" w:type="dxa"/>
            <w:shd w:val="clear" w:color="auto" w:fill="auto"/>
          </w:tcPr>
          <w:p w:rsidR="002C174C" w:rsidRPr="00C854A8" w:rsidRDefault="00C81942" w:rsidP="00CA572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A5615B">
              <w:rPr>
                <w:lang w:val="de-DE"/>
              </w:rPr>
              <w:t xml:space="preserve">ECE/TRANS/WP.15/AC.2/2018/6 </w:t>
            </w:r>
            <w:r w:rsidRPr="00A5615B">
              <w:rPr>
                <w:lang w:val="de-DE"/>
              </w:rPr>
              <w:br/>
              <w:t>(Deutschland)</w:t>
            </w:r>
          </w:p>
        </w:tc>
        <w:tc>
          <w:tcPr>
            <w:tcW w:w="3593" w:type="dxa"/>
            <w:shd w:val="clear" w:color="auto" w:fill="auto"/>
          </w:tcPr>
          <w:p w:rsidR="002C174C" w:rsidRPr="00C854A8" w:rsidRDefault="00C81942" w:rsidP="00CA572D">
            <w:pPr>
              <w:pStyle w:val="SingleTxtG"/>
              <w:spacing w:before="40"/>
              <w:ind w:left="113" w:right="113"/>
              <w:rPr>
                <w:snapToGrid w:val="0"/>
                <w:lang w:val="de-DE" w:eastAsia="fr-FR"/>
              </w:rPr>
            </w:pPr>
            <w:r w:rsidRPr="00A5615B">
              <w:rPr>
                <w:lang w:val="de-DE"/>
              </w:rPr>
              <w:t xml:space="preserve">Tabelle C und Unterabschnitt 7.2.1.21 </w:t>
            </w:r>
            <w:r w:rsidR="008C7964" w:rsidRPr="008C7964">
              <w:rPr>
                <w:lang w:val="de-DE"/>
              </w:rPr>
              <w:t xml:space="preserve">ADN </w:t>
            </w:r>
            <w:r w:rsidRPr="00A5615B">
              <w:rPr>
                <w:lang w:val="de-DE"/>
              </w:rPr>
              <w:t>– Mindestens zu verwendender Tankschiff</w:t>
            </w:r>
            <w:r w:rsidR="008C7964">
              <w:rPr>
                <w:lang w:val="de-DE"/>
              </w:rPr>
              <w:t>s</w:t>
            </w:r>
            <w:r w:rsidRPr="00A5615B">
              <w:rPr>
                <w:lang w:val="de-DE"/>
              </w:rPr>
              <w:t>typ</w:t>
            </w:r>
          </w:p>
        </w:tc>
      </w:tr>
      <w:tr w:rsidR="006C7B8E" w:rsidRPr="002E3A18" w:rsidTr="00E74D97">
        <w:tc>
          <w:tcPr>
            <w:tcW w:w="4912" w:type="dxa"/>
            <w:shd w:val="clear" w:color="auto" w:fill="auto"/>
          </w:tcPr>
          <w:p w:rsidR="006C7B8E" w:rsidRPr="00C854A8" w:rsidRDefault="00DB182A" w:rsidP="00CA572D">
            <w:pPr>
              <w:pStyle w:val="SingleTxtG"/>
              <w:spacing w:before="40"/>
              <w:ind w:right="0"/>
              <w:jc w:val="left"/>
              <w:rPr>
                <w:lang w:val="de-DE"/>
              </w:rPr>
            </w:pPr>
            <w:r w:rsidRPr="00A5615B">
              <w:rPr>
                <w:lang w:val="de-DE"/>
              </w:rPr>
              <w:t xml:space="preserve">ECE/TRANS/WP.15/AC.2/2018/16 </w:t>
            </w:r>
            <w:r w:rsidRPr="00A5615B">
              <w:rPr>
                <w:lang w:val="de-DE"/>
              </w:rPr>
              <w:br/>
              <w:t xml:space="preserve">(Empfohlene ADN-Klassifikations- </w:t>
            </w:r>
            <w:r w:rsidRPr="00A5615B">
              <w:rPr>
                <w:lang w:val="de-DE"/>
              </w:rPr>
              <w:br/>
              <w:t>gesellschaften)</w:t>
            </w:r>
          </w:p>
        </w:tc>
        <w:tc>
          <w:tcPr>
            <w:tcW w:w="3593" w:type="dxa"/>
            <w:shd w:val="clear" w:color="auto" w:fill="auto"/>
          </w:tcPr>
          <w:p w:rsidR="006C7B8E" w:rsidRDefault="007E1FD7" w:rsidP="00CA572D">
            <w:pPr>
              <w:pStyle w:val="SingleTxtG"/>
              <w:spacing w:before="40"/>
              <w:ind w:left="113" w:right="113"/>
            </w:pPr>
            <w:r w:rsidRPr="00A5615B">
              <w:rPr>
                <w:lang w:val="de-DE"/>
              </w:rPr>
              <w:t xml:space="preserve">Schnellschlussventil </w:t>
            </w:r>
          </w:p>
        </w:tc>
      </w:tr>
      <w:tr w:rsidR="00C15C0A" w:rsidRPr="00C854A8" w:rsidTr="00E74D97">
        <w:tc>
          <w:tcPr>
            <w:tcW w:w="4912" w:type="dxa"/>
            <w:shd w:val="clear" w:color="auto" w:fill="auto"/>
          </w:tcPr>
          <w:p w:rsidR="00C15C0A" w:rsidRPr="007E1FD7" w:rsidRDefault="00C15C0A" w:rsidP="007E1FD7">
            <w:pPr>
              <w:pStyle w:val="SingleTxtG"/>
              <w:spacing w:before="40"/>
              <w:ind w:right="0"/>
              <w:jc w:val="left"/>
            </w:pPr>
            <w:r w:rsidRPr="007E1FD7">
              <w:t xml:space="preserve">ECE/TRANS/WP.15/AC.2/2018/20 </w:t>
            </w:r>
            <w:r w:rsidRPr="007E1FD7">
              <w:br/>
              <w:t>(CEFIC)</w:t>
            </w:r>
          </w:p>
        </w:tc>
        <w:tc>
          <w:tcPr>
            <w:tcW w:w="3593" w:type="dxa"/>
            <w:shd w:val="clear" w:color="auto" w:fill="auto"/>
          </w:tcPr>
          <w:p w:rsidR="00C15C0A" w:rsidRPr="00C854A8" w:rsidRDefault="007E1FD7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7E1FD7">
              <w:rPr>
                <w:lang w:val="de-DE"/>
              </w:rPr>
              <w:t>Beförderung von UN-Nr. 1965 Kohlenwasserstoffgas, Gemisch, Verflüssigt, N.A.G.</w:t>
            </w:r>
            <w:r w:rsidR="00CE79A0" w:rsidRPr="00CE79A0">
              <w:rPr>
                <w:lang w:val="de-DE"/>
              </w:rPr>
              <w:t xml:space="preserve">– </w:t>
            </w:r>
            <w:r w:rsidRPr="00CE79A0">
              <w:rPr>
                <w:lang w:val="de-DE"/>
              </w:rPr>
              <w:t>Gefah</w:t>
            </w:r>
            <w:r w:rsidR="00CE79A0" w:rsidRPr="00CE79A0">
              <w:rPr>
                <w:lang w:val="de-DE"/>
              </w:rPr>
              <w:t>r:</w:t>
            </w:r>
            <w:r w:rsidR="00C15C0A" w:rsidRPr="00C854A8">
              <w:rPr>
                <w:lang w:val="de-DE"/>
              </w:rPr>
              <w:t xml:space="preserve"> CMR</w:t>
            </w:r>
          </w:p>
        </w:tc>
      </w:tr>
      <w:tr w:rsidR="00AC772A" w:rsidRPr="00C854A8" w:rsidTr="00E74D97">
        <w:tc>
          <w:tcPr>
            <w:tcW w:w="4912" w:type="dxa"/>
            <w:shd w:val="clear" w:color="auto" w:fill="auto"/>
          </w:tcPr>
          <w:p w:rsidR="00AC772A" w:rsidRDefault="00CE79A0" w:rsidP="00CA572D">
            <w:pPr>
              <w:pStyle w:val="SingleTxtG"/>
              <w:spacing w:before="40"/>
              <w:ind w:right="0"/>
              <w:jc w:val="left"/>
            </w:pPr>
            <w:r w:rsidRPr="00CE79A0">
              <w:rPr>
                <w:lang w:val="de-DE"/>
              </w:rPr>
              <w:t>ECE/TRANS/WP.15/AC.2/2018/23 (Donaukommission)</w:t>
            </w:r>
          </w:p>
        </w:tc>
        <w:tc>
          <w:tcPr>
            <w:tcW w:w="3593" w:type="dxa"/>
            <w:shd w:val="clear" w:color="auto" w:fill="auto"/>
          </w:tcPr>
          <w:p w:rsidR="00AC772A" w:rsidRPr="00C854A8" w:rsidRDefault="00CE79A0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A5615B">
              <w:rPr>
                <w:lang w:val="de-DE"/>
              </w:rPr>
              <w:t>Sicherheitssysteme für die Binnenschifffahrt (BVTC-Systeme) und</w:t>
            </w:r>
            <w:r w:rsidRPr="00E74D97">
              <w:rPr>
                <w:lang w:val="de-DE"/>
              </w:rPr>
              <w:t xml:space="preserve"> ADN</w:t>
            </w:r>
          </w:p>
        </w:tc>
      </w:tr>
    </w:tbl>
    <w:p w:rsidR="0081358A" w:rsidRDefault="009E6DCF" w:rsidP="00E74D97">
      <w:pPr>
        <w:pStyle w:val="SingleTxtG"/>
      </w:pPr>
      <w:r w:rsidRPr="00C854A8">
        <w:rPr>
          <w:lang w:val="de-DE"/>
        </w:rPr>
        <w:tab/>
      </w:r>
      <w:r w:rsidR="00E74D97" w:rsidRPr="00E74D97">
        <w:rPr>
          <w:lang w:val="de-DE"/>
        </w:rPr>
        <w:t>d)</w:t>
      </w:r>
      <w:r>
        <w:tab/>
      </w:r>
      <w:r w:rsidR="00E74D97" w:rsidRPr="00E74D97">
        <w:rPr>
          <w:lang w:val="de-DE"/>
        </w:rPr>
        <w:t>Ausbildung der Sachkundigen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102704" w:rsidRPr="00C854A8" w:rsidTr="00A569E6">
        <w:tc>
          <w:tcPr>
            <w:tcW w:w="4912" w:type="dxa"/>
            <w:shd w:val="clear" w:color="auto" w:fill="auto"/>
          </w:tcPr>
          <w:p w:rsidR="00102704" w:rsidRPr="00C854A8" w:rsidRDefault="00E74D97" w:rsidP="00CA572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E74D97">
              <w:rPr>
                <w:lang w:val="de-DE"/>
              </w:rPr>
              <w:t xml:space="preserve">ECE/TRANS/WP.15/AC.2/2018/12 </w:t>
            </w:r>
            <w:r w:rsidRPr="00E74D97">
              <w:rPr>
                <w:lang w:val="de-DE"/>
              </w:rPr>
              <w:br/>
              <w:t>(Deutschland)</w:t>
            </w:r>
          </w:p>
        </w:tc>
        <w:tc>
          <w:tcPr>
            <w:tcW w:w="3593" w:type="dxa"/>
            <w:shd w:val="clear" w:color="auto" w:fill="auto"/>
          </w:tcPr>
          <w:p w:rsidR="00102704" w:rsidRPr="00C854A8" w:rsidRDefault="00E74D97" w:rsidP="007A019D">
            <w:pPr>
              <w:pStyle w:val="SingleTxtG"/>
              <w:spacing w:before="40"/>
              <w:ind w:left="113" w:right="113"/>
              <w:rPr>
                <w:snapToGrid w:val="0"/>
                <w:lang w:val="de-DE" w:eastAsia="fr-FR"/>
              </w:rPr>
            </w:pPr>
            <w:r w:rsidRPr="00A569E6">
              <w:rPr>
                <w:lang w:val="de-DE"/>
              </w:rPr>
              <w:t>Abschnitt 8.2.</w:t>
            </w:r>
            <w:r w:rsidR="00A57BFD">
              <w:rPr>
                <w:lang w:val="de-DE"/>
              </w:rPr>
              <w:t>1</w:t>
            </w:r>
            <w:r w:rsidRPr="00A569E6">
              <w:rPr>
                <w:lang w:val="de-DE"/>
              </w:rPr>
              <w:t xml:space="preserve"> und </w:t>
            </w:r>
            <w:r w:rsidR="007A019D">
              <w:rPr>
                <w:lang w:val="de-DE"/>
              </w:rPr>
              <w:t xml:space="preserve">Abschnitt </w:t>
            </w:r>
            <w:r w:rsidRPr="00A569E6">
              <w:rPr>
                <w:lang w:val="de-DE"/>
              </w:rPr>
              <w:t>8.2.2 ADN – Ausbildung der Sachkundigen</w:t>
            </w:r>
          </w:p>
        </w:tc>
      </w:tr>
    </w:tbl>
    <w:p w:rsidR="001C4A0F" w:rsidRPr="00C854A8" w:rsidRDefault="00A569E6" w:rsidP="009378F4">
      <w:pPr>
        <w:pStyle w:val="SingleTxtG"/>
        <w:ind w:firstLine="567"/>
        <w:rPr>
          <w:lang w:val="de-DE"/>
        </w:rPr>
      </w:pPr>
      <w:r w:rsidRPr="009378F4">
        <w:rPr>
          <w:lang w:val="de-DE"/>
        </w:rPr>
        <w:t xml:space="preserve">Vorschläge, die nach der </w:t>
      </w:r>
      <w:r w:rsidR="00834752" w:rsidRPr="009378F4">
        <w:rPr>
          <w:lang w:val="de-DE"/>
        </w:rPr>
        <w:t>Herausgabe</w:t>
      </w:r>
      <w:r w:rsidRPr="009378F4">
        <w:rPr>
          <w:lang w:val="de-DE"/>
        </w:rPr>
        <w:t xml:space="preserve"> dieser vorläufigen Tagesordnung eingereicht werden, werden als informelle Dokumente veröffentlicht.</w:t>
      </w:r>
    </w:p>
    <w:p w:rsidR="0081358A" w:rsidRPr="00C854A8" w:rsidRDefault="0081358A" w:rsidP="009378F4">
      <w:pPr>
        <w:pStyle w:val="SingleTxtG"/>
        <w:rPr>
          <w:lang w:val="de-DE"/>
        </w:rPr>
      </w:pPr>
      <w:r w:rsidRPr="00C854A8">
        <w:rPr>
          <w:lang w:val="de-DE"/>
        </w:rPr>
        <w:tab/>
      </w:r>
      <w:r w:rsidR="00834752" w:rsidRPr="009378F4">
        <w:rPr>
          <w:lang w:val="de-DE"/>
        </w:rPr>
        <w:t>e)</w:t>
      </w:r>
      <w:r w:rsidRPr="00C854A8">
        <w:rPr>
          <w:lang w:val="de-DE"/>
        </w:rPr>
        <w:tab/>
      </w:r>
      <w:r w:rsidR="00834752" w:rsidRPr="009378F4">
        <w:rPr>
          <w:lang w:val="de-DE"/>
        </w:rPr>
        <w:t>Fragen im Zusammenhang mit Klassifikationsgesellschaften</w:t>
      </w:r>
    </w:p>
    <w:p w:rsidR="00B9286C" w:rsidRDefault="0081358A" w:rsidP="00B9286C">
      <w:pPr>
        <w:pStyle w:val="SingleTxtG"/>
        <w:rPr>
          <w:lang w:val="de-DE"/>
        </w:rPr>
      </w:pPr>
      <w:r w:rsidRPr="00C854A8">
        <w:rPr>
          <w:lang w:val="de-DE"/>
        </w:rPr>
        <w:tab/>
      </w:r>
      <w:r w:rsidR="00834752" w:rsidRPr="009378F4">
        <w:rPr>
          <w:lang w:val="de-DE"/>
        </w:rPr>
        <w:t>Die Liste der von den ADN-Vertragsparteien anerkannten Klassifikationsgesellschaften kann über folgende Internetadresse abgerufen werden: www.unece.org/trans/danger/publi/adn/adnclassifications.html.</w:t>
      </w:r>
      <w:r w:rsidRPr="00C854A8">
        <w:rPr>
          <w:lang w:val="de-DE"/>
        </w:rPr>
        <w:t xml:space="preserve"> </w:t>
      </w:r>
      <w:r w:rsidR="00834752" w:rsidRPr="009378F4">
        <w:rPr>
          <w:lang w:val="de-DE"/>
        </w:rPr>
        <w:t>Seit der letzten Sitzung des Sicherheitsausschusses wurden dem Sekretariat keine neuen Anerkennungen von Klassifikationsgesellschaften mitgeteilt.</w:t>
      </w:r>
      <w:r w:rsidR="00B9286C">
        <w:rPr>
          <w:lang w:val="de-DE"/>
        </w:rPr>
        <w:br w:type="page"/>
      </w:r>
    </w:p>
    <w:p w:rsidR="00230D7B" w:rsidRPr="00C854A8" w:rsidRDefault="0081358A" w:rsidP="00B9286C">
      <w:pPr>
        <w:pStyle w:val="H23G"/>
        <w:spacing w:before="120" w:line="240" w:lineRule="atLeast"/>
        <w:rPr>
          <w:lang w:val="de-DE"/>
        </w:rPr>
      </w:pPr>
      <w:r w:rsidRPr="00C854A8">
        <w:rPr>
          <w:lang w:val="de-DE"/>
        </w:rPr>
        <w:lastRenderedPageBreak/>
        <w:tab/>
        <w:t>5.</w:t>
      </w:r>
      <w:r w:rsidRPr="00C854A8">
        <w:rPr>
          <w:lang w:val="de-DE"/>
        </w:rPr>
        <w:tab/>
      </w:r>
      <w:r w:rsidR="00834752" w:rsidRPr="00834752">
        <w:rPr>
          <w:lang w:val="de-DE"/>
        </w:rPr>
        <w:t>Änderungsvorschläge zu der dem ADN beigefügten Verordnung</w:t>
      </w:r>
    </w:p>
    <w:p w:rsidR="008A46EA" w:rsidRPr="00C854A8" w:rsidRDefault="00834752" w:rsidP="00B9286C">
      <w:pPr>
        <w:pStyle w:val="SingleTxtG"/>
        <w:spacing w:before="120"/>
        <w:ind w:firstLine="567"/>
        <w:rPr>
          <w:lang w:val="de-DE"/>
        </w:rPr>
      </w:pPr>
      <w:r w:rsidRPr="00834752">
        <w:rPr>
          <w:lang w:val="de-DE"/>
        </w:rPr>
        <w:t>a)</w:t>
      </w:r>
      <w:r w:rsidR="008A46EA" w:rsidRPr="00C854A8">
        <w:rPr>
          <w:lang w:val="de-DE"/>
        </w:rPr>
        <w:tab/>
      </w:r>
      <w:r w:rsidRPr="00834752">
        <w:rPr>
          <w:lang w:val="de-DE"/>
        </w:rPr>
        <w:t>Arbeiten der Gemeinsamen RID/ADR/ADN-Tagung</w:t>
      </w:r>
    </w:p>
    <w:p w:rsidR="00E205A8" w:rsidRPr="00C854A8" w:rsidRDefault="00834752" w:rsidP="009378F4">
      <w:pPr>
        <w:pStyle w:val="SingleTxtG"/>
        <w:ind w:firstLine="567"/>
        <w:rPr>
          <w:spacing w:val="-3"/>
          <w:lang w:val="de-DE"/>
        </w:rPr>
      </w:pPr>
      <w:r w:rsidRPr="009378F4">
        <w:rPr>
          <w:lang w:val="de-DE"/>
        </w:rPr>
        <w:t xml:space="preserve">Der Sicherheitsausschuss könnte die von der Gemeinsamen RID/ADR/ADN-Tagung auf der Grundlage von Vorschlägen der Ad-hoc-Arbeitsgruppe „Harmonisierung von RID/ADR/ADN mit den UN-Empfehlungen für die Beförderung gefährlicher Güter“ (ECE/TRANS/WP.15/AC.2/2018/1) angenommenen Änderungsentwürfe, die auch das ADN betreffen, sowie die in der </w:t>
      </w:r>
      <w:r w:rsidR="009378F4" w:rsidRPr="009378F4">
        <w:rPr>
          <w:lang w:val="de-DE"/>
        </w:rPr>
        <w:t>ein</w:t>
      </w:r>
      <w:r w:rsidRPr="009378F4">
        <w:rPr>
          <w:lang w:val="de-DE"/>
        </w:rPr>
        <w:t>hundertdritten Sitzung der Arbeitsgruppe „Beförderung gefähr</w:t>
      </w:r>
      <w:r w:rsidR="004E2416" w:rsidRPr="009378F4">
        <w:rPr>
          <w:lang w:val="de-DE"/>
        </w:rPr>
        <w:t>licher Güter“ (WP.15) (</w:t>
      </w:r>
      <w:r w:rsidR="00A57BFD">
        <w:rPr>
          <w:lang w:val="de-DE"/>
        </w:rPr>
        <w:t>6</w:t>
      </w:r>
      <w:r w:rsidR="004E2416" w:rsidRPr="009378F4">
        <w:rPr>
          <w:lang w:val="de-DE"/>
        </w:rPr>
        <w:t>. bis 10</w:t>
      </w:r>
      <w:r w:rsidRPr="009378F4">
        <w:rPr>
          <w:lang w:val="de-DE"/>
        </w:rPr>
        <w:t>. November 201</w:t>
      </w:r>
      <w:r w:rsidR="004E2416" w:rsidRPr="009378F4">
        <w:rPr>
          <w:lang w:val="de-DE"/>
        </w:rPr>
        <w:t>7</w:t>
      </w:r>
      <w:r w:rsidRPr="009378F4">
        <w:rPr>
          <w:lang w:val="de-DE"/>
        </w:rPr>
        <w:t>) vorgeschlagenen Änderungen und Berichtigungen prüfen (siehe ECE/TRANS/WP.15/23</w:t>
      </w:r>
      <w:r w:rsidR="004E2416" w:rsidRPr="009378F4">
        <w:rPr>
          <w:lang w:val="de-DE"/>
        </w:rPr>
        <w:t>9 und Add.1).</w:t>
      </w:r>
    </w:p>
    <w:p w:rsidR="00925735" w:rsidRPr="00C854A8" w:rsidRDefault="006A61FF" w:rsidP="005F6CC8">
      <w:pPr>
        <w:pStyle w:val="SingleTxtG"/>
        <w:ind w:firstLine="567"/>
        <w:rPr>
          <w:lang w:val="de-DE"/>
        </w:rPr>
      </w:pPr>
      <w:r w:rsidRPr="005F6CC8">
        <w:rPr>
          <w:lang w:val="de-DE"/>
        </w:rPr>
        <w:t>Die Gemeinsame RID/ADR/ADN-Tagung hielt ihre Herbstsitzung 2017 vom 1</w:t>
      </w:r>
      <w:r w:rsidR="009378F4" w:rsidRPr="005F6CC8">
        <w:rPr>
          <w:lang w:val="de-DE"/>
        </w:rPr>
        <w:t>9</w:t>
      </w:r>
      <w:r w:rsidRPr="005F6CC8">
        <w:rPr>
          <w:lang w:val="de-DE"/>
        </w:rPr>
        <w:t>. bis 2</w:t>
      </w:r>
      <w:r w:rsidR="009378F4" w:rsidRPr="005F6CC8">
        <w:rPr>
          <w:lang w:val="de-DE"/>
        </w:rPr>
        <w:t>9</w:t>
      </w:r>
      <w:r w:rsidRPr="005F6CC8">
        <w:rPr>
          <w:lang w:val="de-DE"/>
        </w:rPr>
        <w:t>. September 2017 in Genf ab. Das Protokoll dieser Sitzung ist in den Dokumenten ECE/TRANS/WP.15/AC.1/148 und Add. 1 und 2 enthalten.</w:t>
      </w:r>
      <w:r w:rsidR="00F21483" w:rsidRPr="00C854A8">
        <w:rPr>
          <w:lang w:val="de-DE"/>
        </w:rPr>
        <w:t xml:space="preserve"> </w:t>
      </w:r>
    </w:p>
    <w:p w:rsidR="00D777F1" w:rsidRPr="00C854A8" w:rsidRDefault="008E4AC2" w:rsidP="005F6CC8">
      <w:pPr>
        <w:pStyle w:val="SingleTxtG"/>
        <w:ind w:firstLine="567"/>
        <w:rPr>
          <w:lang w:val="de-DE"/>
        </w:rPr>
      </w:pPr>
      <w:r w:rsidRPr="005F6CC8">
        <w:rPr>
          <w:lang w:val="de-DE"/>
        </w:rPr>
        <w:t>Weitere von der Gemeinsamen Tagung und der Arbeitsgruppe WP.15 2016 und 2017 angenommene Änderungsvorschläge mit Bedeutung für das ADN sind in Dokument ECE/TRANS/WP.15/AC.2/2018/2 enthalten.</w:t>
      </w:r>
    </w:p>
    <w:p w:rsidR="008A46EA" w:rsidRPr="00C854A8" w:rsidRDefault="008E4AC2" w:rsidP="008E4AC2">
      <w:pPr>
        <w:pStyle w:val="SingleTxtG"/>
        <w:ind w:firstLine="567"/>
        <w:rPr>
          <w:lang w:val="de-DE"/>
        </w:rPr>
      </w:pPr>
      <w:r w:rsidRPr="008E4AC2">
        <w:rPr>
          <w:lang w:val="de-DE"/>
        </w:rPr>
        <w:t>b)</w:t>
      </w:r>
      <w:r w:rsidR="008A46EA" w:rsidRPr="00C854A8">
        <w:rPr>
          <w:lang w:val="de-DE"/>
        </w:rPr>
        <w:tab/>
      </w:r>
      <w:r w:rsidRPr="008E4AC2">
        <w:rPr>
          <w:lang w:val="de-DE"/>
        </w:rPr>
        <w:t>Weitere Vorschläge</w:t>
      </w:r>
    </w:p>
    <w:p w:rsidR="001C4030" w:rsidRPr="00C854A8" w:rsidRDefault="008E4AC2" w:rsidP="00DA2471">
      <w:pPr>
        <w:pStyle w:val="SingleTxtG"/>
        <w:ind w:firstLine="567"/>
        <w:rPr>
          <w:lang w:val="de-DE"/>
        </w:rPr>
      </w:pPr>
      <w:r w:rsidRPr="00DA2471">
        <w:rPr>
          <w:lang w:val="de-DE"/>
        </w:rPr>
        <w:t>Folgende Änderungsvorschläge wurden eingereicht: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642652" w:rsidRPr="00C854A8" w:rsidTr="002229A1">
        <w:tc>
          <w:tcPr>
            <w:tcW w:w="4912" w:type="dxa"/>
            <w:shd w:val="clear" w:color="auto" w:fill="auto"/>
          </w:tcPr>
          <w:p w:rsidR="00A94463" w:rsidRDefault="00512E26" w:rsidP="00DA2471">
            <w:pPr>
              <w:pStyle w:val="SingleTxtG"/>
              <w:spacing w:before="40"/>
              <w:ind w:right="0"/>
            </w:pPr>
            <w:r>
              <w:t>ECE/TRANS/WP.15/AC.2/</w:t>
            </w:r>
            <w:r w:rsidR="00BC04D4">
              <w:t>2018</w:t>
            </w:r>
            <w:r w:rsidR="00642652">
              <w:t>/</w:t>
            </w:r>
            <w:r w:rsidR="00BC04D4">
              <w:t xml:space="preserve">3 </w:t>
            </w:r>
            <w:r w:rsidR="004401CE">
              <w:br/>
            </w:r>
            <w:r w:rsidR="00642652">
              <w:t>(</w:t>
            </w:r>
            <w:r w:rsidR="00DA2471">
              <w:t>ZK</w:t>
            </w:r>
            <w:r>
              <w:t>R</w:t>
            </w:r>
            <w:r w:rsidR="00642652">
              <w:t>)</w:t>
            </w:r>
          </w:p>
        </w:tc>
        <w:tc>
          <w:tcPr>
            <w:tcW w:w="3593" w:type="dxa"/>
            <w:shd w:val="clear" w:color="auto" w:fill="auto"/>
          </w:tcPr>
          <w:p w:rsidR="00642652" w:rsidRPr="00C854A8" w:rsidRDefault="00434245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34245">
              <w:rPr>
                <w:lang w:val="de-DE"/>
              </w:rPr>
              <w:t>Verwendung der Begriffe „Restladung“ und „Ladungsrückstände“</w:t>
            </w:r>
          </w:p>
        </w:tc>
      </w:tr>
      <w:tr w:rsidR="002C5E26" w:rsidRPr="00C854A8" w:rsidTr="002229A1">
        <w:tc>
          <w:tcPr>
            <w:tcW w:w="4912" w:type="dxa"/>
            <w:shd w:val="clear" w:color="auto" w:fill="auto"/>
          </w:tcPr>
          <w:p w:rsidR="002C5E26" w:rsidRDefault="00BC04D4" w:rsidP="00DA2471">
            <w:pPr>
              <w:pStyle w:val="SingleTxtG"/>
              <w:spacing w:before="40"/>
              <w:ind w:right="0"/>
            </w:pPr>
            <w:r>
              <w:t xml:space="preserve">ECE/TRANS/WP.15/AC.2/2018/4 </w:t>
            </w:r>
            <w:r w:rsidR="004401CE">
              <w:br/>
            </w:r>
            <w:r w:rsidR="00DA2471">
              <w:t>(ZK</w:t>
            </w:r>
            <w:r>
              <w:t>R)</w:t>
            </w:r>
          </w:p>
        </w:tc>
        <w:tc>
          <w:tcPr>
            <w:tcW w:w="3593" w:type="dxa"/>
            <w:shd w:val="clear" w:color="auto" w:fill="auto"/>
          </w:tcPr>
          <w:p w:rsidR="002C5E26" w:rsidRPr="00C854A8" w:rsidRDefault="00434245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34245">
              <w:rPr>
                <w:lang w:val="de-DE"/>
              </w:rPr>
              <w:t>Auslegung des Absatzes 7.1.4.4.3 ADN über den Mindestabstand von flexiblen Schüttgut-Containern</w:t>
            </w:r>
          </w:p>
        </w:tc>
      </w:tr>
      <w:tr w:rsidR="008A46EA" w:rsidRPr="00512E26" w:rsidTr="002229A1">
        <w:tc>
          <w:tcPr>
            <w:tcW w:w="4912" w:type="dxa"/>
            <w:shd w:val="clear" w:color="auto" w:fill="auto"/>
          </w:tcPr>
          <w:p w:rsidR="008A46EA" w:rsidRPr="00C854A8" w:rsidRDefault="00BC04D4" w:rsidP="008A3332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854A8">
              <w:rPr>
                <w:lang w:val="de-DE"/>
              </w:rPr>
              <w:t>ECE/TRANS/WP.15/AC.2/2018/</w:t>
            </w:r>
            <w:r w:rsidR="008A3332" w:rsidRPr="00C854A8">
              <w:rPr>
                <w:lang w:val="de-DE"/>
              </w:rPr>
              <w:t xml:space="preserve">5 </w:t>
            </w:r>
            <w:r w:rsidR="004401CE" w:rsidRPr="00C854A8">
              <w:rPr>
                <w:lang w:val="de-DE"/>
              </w:rPr>
              <w:br/>
            </w:r>
            <w:r w:rsidR="00DA2471" w:rsidRPr="00C854A8">
              <w:rPr>
                <w:lang w:val="de-DE"/>
              </w:rPr>
              <w:t>(Frankr</w:t>
            </w:r>
            <w:r w:rsidRPr="00C854A8">
              <w:rPr>
                <w:lang w:val="de-DE"/>
              </w:rPr>
              <w:t>e</w:t>
            </w:r>
            <w:r w:rsidR="00DA2471" w:rsidRPr="00C854A8">
              <w:rPr>
                <w:lang w:val="de-DE"/>
              </w:rPr>
              <w:t>ich</w:t>
            </w:r>
            <w:r w:rsidRPr="00C854A8">
              <w:rPr>
                <w:lang w:val="de-DE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8A46EA" w:rsidRPr="00512E26" w:rsidRDefault="00434245" w:rsidP="007A019D">
            <w:pPr>
              <w:pStyle w:val="SingleTxtG"/>
              <w:spacing w:before="40"/>
              <w:ind w:left="113" w:right="113"/>
            </w:pPr>
            <w:r w:rsidRPr="00434245">
              <w:rPr>
                <w:lang w:val="de-DE"/>
              </w:rPr>
              <w:t xml:space="preserve">Änderung </w:t>
            </w:r>
            <w:r w:rsidR="007A019D">
              <w:rPr>
                <w:lang w:val="de-DE"/>
              </w:rPr>
              <w:t>zu</w:t>
            </w:r>
            <w:r w:rsidRPr="00434245">
              <w:rPr>
                <w:lang w:val="de-DE"/>
              </w:rPr>
              <w:t xml:space="preserve"> Kapitel 7.1</w:t>
            </w:r>
          </w:p>
        </w:tc>
      </w:tr>
      <w:tr w:rsidR="008A46EA" w:rsidRPr="00C854A8" w:rsidTr="002229A1">
        <w:tc>
          <w:tcPr>
            <w:tcW w:w="4912" w:type="dxa"/>
            <w:shd w:val="clear" w:color="auto" w:fill="auto"/>
          </w:tcPr>
          <w:p w:rsidR="008A46EA" w:rsidRPr="00C854A8" w:rsidRDefault="00854198" w:rsidP="00DA2471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854A8">
              <w:rPr>
                <w:lang w:val="de-DE"/>
              </w:rPr>
              <w:t xml:space="preserve">ECE/TRANS/WP.15/AC.2/2018/8 </w:t>
            </w:r>
            <w:r w:rsidRPr="00C854A8">
              <w:rPr>
                <w:lang w:val="de-DE"/>
              </w:rPr>
              <w:br/>
              <w:t>(</w:t>
            </w:r>
            <w:r w:rsidR="00DA2471" w:rsidRPr="00C854A8">
              <w:rPr>
                <w:lang w:val="de-DE"/>
              </w:rPr>
              <w:t>Deutschland</w:t>
            </w:r>
            <w:r w:rsidRPr="00C854A8">
              <w:rPr>
                <w:lang w:val="de-DE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8A46EA" w:rsidRPr="00C854A8" w:rsidRDefault="00434245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34245">
              <w:rPr>
                <w:lang w:val="de-DE"/>
              </w:rPr>
              <w:t>Unterabschnitte 8.1.2.1 und 8.1.2.3 – Dokumente, die an Bord von Schiffen mitzuführen sind</w:t>
            </w:r>
          </w:p>
        </w:tc>
      </w:tr>
      <w:tr w:rsidR="00E148C5" w:rsidRPr="00C854A8" w:rsidTr="002229A1">
        <w:tc>
          <w:tcPr>
            <w:tcW w:w="4912" w:type="dxa"/>
            <w:shd w:val="clear" w:color="auto" w:fill="auto"/>
          </w:tcPr>
          <w:p w:rsidR="00E148C5" w:rsidRPr="00C854A8" w:rsidRDefault="00854198" w:rsidP="00C832B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854A8">
              <w:rPr>
                <w:lang w:val="de-DE"/>
              </w:rPr>
              <w:t xml:space="preserve">ECE/TRANS/WP.15/AC.2/2018/9 </w:t>
            </w:r>
            <w:r w:rsidRPr="00C854A8">
              <w:rPr>
                <w:lang w:val="de-DE"/>
              </w:rPr>
              <w:br/>
              <w:t>(</w:t>
            </w:r>
            <w:r w:rsidR="00C832BD" w:rsidRPr="00C854A8">
              <w:rPr>
                <w:lang w:val="de-DE"/>
              </w:rPr>
              <w:t>Deutschland</w:t>
            </w:r>
            <w:r w:rsidRPr="00C854A8">
              <w:rPr>
                <w:lang w:val="de-DE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E148C5" w:rsidRPr="00C854A8" w:rsidRDefault="00434245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176007">
              <w:rPr>
                <w:lang w:val="de-DE"/>
              </w:rPr>
              <w:t>Anschluss des Schiffsstromnetzes an ein Landstromnetz</w:t>
            </w:r>
          </w:p>
        </w:tc>
      </w:tr>
      <w:tr w:rsidR="00E24E17" w:rsidRPr="00C854A8" w:rsidTr="002229A1">
        <w:tc>
          <w:tcPr>
            <w:tcW w:w="4912" w:type="dxa"/>
            <w:shd w:val="clear" w:color="auto" w:fill="auto"/>
          </w:tcPr>
          <w:p w:rsidR="00E24E17" w:rsidRPr="00C854A8" w:rsidRDefault="001B2705" w:rsidP="00C832B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854A8">
              <w:rPr>
                <w:lang w:val="de-DE"/>
              </w:rPr>
              <w:t xml:space="preserve">ECE/TRANS/WP.15/AC.2/2018/10 </w:t>
            </w:r>
            <w:r w:rsidRPr="00C854A8">
              <w:rPr>
                <w:lang w:val="de-DE"/>
              </w:rPr>
              <w:br/>
              <w:t>(</w:t>
            </w:r>
            <w:r w:rsidR="00C832BD" w:rsidRPr="00C854A8">
              <w:rPr>
                <w:lang w:val="de-DE"/>
              </w:rPr>
              <w:t>Deutschland</w:t>
            </w:r>
            <w:r w:rsidRPr="00C854A8">
              <w:rPr>
                <w:lang w:val="de-DE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E24E17" w:rsidRPr="00C854A8" w:rsidRDefault="00176007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E77208">
              <w:rPr>
                <w:rFonts w:ascii="inherit" w:hAnsi="inherit" w:cs="Courier New"/>
                <w:color w:val="212121"/>
                <w:lang w:val="de-DE" w:eastAsia="en-GB"/>
              </w:rPr>
              <w:t>Implementierung des modifizierten Explosionsschutzkonzepts auf Binnenschiffen</w:t>
            </w:r>
            <w:r w:rsidR="00E77208" w:rsidRPr="00E77208">
              <w:rPr>
                <w:rFonts w:ascii="inherit" w:hAnsi="inherit" w:cs="Courier New"/>
                <w:color w:val="212121"/>
                <w:lang w:val="de-DE" w:eastAsia="en-GB"/>
              </w:rPr>
              <w:t xml:space="preserve"> </w:t>
            </w:r>
            <w:r w:rsidR="00E77208" w:rsidRPr="00E77208">
              <w:rPr>
                <w:rFonts w:ascii="inherit" w:hAnsi="inherit" w:cs="Courier New" w:hint="eastAsia"/>
                <w:color w:val="212121"/>
                <w:lang w:val="de-DE" w:eastAsia="en-GB"/>
              </w:rPr>
              <w:t>–</w:t>
            </w:r>
            <w:r w:rsidR="00E77208" w:rsidRPr="00E77208">
              <w:rPr>
                <w:rFonts w:ascii="inherit" w:hAnsi="inherit" w:cs="Courier New"/>
                <w:color w:val="212121"/>
                <w:lang w:val="de-DE" w:eastAsia="en-GB"/>
              </w:rPr>
              <w:t xml:space="preserve"> Nachtrag</w:t>
            </w:r>
          </w:p>
        </w:tc>
      </w:tr>
      <w:tr w:rsidR="001468B2" w:rsidRPr="00C854A8" w:rsidTr="002229A1">
        <w:tc>
          <w:tcPr>
            <w:tcW w:w="4912" w:type="dxa"/>
            <w:shd w:val="clear" w:color="auto" w:fill="auto"/>
          </w:tcPr>
          <w:p w:rsidR="001468B2" w:rsidRDefault="001B2705" w:rsidP="00C832BD">
            <w:pPr>
              <w:pStyle w:val="SingleTxtG"/>
              <w:spacing w:before="40"/>
              <w:ind w:right="0"/>
            </w:pPr>
            <w:r>
              <w:t xml:space="preserve">ECE/TRANS/WP.15/AC.2/2018/11 </w:t>
            </w:r>
            <w:r w:rsidR="004401CE">
              <w:br/>
            </w:r>
            <w:r>
              <w:t>(</w:t>
            </w:r>
            <w:r w:rsidR="00C832BD">
              <w:t>ZKR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1468B2" w:rsidRPr="00C854A8" w:rsidRDefault="00E77208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E77208">
              <w:rPr>
                <w:rFonts w:ascii="inherit" w:hAnsi="inherit" w:cs="Courier New"/>
                <w:color w:val="212121"/>
                <w:lang w:val="de-DE" w:eastAsia="en-GB"/>
              </w:rPr>
              <w:t>Vorschlag f</w:t>
            </w:r>
            <w:r w:rsidRPr="00E77208">
              <w:rPr>
                <w:rFonts w:ascii="inherit" w:hAnsi="inherit" w:cs="Courier New" w:hint="eastAsia"/>
                <w:color w:val="212121"/>
                <w:lang w:val="de-DE" w:eastAsia="en-GB"/>
              </w:rPr>
              <w:t>ü</w:t>
            </w:r>
            <w:r w:rsidRPr="00E77208">
              <w:rPr>
                <w:rFonts w:ascii="inherit" w:hAnsi="inherit" w:cs="Courier New"/>
                <w:color w:val="212121"/>
                <w:lang w:val="de-DE" w:eastAsia="en-GB"/>
              </w:rPr>
              <w:t>r die Implementierung des modifizierten Explosionsschutzkonzepts auf Binnenschiffen</w:t>
            </w:r>
          </w:p>
        </w:tc>
      </w:tr>
      <w:tr w:rsidR="001468B2" w:rsidRPr="00C854A8" w:rsidTr="002229A1">
        <w:tc>
          <w:tcPr>
            <w:tcW w:w="4912" w:type="dxa"/>
            <w:shd w:val="clear" w:color="auto" w:fill="auto"/>
          </w:tcPr>
          <w:p w:rsidR="001468B2" w:rsidRPr="00C854A8" w:rsidRDefault="00C832BD" w:rsidP="00CA572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832BD">
              <w:rPr>
                <w:lang w:val="de-DE"/>
              </w:rPr>
              <w:t xml:space="preserve">ECE/TRANS/WP.15/AC.2/2018/13 </w:t>
            </w:r>
            <w:r w:rsidRPr="00C832BD">
              <w:rPr>
                <w:lang w:val="de-DE"/>
              </w:rPr>
              <w:br/>
              <w:t>(Deutschland und Niederlande)</w:t>
            </w:r>
          </w:p>
        </w:tc>
        <w:tc>
          <w:tcPr>
            <w:tcW w:w="3593" w:type="dxa"/>
            <w:shd w:val="clear" w:color="auto" w:fill="auto"/>
          </w:tcPr>
          <w:p w:rsidR="001468B2" w:rsidRPr="00C854A8" w:rsidRDefault="00E77208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E77208">
              <w:rPr>
                <w:lang w:val="de-DE"/>
              </w:rPr>
              <w:t>Überarbeitung der angenommenen Änderungen:</w:t>
            </w:r>
            <w:r w:rsidR="004401CE" w:rsidRPr="00C854A8">
              <w:rPr>
                <w:lang w:val="de-DE"/>
              </w:rPr>
              <w:t xml:space="preserve"> </w:t>
            </w:r>
            <w:r w:rsidRPr="00E77208">
              <w:rPr>
                <w:lang w:val="de-DE"/>
              </w:rPr>
              <w:t>Entgasen von Ladetanks</w:t>
            </w:r>
          </w:p>
        </w:tc>
      </w:tr>
      <w:tr w:rsidR="001468B2" w:rsidRPr="00C854A8" w:rsidTr="002229A1">
        <w:tc>
          <w:tcPr>
            <w:tcW w:w="4912" w:type="dxa"/>
            <w:shd w:val="clear" w:color="auto" w:fill="auto"/>
          </w:tcPr>
          <w:p w:rsidR="001468B2" w:rsidRPr="00C854A8" w:rsidRDefault="00C832BD" w:rsidP="00CA572D">
            <w:pPr>
              <w:pStyle w:val="SingleTxtG"/>
              <w:spacing w:before="40"/>
              <w:ind w:right="659"/>
              <w:rPr>
                <w:lang w:val="de-DE"/>
              </w:rPr>
            </w:pPr>
            <w:r w:rsidRPr="00C832BD">
              <w:rPr>
                <w:lang w:val="de-DE"/>
              </w:rPr>
              <w:t xml:space="preserve">ECE/TRANS/WP.15/AC.2/2018/14 </w:t>
            </w:r>
            <w:r w:rsidRPr="00C832BD">
              <w:rPr>
                <w:lang w:val="de-DE"/>
              </w:rPr>
              <w:br/>
              <w:t xml:space="preserve">(Empfohlene ADN-Klassifikations- </w:t>
            </w:r>
            <w:r w:rsidRPr="00C832BD">
              <w:rPr>
                <w:lang w:val="de-DE"/>
              </w:rPr>
              <w:br/>
              <w:t>gesellschaften)</w:t>
            </w:r>
          </w:p>
        </w:tc>
        <w:tc>
          <w:tcPr>
            <w:tcW w:w="3593" w:type="dxa"/>
            <w:shd w:val="clear" w:color="auto" w:fill="auto"/>
          </w:tcPr>
          <w:p w:rsidR="001468B2" w:rsidRPr="00C854A8" w:rsidRDefault="00E77208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E77208">
              <w:rPr>
                <w:lang w:val="de-DE"/>
              </w:rPr>
              <w:t>Abmessungen der Doppelhülle in Absatz 9.3.2.11.2 a)</w:t>
            </w:r>
          </w:p>
        </w:tc>
      </w:tr>
      <w:tr w:rsidR="00BE4504" w:rsidRPr="00C854A8" w:rsidTr="002229A1">
        <w:tc>
          <w:tcPr>
            <w:tcW w:w="4912" w:type="dxa"/>
            <w:shd w:val="clear" w:color="auto" w:fill="auto"/>
          </w:tcPr>
          <w:p w:rsidR="00BE4504" w:rsidRPr="00C854A8" w:rsidRDefault="00C832BD" w:rsidP="00CA572D">
            <w:pPr>
              <w:pStyle w:val="SingleTxtG"/>
              <w:spacing w:before="40"/>
              <w:ind w:right="0"/>
              <w:jc w:val="left"/>
              <w:rPr>
                <w:lang w:val="de-DE"/>
              </w:rPr>
            </w:pPr>
            <w:r w:rsidRPr="00C832BD">
              <w:rPr>
                <w:lang w:val="de-DE"/>
              </w:rPr>
              <w:t xml:space="preserve">ECE/TRANS/WP.15/AC.2/2018/15 </w:t>
            </w:r>
            <w:r w:rsidRPr="00C832BD">
              <w:rPr>
                <w:lang w:val="de-DE"/>
              </w:rPr>
              <w:br/>
              <w:t xml:space="preserve">(Empfohlene ADN-Klassifikations- </w:t>
            </w:r>
            <w:r w:rsidRPr="00C832BD">
              <w:rPr>
                <w:lang w:val="de-DE"/>
              </w:rPr>
              <w:br/>
              <w:t>gesellschaften)</w:t>
            </w:r>
          </w:p>
        </w:tc>
        <w:tc>
          <w:tcPr>
            <w:tcW w:w="3593" w:type="dxa"/>
            <w:shd w:val="clear" w:color="auto" w:fill="auto"/>
          </w:tcPr>
          <w:p w:rsidR="00BE4504" w:rsidRPr="00C854A8" w:rsidRDefault="00775036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775036">
              <w:rPr>
                <w:lang w:val="de-DE"/>
              </w:rPr>
              <w:t>„Deck“ oder „freies Deck“ in 9.3.x.32.2 und 1.6.7.2.2.2</w:t>
            </w:r>
          </w:p>
        </w:tc>
      </w:tr>
      <w:tr w:rsidR="001468B2" w:rsidRPr="00C854A8" w:rsidTr="002229A1">
        <w:tc>
          <w:tcPr>
            <w:tcW w:w="4912" w:type="dxa"/>
            <w:shd w:val="clear" w:color="auto" w:fill="auto"/>
          </w:tcPr>
          <w:p w:rsidR="001468B2" w:rsidRPr="00C854A8" w:rsidRDefault="00C832BD" w:rsidP="00CA572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832BD">
              <w:rPr>
                <w:lang w:val="de-DE"/>
              </w:rPr>
              <w:t xml:space="preserve">ECE/TRANS/WP.15/AC.2/2018/17 </w:t>
            </w:r>
            <w:r w:rsidRPr="00C832BD">
              <w:rPr>
                <w:lang w:val="de-DE"/>
              </w:rPr>
              <w:br/>
              <w:t>(Belgien und Niederlande)</w:t>
            </w:r>
          </w:p>
        </w:tc>
        <w:tc>
          <w:tcPr>
            <w:tcW w:w="3593" w:type="dxa"/>
            <w:shd w:val="clear" w:color="auto" w:fill="auto"/>
          </w:tcPr>
          <w:p w:rsidR="001468B2" w:rsidRPr="00C854A8" w:rsidRDefault="00D9015D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9015D">
              <w:rPr>
                <w:lang w:val="de-DE"/>
              </w:rPr>
              <w:t>Nutzung des Boil-Off von LNG als Brennstoff (Absatz 9.3.1.24.1)</w:t>
            </w:r>
          </w:p>
        </w:tc>
      </w:tr>
      <w:tr w:rsidR="001468B2" w:rsidRPr="00C854A8" w:rsidTr="002229A1">
        <w:tc>
          <w:tcPr>
            <w:tcW w:w="4912" w:type="dxa"/>
            <w:shd w:val="clear" w:color="auto" w:fill="auto"/>
          </w:tcPr>
          <w:p w:rsidR="001468B2" w:rsidRPr="00C854A8" w:rsidRDefault="00C832BD" w:rsidP="00CA572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832BD">
              <w:rPr>
                <w:lang w:val="de-DE"/>
              </w:rPr>
              <w:lastRenderedPageBreak/>
              <w:t xml:space="preserve">ECE/TRANS/WP.15/AC.2/2018/18 </w:t>
            </w:r>
            <w:r w:rsidRPr="00C832BD">
              <w:rPr>
                <w:lang w:val="de-DE"/>
              </w:rPr>
              <w:br/>
              <w:t>(Deutschland)</w:t>
            </w:r>
          </w:p>
        </w:tc>
        <w:tc>
          <w:tcPr>
            <w:tcW w:w="3593" w:type="dxa"/>
            <w:shd w:val="clear" w:color="auto" w:fill="auto"/>
          </w:tcPr>
          <w:p w:rsidR="001468B2" w:rsidRPr="00C854A8" w:rsidRDefault="00D9015D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AE652C">
              <w:rPr>
                <w:lang w:val="de-DE"/>
              </w:rPr>
              <w:t xml:space="preserve">Unterabschnitt 1.6.7.4 – </w:t>
            </w:r>
            <w:r w:rsidR="00AE652C" w:rsidRPr="00AE652C">
              <w:rPr>
                <w:lang w:val="de-DE"/>
              </w:rPr>
              <w:t>Übergangsvorschriften für die Beförderung von umwelt- oder gesundheitsgefährdenden Stoffen</w:t>
            </w:r>
          </w:p>
        </w:tc>
      </w:tr>
      <w:tr w:rsidR="001468B2" w:rsidRPr="00860602" w:rsidTr="002229A1">
        <w:tc>
          <w:tcPr>
            <w:tcW w:w="4912" w:type="dxa"/>
            <w:shd w:val="clear" w:color="auto" w:fill="auto"/>
          </w:tcPr>
          <w:p w:rsidR="001468B2" w:rsidRPr="00C854A8" w:rsidRDefault="00C832BD" w:rsidP="00CA572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A61210">
              <w:rPr>
                <w:lang w:val="de-DE"/>
              </w:rPr>
              <w:t xml:space="preserve">ECE/TRANS/WP.15/AC.2/2018/19 </w:t>
            </w:r>
            <w:r w:rsidRPr="00A61210">
              <w:rPr>
                <w:lang w:val="de-DE"/>
              </w:rPr>
              <w:br/>
              <w:t>(EBU, ERSTU und ESO)</w:t>
            </w:r>
          </w:p>
        </w:tc>
        <w:tc>
          <w:tcPr>
            <w:tcW w:w="3593" w:type="dxa"/>
            <w:shd w:val="clear" w:color="auto" w:fill="auto"/>
          </w:tcPr>
          <w:p w:rsidR="001468B2" w:rsidRPr="00860602" w:rsidRDefault="00AE652C" w:rsidP="00CA572D">
            <w:pPr>
              <w:pStyle w:val="SingleTxtG"/>
              <w:spacing w:before="40"/>
              <w:ind w:left="113" w:right="113"/>
            </w:pPr>
            <w:r w:rsidRPr="00AE652C">
              <w:rPr>
                <w:lang w:val="de-DE"/>
              </w:rPr>
              <w:t>Bauwerkstoffe</w:t>
            </w:r>
          </w:p>
        </w:tc>
      </w:tr>
      <w:tr w:rsidR="001468B2" w:rsidRPr="00C854A8" w:rsidTr="002229A1">
        <w:tc>
          <w:tcPr>
            <w:tcW w:w="4912" w:type="dxa"/>
            <w:shd w:val="clear" w:color="auto" w:fill="auto"/>
          </w:tcPr>
          <w:p w:rsidR="001468B2" w:rsidRPr="00C854A8" w:rsidRDefault="00A61210" w:rsidP="00CA572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434245">
              <w:rPr>
                <w:lang w:val="de-DE"/>
              </w:rPr>
              <w:t xml:space="preserve">ECE/TRANS/WP.15/AC.2/2018/21 </w:t>
            </w:r>
            <w:r w:rsidRPr="00434245">
              <w:rPr>
                <w:lang w:val="de-DE"/>
              </w:rPr>
              <w:br/>
              <w:t>(Belgien, Niederlande und Schweiz)</w:t>
            </w:r>
          </w:p>
        </w:tc>
        <w:tc>
          <w:tcPr>
            <w:tcW w:w="3593" w:type="dxa"/>
            <w:shd w:val="clear" w:color="auto" w:fill="auto"/>
          </w:tcPr>
          <w:p w:rsidR="001468B2" w:rsidRPr="00C854A8" w:rsidRDefault="00AE652C" w:rsidP="00CA572D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2229A1">
              <w:rPr>
                <w:lang w:val="de-DE"/>
              </w:rPr>
              <w:t>Mit einem trockenen aerosolbildenden Löschmittel betriebene Feuerlöschan</w:t>
            </w:r>
            <w:r w:rsidR="00CA572D">
              <w:rPr>
                <w:lang w:val="de-DE"/>
              </w:rPr>
              <w:softHyphen/>
            </w:r>
            <w:r w:rsidRPr="002229A1">
              <w:rPr>
                <w:lang w:val="de-DE"/>
              </w:rPr>
              <w:t>lagen</w:t>
            </w:r>
            <w:r w:rsidR="003B0811">
              <w:rPr>
                <w:lang w:val="de-DE"/>
              </w:rPr>
              <w:t xml:space="preserve"> </w:t>
            </w:r>
            <w:r w:rsidRPr="002229A1">
              <w:rPr>
                <w:lang w:val="de-DE"/>
              </w:rPr>
              <w:t xml:space="preserve">– </w:t>
            </w:r>
            <w:r w:rsidR="004C6610" w:rsidRPr="002229A1">
              <w:rPr>
                <w:lang w:val="de-DE"/>
              </w:rPr>
              <w:t xml:space="preserve">Änderungen des </w:t>
            </w:r>
            <w:r w:rsidRPr="002229A1">
              <w:rPr>
                <w:lang w:val="de-DE"/>
              </w:rPr>
              <w:t xml:space="preserve">ES-TRIN und </w:t>
            </w:r>
            <w:r w:rsidR="004C6610" w:rsidRPr="002229A1">
              <w:rPr>
                <w:lang w:val="de-DE"/>
              </w:rPr>
              <w:t xml:space="preserve">des </w:t>
            </w:r>
            <w:r w:rsidRPr="002229A1">
              <w:rPr>
                <w:lang w:val="de-DE"/>
              </w:rPr>
              <w:t>AD</w:t>
            </w:r>
            <w:r w:rsidR="004C6610" w:rsidRPr="002229A1">
              <w:rPr>
                <w:lang w:val="de-DE"/>
              </w:rPr>
              <w:t>N</w:t>
            </w:r>
            <w:r w:rsidR="009B1484" w:rsidRPr="00C854A8" w:rsidDel="00BC04D4">
              <w:rPr>
                <w:bCs/>
                <w:lang w:val="de-DE"/>
              </w:rPr>
              <w:t xml:space="preserve"> </w:t>
            </w:r>
          </w:p>
        </w:tc>
      </w:tr>
      <w:tr w:rsidR="00942076" w:rsidRPr="00860602" w:rsidTr="002229A1">
        <w:tc>
          <w:tcPr>
            <w:tcW w:w="4912" w:type="dxa"/>
            <w:shd w:val="clear" w:color="auto" w:fill="auto"/>
          </w:tcPr>
          <w:p w:rsidR="00942076" w:rsidRPr="00C854A8" w:rsidRDefault="001F5C4A" w:rsidP="00434245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C854A8">
              <w:rPr>
                <w:lang w:val="de-DE"/>
              </w:rPr>
              <w:t xml:space="preserve">ECE/TRANS/WP.15/AC.2/2018/22 </w:t>
            </w:r>
            <w:r w:rsidRPr="00C854A8">
              <w:rPr>
                <w:lang w:val="de-DE"/>
              </w:rPr>
              <w:br/>
              <w:t>(</w:t>
            </w:r>
            <w:r w:rsidR="00434245" w:rsidRPr="00C854A8">
              <w:rPr>
                <w:lang w:val="de-DE"/>
              </w:rPr>
              <w:t>Deutschland</w:t>
            </w:r>
            <w:r w:rsidRPr="00C854A8">
              <w:rPr>
                <w:lang w:val="de-DE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942076" w:rsidRPr="00860602" w:rsidRDefault="002229A1" w:rsidP="00CA572D">
            <w:pPr>
              <w:pStyle w:val="SingleTxtG"/>
              <w:spacing w:before="40"/>
              <w:ind w:left="113" w:right="113"/>
            </w:pPr>
            <w:r w:rsidRPr="00833224">
              <w:rPr>
                <w:lang w:val="de-DE"/>
              </w:rPr>
              <w:t>Bericht über eine Besprechung von Vertretern der PTB, des CEFIC und der BAM am 5. und 6. Oktober 2017 in Braunschweig zu möglichen Unklarheiten in Tabelle C</w:t>
            </w:r>
          </w:p>
        </w:tc>
      </w:tr>
    </w:tbl>
    <w:p w:rsidR="00CC534B" w:rsidRPr="00C854A8" w:rsidRDefault="00833224" w:rsidP="00833224">
      <w:pPr>
        <w:pStyle w:val="SingleTxtG"/>
        <w:spacing w:before="120"/>
        <w:ind w:firstLine="567"/>
        <w:rPr>
          <w:lang w:val="de-DE"/>
        </w:rPr>
      </w:pPr>
      <w:r w:rsidRPr="00833224">
        <w:rPr>
          <w:lang w:val="de-DE"/>
        </w:rPr>
        <w:t>c)</w:t>
      </w:r>
      <w:r w:rsidR="00CC534B" w:rsidRPr="00C854A8">
        <w:rPr>
          <w:lang w:val="de-DE"/>
        </w:rPr>
        <w:tab/>
      </w:r>
      <w:r w:rsidRPr="00833224">
        <w:rPr>
          <w:lang w:val="de-DE"/>
        </w:rPr>
        <w:t>Überprüfung der bei den vorhergehenden Sitzungen angenommenen Änderungen</w:t>
      </w:r>
    </w:p>
    <w:p w:rsidR="00CC534B" w:rsidRPr="00C854A8" w:rsidRDefault="00833224" w:rsidP="00833224">
      <w:pPr>
        <w:pStyle w:val="SingleTxtG"/>
        <w:ind w:firstLine="567"/>
        <w:rPr>
          <w:lang w:val="de-DE"/>
        </w:rPr>
      </w:pPr>
      <w:r w:rsidRPr="00833224">
        <w:rPr>
          <w:lang w:val="de-DE"/>
        </w:rPr>
        <w:t>Der Sicherheitsausschuss könnte ferner die während seiner vorangegangenen Sitzungen im Hinblick auf eine Inkraftsetzung zum 1. Januar 2019 beschlossenen Änderungen prüfen (ECE/ADN/2018/1).</w:t>
      </w:r>
    </w:p>
    <w:p w:rsidR="001927DB" w:rsidRPr="00C854A8" w:rsidRDefault="00CC534B" w:rsidP="00833224">
      <w:pPr>
        <w:pStyle w:val="H23G"/>
        <w:spacing w:before="120" w:after="100"/>
        <w:ind w:left="0" w:firstLine="0"/>
        <w:rPr>
          <w:lang w:val="de-DE"/>
        </w:rPr>
      </w:pPr>
      <w:r w:rsidRPr="00C854A8">
        <w:rPr>
          <w:lang w:val="de-DE"/>
        </w:rPr>
        <w:tab/>
      </w:r>
      <w:r w:rsidR="0081358A" w:rsidRPr="00C854A8">
        <w:rPr>
          <w:lang w:val="de-DE"/>
        </w:rPr>
        <w:t>6</w:t>
      </w:r>
      <w:r w:rsidR="006B3FFD" w:rsidRPr="00C854A8">
        <w:rPr>
          <w:lang w:val="de-DE"/>
        </w:rPr>
        <w:t>.</w:t>
      </w:r>
      <w:r w:rsidR="006B3FFD" w:rsidRPr="00C854A8">
        <w:rPr>
          <w:lang w:val="de-DE"/>
        </w:rPr>
        <w:tab/>
      </w:r>
      <w:r w:rsidR="00833224" w:rsidRPr="00833224">
        <w:rPr>
          <w:lang w:val="de-DE"/>
        </w:rPr>
        <w:t>Berichte informeller Arbeitsgruppen</w:t>
      </w:r>
    </w:p>
    <w:p w:rsidR="00E16E3D" w:rsidRPr="00C854A8" w:rsidRDefault="00833224" w:rsidP="00D445AA">
      <w:pPr>
        <w:pStyle w:val="SingleTxtG"/>
        <w:ind w:firstLine="567"/>
        <w:rPr>
          <w:lang w:val="de-DE"/>
        </w:rPr>
      </w:pPr>
      <w:r w:rsidRPr="00D445AA">
        <w:rPr>
          <w:lang w:val="de-DE"/>
        </w:rPr>
        <w:t>Berichte informeller Arbeitsgruppen, die nach der Herausgabe dieser erläuterten Tagesordnung eingehen, werden als informelle Dokumente vorgelegt.</w:t>
      </w:r>
    </w:p>
    <w:p w:rsidR="006B3FFD" w:rsidRPr="00C854A8" w:rsidRDefault="0081358A" w:rsidP="00D445AA">
      <w:pPr>
        <w:pStyle w:val="H23G"/>
        <w:spacing w:before="220" w:after="100"/>
        <w:rPr>
          <w:lang w:val="de-DE"/>
        </w:rPr>
      </w:pPr>
      <w:r w:rsidRPr="00C854A8">
        <w:rPr>
          <w:lang w:val="de-DE"/>
        </w:rPr>
        <w:tab/>
        <w:t>7</w:t>
      </w:r>
      <w:r w:rsidR="006B3FFD" w:rsidRPr="00C854A8">
        <w:rPr>
          <w:lang w:val="de-DE"/>
        </w:rPr>
        <w:t>.</w:t>
      </w:r>
      <w:r w:rsidR="006B3FFD" w:rsidRPr="00C854A8">
        <w:rPr>
          <w:lang w:val="de-DE"/>
        </w:rPr>
        <w:tab/>
      </w:r>
      <w:r w:rsidR="00D445AA" w:rsidRPr="00D445AA">
        <w:rPr>
          <w:lang w:val="de-DE"/>
        </w:rPr>
        <w:t>Arbeitsprogramm und Sitzungsplan</w:t>
      </w:r>
    </w:p>
    <w:p w:rsidR="00DD7770" w:rsidRPr="00C854A8" w:rsidRDefault="00116117" w:rsidP="00FB35A3">
      <w:pPr>
        <w:pStyle w:val="SingleTxtG"/>
        <w:rPr>
          <w:lang w:val="de-DE"/>
        </w:rPr>
      </w:pPr>
      <w:r w:rsidRPr="00C854A8">
        <w:rPr>
          <w:lang w:val="de-DE"/>
        </w:rPr>
        <w:tab/>
      </w:r>
      <w:r w:rsidR="00D445AA" w:rsidRPr="00FB35A3">
        <w:rPr>
          <w:lang w:val="de-DE"/>
        </w:rPr>
        <w:t>Die zwanzigste Sitzung des ADN-Verwaltungsausschusses findet am 26.</w:t>
      </w:r>
      <w:r w:rsidR="00B9286C">
        <w:rPr>
          <w:lang w:val="de-DE"/>
        </w:rPr>
        <w:t> </w:t>
      </w:r>
      <w:r w:rsidR="00D445AA" w:rsidRPr="00FB35A3">
        <w:rPr>
          <w:lang w:val="de-DE"/>
        </w:rPr>
        <w:t>Januar</w:t>
      </w:r>
      <w:r w:rsidR="00B9286C">
        <w:rPr>
          <w:lang w:val="de-DE"/>
        </w:rPr>
        <w:t> </w:t>
      </w:r>
      <w:r w:rsidR="00D445AA" w:rsidRPr="00FB35A3">
        <w:rPr>
          <w:lang w:val="de-DE"/>
        </w:rPr>
        <w:t>2018 ab 14.30 Uhr statt. Die dreiunddreißigste Sitzung des Sicherheitsausschusses findet voraussichtlich vom 2</w:t>
      </w:r>
      <w:r w:rsidR="0024707E" w:rsidRPr="00FB35A3">
        <w:rPr>
          <w:lang w:val="de-DE"/>
        </w:rPr>
        <w:t>7</w:t>
      </w:r>
      <w:r w:rsidR="00D445AA" w:rsidRPr="00FB35A3">
        <w:rPr>
          <w:lang w:val="de-DE"/>
        </w:rPr>
        <w:t>. bis 31. August 201</w:t>
      </w:r>
      <w:r w:rsidR="0024707E" w:rsidRPr="00FB35A3">
        <w:rPr>
          <w:lang w:val="de-DE"/>
        </w:rPr>
        <w:t>8</w:t>
      </w:r>
      <w:r w:rsidR="00D445AA" w:rsidRPr="00FB35A3">
        <w:rPr>
          <w:lang w:val="de-DE"/>
        </w:rPr>
        <w:t xml:space="preserve"> in Genf statt. Die </w:t>
      </w:r>
      <w:r w:rsidR="0024707E" w:rsidRPr="00FB35A3">
        <w:rPr>
          <w:lang w:val="de-DE"/>
        </w:rPr>
        <w:t>einundzwanzigste</w:t>
      </w:r>
      <w:r w:rsidR="00D445AA" w:rsidRPr="00FB35A3">
        <w:rPr>
          <w:lang w:val="de-DE"/>
        </w:rPr>
        <w:t xml:space="preserve"> Sitzung des ADN-Verwaltungsausschu</w:t>
      </w:r>
      <w:r w:rsidR="006C7AD5" w:rsidRPr="00FB35A3">
        <w:rPr>
          <w:lang w:val="de-DE"/>
        </w:rPr>
        <w:t>sses ist für den 31.</w:t>
      </w:r>
      <w:r w:rsidR="00A57BFD">
        <w:rPr>
          <w:lang w:val="de-DE"/>
        </w:rPr>
        <w:t> </w:t>
      </w:r>
      <w:r w:rsidR="006C7AD5" w:rsidRPr="00FB35A3">
        <w:rPr>
          <w:lang w:val="de-DE"/>
        </w:rPr>
        <w:t>August</w:t>
      </w:r>
      <w:r w:rsidR="00A57BFD">
        <w:rPr>
          <w:lang w:val="de-DE"/>
        </w:rPr>
        <w:t> </w:t>
      </w:r>
      <w:r w:rsidR="006C7AD5" w:rsidRPr="00FB35A3">
        <w:rPr>
          <w:lang w:val="de-DE"/>
        </w:rPr>
        <w:t>2018</w:t>
      </w:r>
      <w:r w:rsidR="00D445AA" w:rsidRPr="00FB35A3">
        <w:rPr>
          <w:lang w:val="de-DE"/>
        </w:rPr>
        <w:t xml:space="preserve"> anberaumt. Letzter Termin für die Einreichung von Dokumenten für diese Sitzungen ist der </w:t>
      </w:r>
      <w:r w:rsidR="006C7AD5" w:rsidRPr="00FB35A3">
        <w:rPr>
          <w:lang w:val="de-DE"/>
        </w:rPr>
        <w:t>1</w:t>
      </w:r>
      <w:r w:rsidR="00D445AA" w:rsidRPr="00FB35A3">
        <w:rPr>
          <w:lang w:val="de-DE"/>
        </w:rPr>
        <w:t>. Juni 201</w:t>
      </w:r>
      <w:r w:rsidR="006C7AD5" w:rsidRPr="00FB35A3">
        <w:rPr>
          <w:lang w:val="de-DE"/>
        </w:rPr>
        <w:t>8</w:t>
      </w:r>
      <w:r w:rsidR="00D445AA" w:rsidRPr="00FB35A3">
        <w:rPr>
          <w:lang w:val="de-DE"/>
        </w:rPr>
        <w:t>.</w:t>
      </w:r>
    </w:p>
    <w:p w:rsidR="00DD7770" w:rsidRPr="00C854A8" w:rsidRDefault="0081358A" w:rsidP="00FB35A3">
      <w:pPr>
        <w:pStyle w:val="H23G"/>
        <w:spacing w:before="220" w:after="100"/>
        <w:rPr>
          <w:lang w:val="de-DE"/>
        </w:rPr>
      </w:pPr>
      <w:r w:rsidRPr="00C854A8">
        <w:rPr>
          <w:lang w:val="de-DE"/>
        </w:rPr>
        <w:tab/>
        <w:t>8</w:t>
      </w:r>
      <w:r w:rsidR="00DD7770" w:rsidRPr="00C854A8">
        <w:rPr>
          <w:lang w:val="de-DE"/>
        </w:rPr>
        <w:t>.</w:t>
      </w:r>
      <w:r w:rsidR="00DD7770" w:rsidRPr="00C854A8">
        <w:rPr>
          <w:lang w:val="de-DE"/>
        </w:rPr>
        <w:tab/>
      </w:r>
      <w:r w:rsidR="00F95964" w:rsidRPr="00FB35A3">
        <w:rPr>
          <w:lang w:val="de-DE"/>
        </w:rPr>
        <w:t>Verschiedenes</w:t>
      </w:r>
    </w:p>
    <w:p w:rsidR="006B3FFD" w:rsidRPr="00C854A8" w:rsidRDefault="00D55BAE" w:rsidP="00FB35A3">
      <w:pPr>
        <w:pStyle w:val="SingleTxtG"/>
        <w:rPr>
          <w:lang w:val="de-DE"/>
        </w:rPr>
      </w:pPr>
      <w:r w:rsidRPr="00C854A8">
        <w:rPr>
          <w:lang w:val="de-DE"/>
        </w:rPr>
        <w:tab/>
      </w:r>
      <w:r w:rsidR="00F95964" w:rsidRPr="00FB35A3">
        <w:rPr>
          <w:lang w:val="de-DE"/>
        </w:rPr>
        <w:t>Der Sicherheitsausschuss wird gebeten, alle sonstigen relevanten Fragen unter diesem Tagesordnungspunkt zu erörtern.</w:t>
      </w:r>
    </w:p>
    <w:p w:rsidR="00DD7770" w:rsidRDefault="0081358A" w:rsidP="00FB35A3">
      <w:pPr>
        <w:pStyle w:val="H23G"/>
        <w:spacing w:before="220" w:after="100"/>
      </w:pPr>
      <w:r w:rsidRPr="00C854A8">
        <w:rPr>
          <w:lang w:val="de-DE"/>
        </w:rPr>
        <w:tab/>
      </w:r>
      <w:r>
        <w:t>9</w:t>
      </w:r>
      <w:r w:rsidR="00DD7770">
        <w:t>.</w:t>
      </w:r>
      <w:r w:rsidR="00DD7770">
        <w:tab/>
      </w:r>
      <w:r w:rsidR="00F95964" w:rsidRPr="00FB35A3">
        <w:rPr>
          <w:lang w:val="de-DE"/>
        </w:rPr>
        <w:t>Genehmigung des Sitzungsprotokolls</w:t>
      </w:r>
    </w:p>
    <w:p w:rsidR="00C854A8" w:rsidRDefault="00116117" w:rsidP="00FB35A3">
      <w:pPr>
        <w:pStyle w:val="SingleTxtG"/>
        <w:spacing w:after="0" w:line="240" w:lineRule="auto"/>
        <w:rPr>
          <w:lang w:val="de-DE"/>
        </w:rPr>
      </w:pPr>
      <w:r>
        <w:tab/>
      </w:r>
      <w:r w:rsidR="00F95964" w:rsidRPr="00FB35A3">
        <w:rPr>
          <w:lang w:val="de-DE"/>
        </w:rPr>
        <w:t>Der Sicherheitsausschuss wird gebeten, das Protokoll über seine zweiunddreißigste Sitzung auf der Grundlage eines Sekretariatsentwurfs zu genehmigen.</w:t>
      </w:r>
    </w:p>
    <w:p w:rsidR="00C854A8" w:rsidRDefault="00C854A8" w:rsidP="00FB35A3">
      <w:pPr>
        <w:pStyle w:val="SingleTxtG"/>
        <w:spacing w:after="0" w:line="240" w:lineRule="auto"/>
        <w:rPr>
          <w:lang w:val="de-DE"/>
        </w:rPr>
      </w:pPr>
    </w:p>
    <w:p w:rsidR="00344EC6" w:rsidRPr="00C854A8" w:rsidRDefault="00C854A8" w:rsidP="00C854A8">
      <w:pPr>
        <w:pStyle w:val="SingleTxtG"/>
        <w:spacing w:after="0" w:line="240" w:lineRule="auto"/>
        <w:jc w:val="center"/>
        <w:rPr>
          <w:lang w:val="de-DE"/>
        </w:rPr>
      </w:pPr>
      <w:r>
        <w:rPr>
          <w:lang w:val="de-DE"/>
        </w:rPr>
        <w:t>***</w:t>
      </w:r>
    </w:p>
    <w:sectPr w:rsidR="00344EC6" w:rsidRPr="00C854A8" w:rsidSect="00B92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588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5D" w:rsidRDefault="00D9015D"/>
  </w:endnote>
  <w:endnote w:type="continuationSeparator" w:id="0">
    <w:p w:rsidR="00D9015D" w:rsidRDefault="00D9015D"/>
  </w:endnote>
  <w:endnote w:type="continuationNotice" w:id="1">
    <w:p w:rsidR="00D9015D" w:rsidRDefault="00D90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6C" w:rsidRDefault="00B9286C" w:rsidP="00B9286C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wp15_ac2_65_65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5D" w:rsidRPr="00B9286C" w:rsidRDefault="00B9286C" w:rsidP="00B9286C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wp15_ac2_65_65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5D" w:rsidRPr="000B175B" w:rsidRDefault="00D901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015D" w:rsidRPr="00FC68B7" w:rsidRDefault="00D901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015D" w:rsidRDefault="00D9015D"/>
  </w:footnote>
  <w:footnote w:id="2">
    <w:p w:rsidR="00D9015D" w:rsidRPr="00103287" w:rsidRDefault="00D9015D" w:rsidP="00FA06CE">
      <w:pPr>
        <w:pStyle w:val="Footer"/>
        <w:ind w:left="284" w:hanging="284"/>
        <w:jc w:val="both"/>
        <w:rPr>
          <w:sz w:val="18"/>
          <w:szCs w:val="24"/>
          <w:lang w:val="de-DE"/>
        </w:rPr>
      </w:pPr>
      <w:r w:rsidRPr="00762D00">
        <w:rPr>
          <w:rStyle w:val="FootnoteReference"/>
          <w:szCs w:val="24"/>
        </w:rPr>
        <w:footnoteRef/>
      </w:r>
      <w:r w:rsidRPr="00762D00">
        <w:rPr>
          <w:sz w:val="18"/>
          <w:szCs w:val="24"/>
          <w:lang w:val="de-DE"/>
        </w:rPr>
        <w:tab/>
      </w:r>
      <w:r w:rsidRPr="00762D00">
        <w:rPr>
          <w:noProof/>
          <w:sz w:val="18"/>
          <w:szCs w:val="24"/>
          <w:lang w:val="de-DE"/>
        </w:rPr>
        <w:t>Von der UN-ECE in Englisch, Französisch und Russisch unter Aktenzeichen ECE/TRANS/WP.15/AC.2/</w:t>
      </w:r>
      <w:r>
        <w:rPr>
          <w:noProof/>
          <w:sz w:val="18"/>
          <w:szCs w:val="24"/>
          <w:lang w:val="de-DE"/>
        </w:rPr>
        <w:t>65</w:t>
      </w:r>
      <w:r w:rsidRPr="00762D00">
        <w:rPr>
          <w:noProof/>
          <w:sz w:val="18"/>
          <w:szCs w:val="24"/>
          <w:lang w:val="de-DE"/>
        </w:rPr>
        <w:t xml:space="preserve"> und </w:t>
      </w:r>
      <w:r>
        <w:rPr>
          <w:noProof/>
          <w:sz w:val="18"/>
          <w:szCs w:val="24"/>
          <w:lang w:val="de-DE"/>
        </w:rPr>
        <w:t>65</w:t>
      </w:r>
      <w:r w:rsidRPr="00762D00">
        <w:rPr>
          <w:noProof/>
          <w:sz w:val="18"/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6C" w:rsidRPr="00AF7E32" w:rsidRDefault="00B9286C" w:rsidP="00B9286C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B61C6C">
      <w:rPr>
        <w:rFonts w:ascii="Arial" w:hAnsi="Arial"/>
        <w:bCs/>
        <w:noProof/>
        <w:sz w:val="16"/>
        <w:szCs w:val="24"/>
        <w:lang w:val="de-DE" w:eastAsia="fr-FR"/>
      </w:rPr>
      <w:t>/WP.15/AC.2/</w:t>
    </w:r>
    <w:r>
      <w:rPr>
        <w:rFonts w:ascii="Arial" w:hAnsi="Arial"/>
        <w:noProof/>
        <w:sz w:val="16"/>
        <w:szCs w:val="24"/>
        <w:lang w:val="de-DE" w:eastAsia="fr-FR"/>
      </w:rPr>
      <w:t>65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65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9015D" w:rsidRPr="00B9286C" w:rsidRDefault="00B9286C" w:rsidP="00B9286C">
    <w:pPr>
      <w:spacing w:line="240" w:lineRule="auto"/>
      <w:rPr>
        <w:lang w:val="de-DE"/>
      </w:rPr>
    </w:pPr>
    <w:r w:rsidRPr="00B61C6C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B61C6C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0B6FF9">
      <w:rPr>
        <w:rFonts w:ascii="Arial" w:hAnsi="Arial"/>
        <w:noProof/>
        <w:sz w:val="16"/>
        <w:szCs w:val="24"/>
        <w:lang w:val="de-DE"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6C" w:rsidRPr="00AF7E32" w:rsidRDefault="00B9286C" w:rsidP="00B9286C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B61C6C">
      <w:rPr>
        <w:rFonts w:ascii="Arial" w:hAnsi="Arial"/>
        <w:bCs/>
        <w:noProof/>
        <w:sz w:val="16"/>
        <w:szCs w:val="24"/>
        <w:lang w:val="de-DE" w:eastAsia="fr-FR"/>
      </w:rPr>
      <w:t>/WP.15/AC.2/</w:t>
    </w:r>
    <w:r>
      <w:rPr>
        <w:rFonts w:ascii="Arial" w:hAnsi="Arial"/>
        <w:noProof/>
        <w:sz w:val="16"/>
        <w:szCs w:val="24"/>
        <w:lang w:val="de-DE" w:eastAsia="fr-FR"/>
      </w:rPr>
      <w:t>65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65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9015D" w:rsidRPr="00B9286C" w:rsidRDefault="00B9286C" w:rsidP="00B9286C">
    <w:pPr>
      <w:spacing w:line="240" w:lineRule="auto"/>
      <w:jc w:val="right"/>
      <w:rPr>
        <w:lang w:val="de-DE"/>
      </w:rPr>
    </w:pPr>
    <w:r w:rsidRPr="00B61C6C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B61C6C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0B6FF9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2D" w:rsidRPr="00C854A8" w:rsidRDefault="00CA572D" w:rsidP="00C854A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6407CD"/>
    <w:multiLevelType w:val="hybridMultilevel"/>
    <w:tmpl w:val="C8D8B6C0"/>
    <w:lvl w:ilvl="0" w:tplc="B8B4834E">
      <w:start w:val="2"/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769"/>
    <w:rsid w:val="000100C1"/>
    <w:rsid w:val="000108AF"/>
    <w:rsid w:val="00022E06"/>
    <w:rsid w:val="0002711F"/>
    <w:rsid w:val="00035EC3"/>
    <w:rsid w:val="00045FBD"/>
    <w:rsid w:val="00046B1F"/>
    <w:rsid w:val="00050F6B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B0595"/>
    <w:rsid w:val="000B175B"/>
    <w:rsid w:val="000B17E5"/>
    <w:rsid w:val="000B3A0F"/>
    <w:rsid w:val="000B4EF7"/>
    <w:rsid w:val="000B6A35"/>
    <w:rsid w:val="000B6FF9"/>
    <w:rsid w:val="000C00AB"/>
    <w:rsid w:val="000C2C03"/>
    <w:rsid w:val="000C2D2E"/>
    <w:rsid w:val="000E0415"/>
    <w:rsid w:val="000E0E17"/>
    <w:rsid w:val="000E69EB"/>
    <w:rsid w:val="000F72FD"/>
    <w:rsid w:val="00100FD9"/>
    <w:rsid w:val="00102704"/>
    <w:rsid w:val="00105FA9"/>
    <w:rsid w:val="001103AA"/>
    <w:rsid w:val="00116117"/>
    <w:rsid w:val="0011666B"/>
    <w:rsid w:val="001323D9"/>
    <w:rsid w:val="001405B1"/>
    <w:rsid w:val="001468B2"/>
    <w:rsid w:val="00147248"/>
    <w:rsid w:val="00165F3A"/>
    <w:rsid w:val="001709B4"/>
    <w:rsid w:val="0017296C"/>
    <w:rsid w:val="0017595C"/>
    <w:rsid w:val="00175967"/>
    <w:rsid w:val="00175C4B"/>
    <w:rsid w:val="00175D78"/>
    <w:rsid w:val="00176007"/>
    <w:rsid w:val="001911D3"/>
    <w:rsid w:val="001921F0"/>
    <w:rsid w:val="001927DB"/>
    <w:rsid w:val="00192D87"/>
    <w:rsid w:val="001937A9"/>
    <w:rsid w:val="00195BDC"/>
    <w:rsid w:val="001A435D"/>
    <w:rsid w:val="001A6FC7"/>
    <w:rsid w:val="001B2705"/>
    <w:rsid w:val="001B4B04"/>
    <w:rsid w:val="001B4CB9"/>
    <w:rsid w:val="001C343D"/>
    <w:rsid w:val="001C4030"/>
    <w:rsid w:val="001C4A0F"/>
    <w:rsid w:val="001C5489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1F55BB"/>
    <w:rsid w:val="001F5C4A"/>
    <w:rsid w:val="00202DA8"/>
    <w:rsid w:val="00211E0B"/>
    <w:rsid w:val="0021364D"/>
    <w:rsid w:val="002229A1"/>
    <w:rsid w:val="002236DD"/>
    <w:rsid w:val="002247E8"/>
    <w:rsid w:val="002258E3"/>
    <w:rsid w:val="00230D7B"/>
    <w:rsid w:val="00235B68"/>
    <w:rsid w:val="0024707E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5AA9"/>
    <w:rsid w:val="00286B4D"/>
    <w:rsid w:val="00287C5E"/>
    <w:rsid w:val="002902F9"/>
    <w:rsid w:val="00292F33"/>
    <w:rsid w:val="002A0074"/>
    <w:rsid w:val="002C174C"/>
    <w:rsid w:val="002C2778"/>
    <w:rsid w:val="002C5E26"/>
    <w:rsid w:val="002D4643"/>
    <w:rsid w:val="002D547D"/>
    <w:rsid w:val="002E05CE"/>
    <w:rsid w:val="002E3A18"/>
    <w:rsid w:val="002E7924"/>
    <w:rsid w:val="002F175C"/>
    <w:rsid w:val="002F690D"/>
    <w:rsid w:val="00302E18"/>
    <w:rsid w:val="00307003"/>
    <w:rsid w:val="003114B0"/>
    <w:rsid w:val="003203E2"/>
    <w:rsid w:val="003229D8"/>
    <w:rsid w:val="003277AF"/>
    <w:rsid w:val="00331664"/>
    <w:rsid w:val="00344A8C"/>
    <w:rsid w:val="00344EC6"/>
    <w:rsid w:val="00347AF5"/>
    <w:rsid w:val="003508B2"/>
    <w:rsid w:val="00352709"/>
    <w:rsid w:val="003619B5"/>
    <w:rsid w:val="003640AE"/>
    <w:rsid w:val="00365763"/>
    <w:rsid w:val="00371178"/>
    <w:rsid w:val="0037304E"/>
    <w:rsid w:val="003922DD"/>
    <w:rsid w:val="00392E47"/>
    <w:rsid w:val="003A3A0E"/>
    <w:rsid w:val="003A4397"/>
    <w:rsid w:val="003A6810"/>
    <w:rsid w:val="003B0811"/>
    <w:rsid w:val="003B13B0"/>
    <w:rsid w:val="003B5B01"/>
    <w:rsid w:val="003C083F"/>
    <w:rsid w:val="003C2CC4"/>
    <w:rsid w:val="003C5B97"/>
    <w:rsid w:val="003D4B23"/>
    <w:rsid w:val="003E33BF"/>
    <w:rsid w:val="003E6C3C"/>
    <w:rsid w:val="004007E0"/>
    <w:rsid w:val="00410C89"/>
    <w:rsid w:val="00416D9D"/>
    <w:rsid w:val="00417D70"/>
    <w:rsid w:val="00422E03"/>
    <w:rsid w:val="00426B9B"/>
    <w:rsid w:val="004325CB"/>
    <w:rsid w:val="00434245"/>
    <w:rsid w:val="004401CE"/>
    <w:rsid w:val="00442A83"/>
    <w:rsid w:val="00443582"/>
    <w:rsid w:val="00444989"/>
    <w:rsid w:val="0045495B"/>
    <w:rsid w:val="004663A4"/>
    <w:rsid w:val="0047699E"/>
    <w:rsid w:val="0048397A"/>
    <w:rsid w:val="00485CBB"/>
    <w:rsid w:val="004866B7"/>
    <w:rsid w:val="00487049"/>
    <w:rsid w:val="00493EAD"/>
    <w:rsid w:val="004A11BF"/>
    <w:rsid w:val="004B1E32"/>
    <w:rsid w:val="004B65CF"/>
    <w:rsid w:val="004C0276"/>
    <w:rsid w:val="004C2461"/>
    <w:rsid w:val="004C6610"/>
    <w:rsid w:val="004C7462"/>
    <w:rsid w:val="004D6461"/>
    <w:rsid w:val="004E19BD"/>
    <w:rsid w:val="004E2416"/>
    <w:rsid w:val="004E77B2"/>
    <w:rsid w:val="004F6AFB"/>
    <w:rsid w:val="00504B2D"/>
    <w:rsid w:val="00510DA4"/>
    <w:rsid w:val="00512E26"/>
    <w:rsid w:val="0052136D"/>
    <w:rsid w:val="00524EA1"/>
    <w:rsid w:val="0052775E"/>
    <w:rsid w:val="005301B6"/>
    <w:rsid w:val="00537F71"/>
    <w:rsid w:val="005420F2"/>
    <w:rsid w:val="00554B9A"/>
    <w:rsid w:val="005628B6"/>
    <w:rsid w:val="0056600D"/>
    <w:rsid w:val="0057287F"/>
    <w:rsid w:val="00572B32"/>
    <w:rsid w:val="005919A2"/>
    <w:rsid w:val="005941EC"/>
    <w:rsid w:val="0059724D"/>
    <w:rsid w:val="005A2150"/>
    <w:rsid w:val="005A6214"/>
    <w:rsid w:val="005A6E3A"/>
    <w:rsid w:val="005B3DB3"/>
    <w:rsid w:val="005B4E13"/>
    <w:rsid w:val="005C342F"/>
    <w:rsid w:val="005D356C"/>
    <w:rsid w:val="005D6EB9"/>
    <w:rsid w:val="005D7857"/>
    <w:rsid w:val="005E25A1"/>
    <w:rsid w:val="005F216E"/>
    <w:rsid w:val="005F6CC8"/>
    <w:rsid w:val="005F7B75"/>
    <w:rsid w:val="006001EE"/>
    <w:rsid w:val="00605042"/>
    <w:rsid w:val="00610FBC"/>
    <w:rsid w:val="00611FC4"/>
    <w:rsid w:val="0061359B"/>
    <w:rsid w:val="006135CE"/>
    <w:rsid w:val="006176FB"/>
    <w:rsid w:val="00620692"/>
    <w:rsid w:val="0062388D"/>
    <w:rsid w:val="00633142"/>
    <w:rsid w:val="006349C5"/>
    <w:rsid w:val="00640B26"/>
    <w:rsid w:val="00642652"/>
    <w:rsid w:val="00652D0A"/>
    <w:rsid w:val="0066181B"/>
    <w:rsid w:val="00662BB6"/>
    <w:rsid w:val="0066488C"/>
    <w:rsid w:val="00676606"/>
    <w:rsid w:val="00684C21"/>
    <w:rsid w:val="00692692"/>
    <w:rsid w:val="006A2530"/>
    <w:rsid w:val="006A61FF"/>
    <w:rsid w:val="006A69ED"/>
    <w:rsid w:val="006B3FFD"/>
    <w:rsid w:val="006B6921"/>
    <w:rsid w:val="006C3589"/>
    <w:rsid w:val="006C78A2"/>
    <w:rsid w:val="006C7AD5"/>
    <w:rsid w:val="006C7B8E"/>
    <w:rsid w:val="006D345C"/>
    <w:rsid w:val="006D37AF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21027"/>
    <w:rsid w:val="007217C4"/>
    <w:rsid w:val="00724080"/>
    <w:rsid w:val="0072632A"/>
    <w:rsid w:val="00727DE0"/>
    <w:rsid w:val="00732343"/>
    <w:rsid w:val="007327D5"/>
    <w:rsid w:val="007352A8"/>
    <w:rsid w:val="00736F82"/>
    <w:rsid w:val="00742A4B"/>
    <w:rsid w:val="007455C1"/>
    <w:rsid w:val="00751ABF"/>
    <w:rsid w:val="00762564"/>
    <w:rsid w:val="007629C8"/>
    <w:rsid w:val="00766488"/>
    <w:rsid w:val="0077047D"/>
    <w:rsid w:val="00770F74"/>
    <w:rsid w:val="00775036"/>
    <w:rsid w:val="00777160"/>
    <w:rsid w:val="0078197F"/>
    <w:rsid w:val="00785BAC"/>
    <w:rsid w:val="00796796"/>
    <w:rsid w:val="007A019D"/>
    <w:rsid w:val="007A7144"/>
    <w:rsid w:val="007B6BA5"/>
    <w:rsid w:val="007C3390"/>
    <w:rsid w:val="007C4F4B"/>
    <w:rsid w:val="007C5431"/>
    <w:rsid w:val="007C73F8"/>
    <w:rsid w:val="007D22F7"/>
    <w:rsid w:val="007E01E9"/>
    <w:rsid w:val="007E1FD7"/>
    <w:rsid w:val="007E63F3"/>
    <w:rsid w:val="007E7463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33224"/>
    <w:rsid w:val="00834752"/>
    <w:rsid w:val="00843767"/>
    <w:rsid w:val="00844847"/>
    <w:rsid w:val="00844CF8"/>
    <w:rsid w:val="0084592C"/>
    <w:rsid w:val="00850ABB"/>
    <w:rsid w:val="00852014"/>
    <w:rsid w:val="008524ED"/>
    <w:rsid w:val="00854198"/>
    <w:rsid w:val="00857508"/>
    <w:rsid w:val="00860602"/>
    <w:rsid w:val="008679D9"/>
    <w:rsid w:val="00872852"/>
    <w:rsid w:val="00874D75"/>
    <w:rsid w:val="0088008B"/>
    <w:rsid w:val="008878DE"/>
    <w:rsid w:val="00894427"/>
    <w:rsid w:val="008964FB"/>
    <w:rsid w:val="0089757F"/>
    <w:rsid w:val="008979B1"/>
    <w:rsid w:val="008A3332"/>
    <w:rsid w:val="008A46EA"/>
    <w:rsid w:val="008A49BF"/>
    <w:rsid w:val="008A6B25"/>
    <w:rsid w:val="008A6C4F"/>
    <w:rsid w:val="008B116C"/>
    <w:rsid w:val="008B2335"/>
    <w:rsid w:val="008B4048"/>
    <w:rsid w:val="008C44CA"/>
    <w:rsid w:val="008C5303"/>
    <w:rsid w:val="008C7964"/>
    <w:rsid w:val="008D4AF2"/>
    <w:rsid w:val="008E0678"/>
    <w:rsid w:val="008E4AC2"/>
    <w:rsid w:val="008E5747"/>
    <w:rsid w:val="008F31D2"/>
    <w:rsid w:val="009011F7"/>
    <w:rsid w:val="009121CF"/>
    <w:rsid w:val="009223CA"/>
    <w:rsid w:val="00925735"/>
    <w:rsid w:val="009266B2"/>
    <w:rsid w:val="009375C2"/>
    <w:rsid w:val="009378F4"/>
    <w:rsid w:val="00940F93"/>
    <w:rsid w:val="00941201"/>
    <w:rsid w:val="00942076"/>
    <w:rsid w:val="00943BE8"/>
    <w:rsid w:val="00951B84"/>
    <w:rsid w:val="009760F3"/>
    <w:rsid w:val="00976CFB"/>
    <w:rsid w:val="00981486"/>
    <w:rsid w:val="00990821"/>
    <w:rsid w:val="009A0830"/>
    <w:rsid w:val="009A0E8D"/>
    <w:rsid w:val="009B1484"/>
    <w:rsid w:val="009B26E7"/>
    <w:rsid w:val="009C1705"/>
    <w:rsid w:val="009D4F57"/>
    <w:rsid w:val="009E015B"/>
    <w:rsid w:val="009E6DCF"/>
    <w:rsid w:val="009F6181"/>
    <w:rsid w:val="009F6480"/>
    <w:rsid w:val="00A00697"/>
    <w:rsid w:val="00A00A3F"/>
    <w:rsid w:val="00A01489"/>
    <w:rsid w:val="00A0608C"/>
    <w:rsid w:val="00A07F53"/>
    <w:rsid w:val="00A27E37"/>
    <w:rsid w:val="00A3026E"/>
    <w:rsid w:val="00A338F1"/>
    <w:rsid w:val="00A34E4B"/>
    <w:rsid w:val="00A35BE0"/>
    <w:rsid w:val="00A52B86"/>
    <w:rsid w:val="00A5615B"/>
    <w:rsid w:val="00A567BB"/>
    <w:rsid w:val="00A569E6"/>
    <w:rsid w:val="00A57BFD"/>
    <w:rsid w:val="00A61210"/>
    <w:rsid w:val="00A63559"/>
    <w:rsid w:val="00A72A6E"/>
    <w:rsid w:val="00A72F22"/>
    <w:rsid w:val="00A7360F"/>
    <w:rsid w:val="00A748A6"/>
    <w:rsid w:val="00A769F4"/>
    <w:rsid w:val="00A77391"/>
    <w:rsid w:val="00A776B4"/>
    <w:rsid w:val="00A94361"/>
    <w:rsid w:val="00A94463"/>
    <w:rsid w:val="00A972F7"/>
    <w:rsid w:val="00AA105B"/>
    <w:rsid w:val="00AA293C"/>
    <w:rsid w:val="00AB1516"/>
    <w:rsid w:val="00AB2DE5"/>
    <w:rsid w:val="00AC4838"/>
    <w:rsid w:val="00AC772A"/>
    <w:rsid w:val="00AD1CC0"/>
    <w:rsid w:val="00AE652C"/>
    <w:rsid w:val="00B02445"/>
    <w:rsid w:val="00B116A8"/>
    <w:rsid w:val="00B30179"/>
    <w:rsid w:val="00B421C1"/>
    <w:rsid w:val="00B45EA0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286C"/>
    <w:rsid w:val="00B9477C"/>
    <w:rsid w:val="00B94957"/>
    <w:rsid w:val="00BB6619"/>
    <w:rsid w:val="00BC04D4"/>
    <w:rsid w:val="00BC15E4"/>
    <w:rsid w:val="00BC3FA0"/>
    <w:rsid w:val="00BC74E9"/>
    <w:rsid w:val="00BD26E2"/>
    <w:rsid w:val="00BD3218"/>
    <w:rsid w:val="00BD745C"/>
    <w:rsid w:val="00BE379F"/>
    <w:rsid w:val="00BE3DF1"/>
    <w:rsid w:val="00BE4504"/>
    <w:rsid w:val="00BF01F3"/>
    <w:rsid w:val="00BF0266"/>
    <w:rsid w:val="00BF68A8"/>
    <w:rsid w:val="00C01EC4"/>
    <w:rsid w:val="00C11A03"/>
    <w:rsid w:val="00C1460D"/>
    <w:rsid w:val="00C15C0A"/>
    <w:rsid w:val="00C22C0C"/>
    <w:rsid w:val="00C4527F"/>
    <w:rsid w:val="00C463DD"/>
    <w:rsid w:val="00C4724C"/>
    <w:rsid w:val="00C53074"/>
    <w:rsid w:val="00C6049D"/>
    <w:rsid w:val="00C629A0"/>
    <w:rsid w:val="00C64629"/>
    <w:rsid w:val="00C70455"/>
    <w:rsid w:val="00C745C3"/>
    <w:rsid w:val="00C7560C"/>
    <w:rsid w:val="00C77217"/>
    <w:rsid w:val="00C80765"/>
    <w:rsid w:val="00C81942"/>
    <w:rsid w:val="00C832BD"/>
    <w:rsid w:val="00C854A8"/>
    <w:rsid w:val="00C95511"/>
    <w:rsid w:val="00C95FEC"/>
    <w:rsid w:val="00C96113"/>
    <w:rsid w:val="00C96DF2"/>
    <w:rsid w:val="00CA572D"/>
    <w:rsid w:val="00CA64B5"/>
    <w:rsid w:val="00CB3E03"/>
    <w:rsid w:val="00CB7DD8"/>
    <w:rsid w:val="00CC534B"/>
    <w:rsid w:val="00CD4AA6"/>
    <w:rsid w:val="00CD4BB1"/>
    <w:rsid w:val="00CE2D3D"/>
    <w:rsid w:val="00CE4A8F"/>
    <w:rsid w:val="00CE79A0"/>
    <w:rsid w:val="00CF08D4"/>
    <w:rsid w:val="00CF727F"/>
    <w:rsid w:val="00D00E41"/>
    <w:rsid w:val="00D022F4"/>
    <w:rsid w:val="00D03F3E"/>
    <w:rsid w:val="00D04AC0"/>
    <w:rsid w:val="00D112CD"/>
    <w:rsid w:val="00D11F98"/>
    <w:rsid w:val="00D2031B"/>
    <w:rsid w:val="00D248B6"/>
    <w:rsid w:val="00D25FE2"/>
    <w:rsid w:val="00D274FF"/>
    <w:rsid w:val="00D43252"/>
    <w:rsid w:val="00D43BB6"/>
    <w:rsid w:val="00D445AA"/>
    <w:rsid w:val="00D45BBD"/>
    <w:rsid w:val="00D47EEA"/>
    <w:rsid w:val="00D53BD6"/>
    <w:rsid w:val="00D55BAE"/>
    <w:rsid w:val="00D64C5D"/>
    <w:rsid w:val="00D67D40"/>
    <w:rsid w:val="00D75766"/>
    <w:rsid w:val="00D773DF"/>
    <w:rsid w:val="00D777F1"/>
    <w:rsid w:val="00D866D2"/>
    <w:rsid w:val="00D87941"/>
    <w:rsid w:val="00D9015D"/>
    <w:rsid w:val="00D9240A"/>
    <w:rsid w:val="00D95303"/>
    <w:rsid w:val="00D978C6"/>
    <w:rsid w:val="00DA2471"/>
    <w:rsid w:val="00DA3C1C"/>
    <w:rsid w:val="00DB182A"/>
    <w:rsid w:val="00DB2AD8"/>
    <w:rsid w:val="00DC3666"/>
    <w:rsid w:val="00DD113C"/>
    <w:rsid w:val="00DD7770"/>
    <w:rsid w:val="00E0021B"/>
    <w:rsid w:val="00E01957"/>
    <w:rsid w:val="00E03DAA"/>
    <w:rsid w:val="00E046DF"/>
    <w:rsid w:val="00E10663"/>
    <w:rsid w:val="00E148C5"/>
    <w:rsid w:val="00E16E3D"/>
    <w:rsid w:val="00E17EEF"/>
    <w:rsid w:val="00E205A8"/>
    <w:rsid w:val="00E20775"/>
    <w:rsid w:val="00E24E17"/>
    <w:rsid w:val="00E27346"/>
    <w:rsid w:val="00E273D0"/>
    <w:rsid w:val="00E5328E"/>
    <w:rsid w:val="00E659A4"/>
    <w:rsid w:val="00E71BC8"/>
    <w:rsid w:val="00E7260F"/>
    <w:rsid w:val="00E73F5D"/>
    <w:rsid w:val="00E74D97"/>
    <w:rsid w:val="00E75A16"/>
    <w:rsid w:val="00E77208"/>
    <w:rsid w:val="00E77E4E"/>
    <w:rsid w:val="00E9248C"/>
    <w:rsid w:val="00E96630"/>
    <w:rsid w:val="00EB2AFD"/>
    <w:rsid w:val="00EB3AFE"/>
    <w:rsid w:val="00EB73FB"/>
    <w:rsid w:val="00EC6CC6"/>
    <w:rsid w:val="00ED345D"/>
    <w:rsid w:val="00ED6993"/>
    <w:rsid w:val="00ED7A2A"/>
    <w:rsid w:val="00EF1D7F"/>
    <w:rsid w:val="00F01FBE"/>
    <w:rsid w:val="00F02BC3"/>
    <w:rsid w:val="00F21483"/>
    <w:rsid w:val="00F3040C"/>
    <w:rsid w:val="00F31E5F"/>
    <w:rsid w:val="00F46A4A"/>
    <w:rsid w:val="00F6100A"/>
    <w:rsid w:val="00F73BA0"/>
    <w:rsid w:val="00F93781"/>
    <w:rsid w:val="00F95964"/>
    <w:rsid w:val="00FA06CE"/>
    <w:rsid w:val="00FA2EC4"/>
    <w:rsid w:val="00FA6BB7"/>
    <w:rsid w:val="00FB35A3"/>
    <w:rsid w:val="00FB4A79"/>
    <w:rsid w:val="00FB613B"/>
    <w:rsid w:val="00FC0235"/>
    <w:rsid w:val="00FC68B7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5E1C701-07C9-4C6B-B0C1-D53D8539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38BC-A12E-4E73-ABF1-E2C55CC2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2017-11-24T06:35:00Z</cp:lastPrinted>
  <dcterms:created xsi:type="dcterms:W3CDTF">2017-11-24T06:36:00Z</dcterms:created>
  <dcterms:modified xsi:type="dcterms:W3CDTF">2017-11-24T06:36:00Z</dcterms:modified>
</cp:coreProperties>
</file>