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49916307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71BE8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66E9E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E8D58" w14:textId="4D4E8E33" w:rsidR="00B56E9C" w:rsidRPr="00507993" w:rsidRDefault="00CD57D2" w:rsidP="005F7DEF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5F7DEF">
              <w:rPr>
                <w:b/>
                <w:sz w:val="24"/>
                <w:szCs w:val="24"/>
              </w:rPr>
              <w:t>7</w:t>
            </w:r>
          </w:p>
        </w:tc>
      </w:tr>
    </w:tbl>
    <w:p w14:paraId="6990D95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4EE9141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F4762B8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0A333A3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4000EBBA" w14:textId="1A366BD2"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B803B8">
        <w:rPr>
          <w:b/>
        </w:rPr>
        <w:t>26 July</w:t>
      </w:r>
      <w:bookmarkStart w:id="0" w:name="_GoBack"/>
      <w:bookmarkEnd w:id="0"/>
      <w:r w:rsidR="00CE4B11">
        <w:rPr>
          <w:b/>
        </w:rPr>
        <w:t xml:space="preserve"> 2017</w:t>
      </w:r>
    </w:p>
    <w:p w14:paraId="7E600D9E" w14:textId="77777777" w:rsidR="009D2A5B" w:rsidRDefault="005501AB" w:rsidP="00BB7CD1">
      <w:r>
        <w:t>Geneva</w:t>
      </w:r>
      <w:r w:rsidR="00BB7CD1">
        <w:t xml:space="preserve">, </w:t>
      </w:r>
      <w:r w:rsidR="00D65303">
        <w:t>1</w:t>
      </w:r>
      <w:r>
        <w:t>9</w:t>
      </w:r>
      <w:r w:rsidR="003B311A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A47A60">
        <w:t>7</w:t>
      </w:r>
    </w:p>
    <w:p w14:paraId="45F75870" w14:textId="77777777" w:rsidR="00AE4840" w:rsidRPr="00A55B4D" w:rsidRDefault="00AE4840" w:rsidP="00AE4840">
      <w:r w:rsidRPr="00A55B4D">
        <w:t xml:space="preserve">Item </w:t>
      </w:r>
      <w:r w:rsidR="005501AB">
        <w:t xml:space="preserve">8 </w:t>
      </w:r>
      <w:r w:rsidRPr="00A55B4D">
        <w:t>of the provisional agenda</w:t>
      </w:r>
    </w:p>
    <w:p w14:paraId="3D08AC36" w14:textId="77777777" w:rsidR="00BB7CD1" w:rsidRPr="00BB7CD1" w:rsidRDefault="00FD49F1" w:rsidP="00AE4840">
      <w:pPr>
        <w:rPr>
          <w:b/>
        </w:rPr>
      </w:pPr>
      <w:r>
        <w:rPr>
          <w:b/>
        </w:rPr>
        <w:t>Accidents and risk management</w:t>
      </w:r>
    </w:p>
    <w:p w14:paraId="10C36032" w14:textId="77777777" w:rsidR="00FD49F1" w:rsidRDefault="009B1518" w:rsidP="00FD49F1">
      <w:pPr>
        <w:pStyle w:val="HChG"/>
      </w:pPr>
      <w:r>
        <w:tab/>
      </w:r>
      <w:r>
        <w:tab/>
      </w:r>
      <w:r w:rsidR="00C87367">
        <w:rPr>
          <w:lang w:val="en-GB"/>
        </w:rPr>
        <w:t>Overview of the future framework of guides on the risk management in the context of road, railways and inland waterways Transport of Dangerous Goods</w:t>
      </w:r>
      <w:r w:rsidR="00FD49F1" w:rsidRPr="00F5634F">
        <w:t xml:space="preserve"> </w:t>
      </w:r>
    </w:p>
    <w:p w14:paraId="324E2A11" w14:textId="77777777" w:rsidR="00FD49F1" w:rsidRPr="00F5634F" w:rsidRDefault="00FD49F1" w:rsidP="00FD49F1">
      <w:pPr>
        <w:pStyle w:val="H1G"/>
      </w:pPr>
      <w:r>
        <w:tab/>
      </w:r>
      <w:r>
        <w:tab/>
        <w:t xml:space="preserve">Transmitted by the European Union Agency for </w:t>
      </w:r>
      <w:r w:rsidR="005501AB">
        <w:t>R</w:t>
      </w:r>
      <w:r>
        <w:t>ailways (ERA)</w:t>
      </w:r>
    </w:p>
    <w:p w14:paraId="7BB0A816" w14:textId="77777777" w:rsidR="00FD49F1" w:rsidRPr="00E746D9" w:rsidRDefault="00FD49F1" w:rsidP="00FD49F1">
      <w:pPr>
        <w:pStyle w:val="HChG"/>
        <w:rPr>
          <w:lang w:val="en-GB"/>
        </w:rPr>
      </w:pPr>
      <w:r>
        <w:tab/>
      </w:r>
      <w:r>
        <w:tab/>
      </w:r>
      <w:r w:rsidR="00E746D9" w:rsidRPr="00E746D9">
        <w:rPr>
          <w:lang w:val="en-GB"/>
        </w:rPr>
        <w:t>Introduction</w:t>
      </w:r>
    </w:p>
    <w:p w14:paraId="1ECA7D8E" w14:textId="77777777" w:rsidR="00424AD2" w:rsidRDefault="00C87367" w:rsidP="005501AB">
      <w:pPr>
        <w:pStyle w:val="SingleTxtG"/>
        <w:rPr>
          <w:lang w:val="en-GB"/>
        </w:rPr>
      </w:pPr>
      <w:r w:rsidRPr="00C87367">
        <w:rPr>
          <w:lang w:val="en-GB"/>
        </w:rPr>
        <w:t>In accordance with the</w:t>
      </w:r>
      <w:r w:rsidR="00C7629A">
        <w:rPr>
          <w:lang w:val="en-GB"/>
        </w:rPr>
        <w:t xml:space="preserve"> conclusions of the </w:t>
      </w:r>
      <w:r w:rsidR="00C7629A" w:rsidRPr="00C7629A">
        <w:rPr>
          <w:lang w:val="en-GB"/>
        </w:rPr>
        <w:t>Report of the Joint Meeting of the RID Committee of Experts and the Working Party on the Transport of Dangerous Goods on its spring 2017 session</w:t>
      </w:r>
      <w:r w:rsidR="00C7629A">
        <w:rPr>
          <w:lang w:val="en-GB"/>
        </w:rPr>
        <w:t xml:space="preserve"> (see </w:t>
      </w:r>
      <w:r w:rsidRPr="00C87367">
        <w:rPr>
          <w:lang w:val="en-GB"/>
        </w:rPr>
        <w:t>para</w:t>
      </w:r>
      <w:r w:rsidR="00C7629A">
        <w:rPr>
          <w:lang w:val="en-GB"/>
        </w:rPr>
        <w:t xml:space="preserve">graphs 48 to 51 of </w:t>
      </w:r>
      <w:r w:rsidR="00C7629A" w:rsidRPr="00C7629A">
        <w:rPr>
          <w:lang w:val="en-GB"/>
        </w:rPr>
        <w:t>ECE/TRANS/WP.15/AC.1/146</w:t>
      </w:r>
      <w:r w:rsidR="00C7629A">
        <w:rPr>
          <w:lang w:val="en-GB"/>
        </w:rPr>
        <w:t>)</w:t>
      </w:r>
      <w:r>
        <w:rPr>
          <w:lang w:val="en-GB"/>
        </w:rPr>
        <w:t xml:space="preserve"> the Agency is pleased to </w:t>
      </w:r>
      <w:r w:rsidR="00C7629A">
        <w:rPr>
          <w:lang w:val="en-GB"/>
        </w:rPr>
        <w:t>provide</w:t>
      </w:r>
      <w:r>
        <w:rPr>
          <w:lang w:val="en-GB"/>
        </w:rPr>
        <w:t xml:space="preserve"> an overview of the </w:t>
      </w:r>
      <w:r w:rsidR="00E96736">
        <w:rPr>
          <w:lang w:val="en-GB"/>
        </w:rPr>
        <w:t>proposed</w:t>
      </w:r>
      <w:r>
        <w:rPr>
          <w:lang w:val="en-GB"/>
        </w:rPr>
        <w:t xml:space="preserve"> framework of the guides</w:t>
      </w:r>
      <w:r w:rsidR="00424AD2">
        <w:rPr>
          <w:lang w:val="en-GB"/>
        </w:rPr>
        <w:t>.</w:t>
      </w:r>
    </w:p>
    <w:p w14:paraId="432D52FF" w14:textId="2C6AEAFF" w:rsidR="00121E05" w:rsidRDefault="00424AD2" w:rsidP="005501AB">
      <w:pPr>
        <w:pStyle w:val="SingleTxtG"/>
        <w:rPr>
          <w:lang w:val="en-GB"/>
        </w:rPr>
      </w:pPr>
      <w:r>
        <w:rPr>
          <w:lang w:val="en-GB"/>
        </w:rPr>
        <w:t>The</w:t>
      </w:r>
      <w:r w:rsidR="007F729F">
        <w:rPr>
          <w:lang w:val="en-GB"/>
        </w:rPr>
        <w:t xml:space="preserve"> framework </w:t>
      </w:r>
      <w:r w:rsidR="007E702F">
        <w:rPr>
          <w:lang w:val="en-GB"/>
        </w:rPr>
        <w:t xml:space="preserve">of guides </w:t>
      </w:r>
      <w:r>
        <w:rPr>
          <w:lang w:val="en-GB"/>
        </w:rPr>
        <w:t>will be the main deliverable of the first phase of the TDG roadmap</w:t>
      </w:r>
      <w:r>
        <w:rPr>
          <w:rStyle w:val="FootnoteReference"/>
          <w:lang w:val="en-GB"/>
        </w:rPr>
        <w:footnoteReference w:id="2"/>
      </w:r>
      <w:r w:rsidR="00C87367">
        <w:rPr>
          <w:lang w:val="en-GB"/>
        </w:rPr>
        <w:t>.</w:t>
      </w:r>
    </w:p>
    <w:p w14:paraId="3CD5D5FB" w14:textId="77777777" w:rsidR="00FD49F1" w:rsidRPr="00F5634F" w:rsidRDefault="00FD49F1" w:rsidP="00FD49F1">
      <w:pPr>
        <w:pStyle w:val="HChG"/>
      </w:pPr>
      <w:r>
        <w:tab/>
      </w:r>
      <w:r>
        <w:tab/>
      </w:r>
      <w:r w:rsidR="00C87367">
        <w:rPr>
          <w:lang w:val="en-GB"/>
        </w:rPr>
        <w:t>Framework structure</w:t>
      </w:r>
    </w:p>
    <w:p w14:paraId="727ED3C0" w14:textId="77777777" w:rsidR="00C06BD0" w:rsidRDefault="00C06BD0" w:rsidP="00121E05">
      <w:pPr>
        <w:pStyle w:val="SingleTxtG"/>
        <w:rPr>
          <w:lang w:val="en-GB"/>
        </w:rPr>
      </w:pPr>
      <w:r>
        <w:rPr>
          <w:lang w:val="en-GB"/>
        </w:rPr>
        <w:t>In accordance with the conclusions of the 10</w:t>
      </w:r>
      <w:r w:rsidRPr="00C06BD0">
        <w:rPr>
          <w:vertAlign w:val="superscript"/>
          <w:lang w:val="en-GB"/>
        </w:rPr>
        <w:t>th</w:t>
      </w:r>
      <w:r>
        <w:rPr>
          <w:lang w:val="en-GB"/>
        </w:rPr>
        <w:t xml:space="preserve"> Workshop of the TDG Roadmap the future structure of the roadmap will be composed of three guides and one glossary, as shown in the diagram below.</w:t>
      </w:r>
    </w:p>
    <w:p w14:paraId="068E573A" w14:textId="77777777" w:rsidR="00121E05" w:rsidRDefault="00C06BD0" w:rsidP="00C06BD0">
      <w:pPr>
        <w:pStyle w:val="SingleTxtG"/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12B73C2" wp14:editId="25E956BC">
            <wp:extent cx="1297940" cy="2046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45" cy="2091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503E5" w14:textId="77777777" w:rsidR="00C06BD0" w:rsidRPr="00C01CD0" w:rsidRDefault="00C01CD0" w:rsidP="00C06BD0">
      <w:pPr>
        <w:pStyle w:val="SingleTxtG"/>
        <w:jc w:val="center"/>
        <w:rPr>
          <w:i/>
          <w:lang w:val="en-GB"/>
        </w:rPr>
      </w:pPr>
      <w:r w:rsidRPr="00C01CD0">
        <w:rPr>
          <w:i/>
          <w:lang w:val="en-GB"/>
        </w:rPr>
        <w:t>TDG Risk management framework</w:t>
      </w:r>
    </w:p>
    <w:p w14:paraId="2B038B75" w14:textId="77777777" w:rsidR="00C01CD0" w:rsidRPr="00F5634F" w:rsidRDefault="00C01CD0" w:rsidP="00C01CD0">
      <w:pPr>
        <w:pStyle w:val="HChG"/>
      </w:pPr>
      <w:r>
        <w:lastRenderedPageBreak/>
        <w:tab/>
      </w:r>
      <w:r>
        <w:tab/>
      </w:r>
      <w:r w:rsidRPr="00C01CD0">
        <w:t>Framework guide</w:t>
      </w:r>
    </w:p>
    <w:p w14:paraId="4209C518" w14:textId="6790A9A4" w:rsidR="00495210" w:rsidRDefault="00C01CD0" w:rsidP="00C01CD0">
      <w:pPr>
        <w:pStyle w:val="SingleTxtG"/>
        <w:rPr>
          <w:lang w:val="en-GB"/>
        </w:rPr>
      </w:pPr>
      <w:r>
        <w:rPr>
          <w:lang w:val="en-GB"/>
        </w:rPr>
        <w:t>The framework guide will give an overview of the</w:t>
      </w:r>
      <w:r w:rsidR="00495210">
        <w:rPr>
          <w:lang w:val="en-GB"/>
        </w:rPr>
        <w:t xml:space="preserve"> </w:t>
      </w:r>
      <w:r w:rsidR="007F729F">
        <w:rPr>
          <w:lang w:val="en-GB"/>
        </w:rPr>
        <w:t xml:space="preserve">objectives of the </w:t>
      </w:r>
      <w:r w:rsidR="00495210">
        <w:rPr>
          <w:lang w:val="en-GB"/>
        </w:rPr>
        <w:t xml:space="preserve">risk management framework, </w:t>
      </w:r>
      <w:r w:rsidR="007F729F">
        <w:rPr>
          <w:lang w:val="en-GB"/>
        </w:rPr>
        <w:t xml:space="preserve">the </w:t>
      </w:r>
      <w:r w:rsidR="00495210">
        <w:rPr>
          <w:lang w:val="en-GB"/>
        </w:rPr>
        <w:t xml:space="preserve">scope of application and </w:t>
      </w:r>
      <w:r w:rsidR="007F729F">
        <w:rPr>
          <w:lang w:val="en-GB"/>
        </w:rPr>
        <w:t xml:space="preserve">the </w:t>
      </w:r>
      <w:r w:rsidR="00495210">
        <w:rPr>
          <w:lang w:val="en-GB"/>
        </w:rPr>
        <w:t xml:space="preserve">process of maintenance of the framework, </w:t>
      </w:r>
      <w:r>
        <w:rPr>
          <w:lang w:val="en-GB"/>
        </w:rPr>
        <w:t>as well as</w:t>
      </w:r>
      <w:r w:rsidR="00495210">
        <w:rPr>
          <w:lang w:val="en-GB"/>
        </w:rPr>
        <w:t xml:space="preserve"> a short introduction of the </w:t>
      </w:r>
      <w:r w:rsidR="007F729F">
        <w:rPr>
          <w:lang w:val="en-GB"/>
        </w:rPr>
        <w:t>other</w:t>
      </w:r>
      <w:r w:rsidR="00495210">
        <w:rPr>
          <w:lang w:val="en-GB"/>
        </w:rPr>
        <w:t xml:space="preserve"> guides composing the framework, namely the ‘Risk estimation guide’ and the ‘Risk management and decision-making guide’.</w:t>
      </w:r>
    </w:p>
    <w:p w14:paraId="0BDB0F66" w14:textId="00045F90" w:rsidR="00495210" w:rsidRDefault="00C01CD0" w:rsidP="00C01CD0">
      <w:pPr>
        <w:pStyle w:val="SingleTxtG"/>
        <w:rPr>
          <w:lang w:val="en-GB"/>
        </w:rPr>
      </w:pPr>
      <w:r>
        <w:rPr>
          <w:lang w:val="en-GB"/>
        </w:rPr>
        <w:t>The TDG risk management framework</w:t>
      </w:r>
      <w:r w:rsidR="00495210">
        <w:rPr>
          <w:lang w:val="en-GB"/>
        </w:rPr>
        <w:t xml:space="preserve"> </w:t>
      </w:r>
      <w:r w:rsidR="007F729F">
        <w:rPr>
          <w:lang w:val="en-GB"/>
        </w:rPr>
        <w:t>will</w:t>
      </w:r>
      <w:r w:rsidR="00495210">
        <w:rPr>
          <w:lang w:val="en-GB"/>
        </w:rPr>
        <w:t xml:space="preserve"> 1) </w:t>
      </w:r>
      <w:r>
        <w:rPr>
          <w:lang w:val="en-GB"/>
        </w:rPr>
        <w:t xml:space="preserve">allow </w:t>
      </w:r>
      <w:r w:rsidR="00495210">
        <w:rPr>
          <w:lang w:val="en-GB"/>
        </w:rPr>
        <w:t>the use of a harmonised risk estimation method which will 2</w:t>
      </w:r>
      <w:r>
        <w:rPr>
          <w:lang w:val="en-GB"/>
        </w:rPr>
        <w:t xml:space="preserve">) </w:t>
      </w:r>
      <w:r w:rsidR="00495210">
        <w:rPr>
          <w:lang w:val="en-GB"/>
        </w:rPr>
        <w:t xml:space="preserve">allow </w:t>
      </w:r>
      <w:r>
        <w:rPr>
          <w:lang w:val="en-GB"/>
        </w:rPr>
        <w:t>mutual recognition of risk-based decision making between parties who will implement the guides</w:t>
      </w:r>
      <w:r w:rsidR="00495210">
        <w:rPr>
          <w:lang w:val="en-GB"/>
        </w:rPr>
        <w:t>.</w:t>
      </w:r>
    </w:p>
    <w:p w14:paraId="6DEA822F" w14:textId="66128210" w:rsidR="00C01CD0" w:rsidRDefault="00495210" w:rsidP="00C01CD0">
      <w:pPr>
        <w:pStyle w:val="SingleTxtG"/>
        <w:rPr>
          <w:lang w:val="en-GB"/>
        </w:rPr>
      </w:pPr>
      <w:r>
        <w:rPr>
          <w:lang w:val="en-GB"/>
        </w:rPr>
        <w:t>The implementation scope of the framework</w:t>
      </w:r>
      <w:r w:rsidR="00C01CD0">
        <w:rPr>
          <w:lang w:val="en-GB"/>
        </w:rPr>
        <w:t xml:space="preserve"> </w:t>
      </w:r>
      <w:r w:rsidR="007F729F">
        <w:rPr>
          <w:lang w:val="en-GB"/>
        </w:rPr>
        <w:t>was</w:t>
      </w:r>
      <w:r>
        <w:rPr>
          <w:lang w:val="en-GB"/>
        </w:rPr>
        <w:t xml:space="preserve"> set </w:t>
      </w:r>
      <w:r w:rsidR="008433F2">
        <w:rPr>
          <w:lang w:val="en-GB"/>
        </w:rPr>
        <w:t>with due</w:t>
      </w:r>
      <w:r>
        <w:rPr>
          <w:lang w:val="en-GB"/>
        </w:rPr>
        <w:t xml:space="preserve"> </w:t>
      </w:r>
      <w:r w:rsidR="008433F2">
        <w:rPr>
          <w:lang w:val="en-GB"/>
        </w:rPr>
        <w:t>consideration of the</w:t>
      </w:r>
      <w:r>
        <w:rPr>
          <w:lang w:val="en-GB"/>
        </w:rPr>
        <w:t xml:space="preserve"> </w:t>
      </w:r>
      <w:r w:rsidR="008433F2">
        <w:rPr>
          <w:lang w:val="en-GB"/>
        </w:rPr>
        <w:t xml:space="preserve">application scope of RID/ADR/ADN agreements, </w:t>
      </w:r>
      <w:r w:rsidR="007F729F">
        <w:rPr>
          <w:lang w:val="en-GB"/>
        </w:rPr>
        <w:t>in particular</w:t>
      </w:r>
      <w:r w:rsidR="008433F2">
        <w:rPr>
          <w:lang w:val="en-GB"/>
        </w:rPr>
        <w:t>:</w:t>
      </w:r>
    </w:p>
    <w:p w14:paraId="589145E0" w14:textId="2B4BFF65" w:rsidR="008433F2" w:rsidRDefault="008433F2" w:rsidP="008433F2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Any </w:t>
      </w:r>
      <w:r w:rsidR="009D56CA">
        <w:rPr>
          <w:lang w:val="en-GB"/>
        </w:rPr>
        <w:t>participant</w:t>
      </w:r>
      <w:r>
        <w:rPr>
          <w:lang w:val="en-GB"/>
        </w:rPr>
        <w:t xml:space="preserve"> to the transport chain (RID/ADR/</w:t>
      </w:r>
      <w:r w:rsidR="007F729F">
        <w:rPr>
          <w:lang w:val="en-GB"/>
        </w:rPr>
        <w:t xml:space="preserve">ADN </w:t>
      </w:r>
      <w:r>
        <w:rPr>
          <w:lang w:val="en-GB"/>
        </w:rPr>
        <w:t xml:space="preserve">chapter 1.4) may be </w:t>
      </w:r>
      <w:r w:rsidR="009D56CA">
        <w:rPr>
          <w:lang w:val="en-GB"/>
        </w:rPr>
        <w:t xml:space="preserve">interested in </w:t>
      </w:r>
      <w:r>
        <w:rPr>
          <w:lang w:val="en-GB"/>
        </w:rPr>
        <w:t>us</w:t>
      </w:r>
      <w:r w:rsidR="009D56CA">
        <w:rPr>
          <w:lang w:val="en-GB"/>
        </w:rPr>
        <w:t>ing</w:t>
      </w:r>
      <w:r>
        <w:rPr>
          <w:lang w:val="en-GB"/>
        </w:rPr>
        <w:t xml:space="preserve"> the framework,</w:t>
      </w:r>
    </w:p>
    <w:p w14:paraId="58328581" w14:textId="51429069" w:rsidR="008433F2" w:rsidRDefault="008433F2" w:rsidP="008433F2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The transport operations, starting from filling (or loading) operations until un-filling (or unloading) operations are considered </w:t>
      </w:r>
      <w:r w:rsidR="009D56CA">
        <w:rPr>
          <w:lang w:val="en-GB"/>
        </w:rPr>
        <w:t xml:space="preserve">in the </w:t>
      </w:r>
      <w:r>
        <w:rPr>
          <w:lang w:val="en-GB"/>
        </w:rPr>
        <w:t>framework</w:t>
      </w:r>
      <w:r w:rsidR="009D56CA">
        <w:rPr>
          <w:lang w:val="en-GB"/>
        </w:rPr>
        <w:t xml:space="preserve"> scope of application</w:t>
      </w:r>
      <w:r>
        <w:rPr>
          <w:lang w:val="en-GB"/>
        </w:rPr>
        <w:t>,</w:t>
      </w:r>
    </w:p>
    <w:p w14:paraId="25388B9E" w14:textId="77777777" w:rsidR="008433F2" w:rsidRDefault="008433F2" w:rsidP="008433F2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>The framework will be applicable to risk situations involving railways, roads and inland waterways mode of transport, in isolation or in combination,</w:t>
      </w:r>
    </w:p>
    <w:p w14:paraId="0550F981" w14:textId="445CD103" w:rsidR="008433F2" w:rsidRPr="008433F2" w:rsidRDefault="008433F2" w:rsidP="008433F2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>Trans-boarding areas, multimodal platforms</w:t>
      </w:r>
      <w:r w:rsidR="00E96736">
        <w:rPr>
          <w:lang w:val="en-GB"/>
        </w:rPr>
        <w:t xml:space="preserve">, and other infrastructures necessary for performing the transport operation </w:t>
      </w:r>
      <w:r>
        <w:rPr>
          <w:lang w:val="en-GB"/>
        </w:rPr>
        <w:t xml:space="preserve">are also considered </w:t>
      </w:r>
      <w:r w:rsidR="009D56CA">
        <w:rPr>
          <w:lang w:val="en-GB"/>
        </w:rPr>
        <w:t xml:space="preserve">by </w:t>
      </w:r>
      <w:r>
        <w:rPr>
          <w:lang w:val="en-GB"/>
        </w:rPr>
        <w:t xml:space="preserve">the harmonised framework. </w:t>
      </w:r>
    </w:p>
    <w:p w14:paraId="0E8079D2" w14:textId="64118A6E" w:rsidR="00656145" w:rsidRDefault="007E702F" w:rsidP="00656145">
      <w:pPr>
        <w:pStyle w:val="SingleTxtG"/>
        <w:rPr>
          <w:lang w:val="en-GB"/>
        </w:rPr>
      </w:pPr>
      <w:r>
        <w:rPr>
          <w:lang w:val="en-GB"/>
        </w:rPr>
        <w:t xml:space="preserve">Any interested parties were invited to take part to the developments and were involved since the setting of the framework objectives. </w:t>
      </w:r>
      <w:r w:rsidR="008433F2">
        <w:rPr>
          <w:lang w:val="en-GB"/>
        </w:rPr>
        <w:t>The maintenance of the framework</w:t>
      </w:r>
      <w:r w:rsidR="00E96736">
        <w:rPr>
          <w:lang w:val="en-GB"/>
        </w:rPr>
        <w:t xml:space="preserve"> </w:t>
      </w:r>
      <w:r w:rsidR="009D56CA">
        <w:rPr>
          <w:lang w:val="en-GB"/>
        </w:rPr>
        <w:t xml:space="preserve">itself </w:t>
      </w:r>
      <w:r>
        <w:rPr>
          <w:lang w:val="en-GB"/>
        </w:rPr>
        <w:t xml:space="preserve">will be </w:t>
      </w:r>
      <w:r w:rsidR="00E96736">
        <w:rPr>
          <w:lang w:val="en-GB"/>
        </w:rPr>
        <w:t>described in the framework document.</w:t>
      </w:r>
      <w:r w:rsidR="008433F2">
        <w:rPr>
          <w:lang w:val="en-GB"/>
        </w:rPr>
        <w:t xml:space="preserve"> The </w:t>
      </w:r>
      <w:r w:rsidR="00E96736">
        <w:rPr>
          <w:lang w:val="en-GB"/>
        </w:rPr>
        <w:t>key</w:t>
      </w:r>
      <w:r w:rsidR="008433F2">
        <w:rPr>
          <w:lang w:val="en-GB"/>
        </w:rPr>
        <w:t xml:space="preserve"> objective </w:t>
      </w:r>
      <w:r>
        <w:rPr>
          <w:lang w:val="en-GB"/>
        </w:rPr>
        <w:t xml:space="preserve">will be </w:t>
      </w:r>
      <w:r w:rsidR="008433F2">
        <w:rPr>
          <w:lang w:val="en-GB"/>
        </w:rPr>
        <w:t xml:space="preserve">that the framework is sustainable and can </w:t>
      </w:r>
      <w:r w:rsidR="009D56CA">
        <w:rPr>
          <w:lang w:val="en-GB"/>
        </w:rPr>
        <w:t>continue being</w:t>
      </w:r>
      <w:r w:rsidR="008433F2">
        <w:rPr>
          <w:lang w:val="en-GB"/>
        </w:rPr>
        <w:t xml:space="preserve"> improved</w:t>
      </w:r>
      <w:r w:rsidR="00656145">
        <w:rPr>
          <w:lang w:val="en-GB"/>
        </w:rPr>
        <w:t xml:space="preserve"> in the </w:t>
      </w:r>
      <w:r w:rsidR="009D56CA">
        <w:rPr>
          <w:lang w:val="en-GB"/>
        </w:rPr>
        <w:t>future</w:t>
      </w:r>
      <w:r w:rsidR="00656145">
        <w:rPr>
          <w:lang w:val="en-GB"/>
        </w:rPr>
        <w:t>, in a collaborative manner.</w:t>
      </w:r>
      <w:r w:rsidR="009D56CA" w:rsidRPr="009D56CA">
        <w:rPr>
          <w:lang w:val="en-GB"/>
        </w:rPr>
        <w:t xml:space="preserve"> </w:t>
      </w:r>
    </w:p>
    <w:p w14:paraId="76C60AE3" w14:textId="29D681F0" w:rsidR="009D56CA" w:rsidRDefault="009D56CA" w:rsidP="009D56CA">
      <w:pPr>
        <w:pStyle w:val="SingleTxtG"/>
        <w:rPr>
          <w:lang w:val="en-GB"/>
        </w:rPr>
      </w:pPr>
      <w:r>
        <w:rPr>
          <w:lang w:val="en-GB"/>
        </w:rPr>
        <w:t>In accordance with the conclusion of the 10</w:t>
      </w:r>
      <w:r w:rsidRPr="00656145">
        <w:rPr>
          <w:vertAlign w:val="superscript"/>
          <w:lang w:val="en-GB"/>
        </w:rPr>
        <w:t>th</w:t>
      </w:r>
      <w:r>
        <w:rPr>
          <w:lang w:val="en-GB"/>
        </w:rPr>
        <w:t xml:space="preserve"> workshop, it was proposed that maintenance and continuous improvement of the framework should continue being </w:t>
      </w:r>
      <w:r w:rsidR="007E702F">
        <w:rPr>
          <w:lang w:val="en-GB"/>
        </w:rPr>
        <w:t>steered</w:t>
      </w:r>
      <w:r>
        <w:rPr>
          <w:lang w:val="en-GB"/>
        </w:rPr>
        <w:t xml:space="preserve"> in the future by an Agency standing group of expert users in collaboration with the Joint Meeting.</w:t>
      </w:r>
    </w:p>
    <w:p w14:paraId="71CE2A5A" w14:textId="13BBAED2" w:rsidR="00656145" w:rsidRDefault="009D56CA" w:rsidP="00656145">
      <w:pPr>
        <w:pStyle w:val="SingleTxtG"/>
        <w:rPr>
          <w:lang w:val="en-GB"/>
        </w:rPr>
      </w:pPr>
      <w:r>
        <w:rPr>
          <w:lang w:val="en-GB"/>
        </w:rPr>
        <w:t xml:space="preserve">A review of the current framework achievements led the </w:t>
      </w:r>
      <w:r w:rsidR="00656145">
        <w:rPr>
          <w:lang w:val="en-GB"/>
        </w:rPr>
        <w:t>participants to the</w:t>
      </w:r>
      <w:r>
        <w:rPr>
          <w:lang w:val="en-GB"/>
        </w:rPr>
        <w:t xml:space="preserve"> 9</w:t>
      </w:r>
      <w:r w:rsidRPr="009D56CA">
        <w:rPr>
          <w:vertAlign w:val="superscript"/>
          <w:lang w:val="en-GB"/>
        </w:rPr>
        <w:t>th</w:t>
      </w:r>
      <w:r>
        <w:rPr>
          <w:lang w:val="en-GB"/>
        </w:rPr>
        <w:t xml:space="preserve"> workshop </w:t>
      </w:r>
      <w:r w:rsidR="00656145">
        <w:rPr>
          <w:lang w:val="en-GB"/>
        </w:rPr>
        <w:t>assess</w:t>
      </w:r>
      <w:r>
        <w:rPr>
          <w:lang w:val="en-GB"/>
        </w:rPr>
        <w:t>ed</w:t>
      </w:r>
      <w:r w:rsidR="00656145">
        <w:rPr>
          <w:lang w:val="en-GB"/>
        </w:rPr>
        <w:t xml:space="preserve"> that the framework of guide </w:t>
      </w:r>
      <w:r>
        <w:rPr>
          <w:lang w:val="en-GB"/>
        </w:rPr>
        <w:t xml:space="preserve">will have </w:t>
      </w:r>
      <w:r w:rsidR="00656145">
        <w:rPr>
          <w:lang w:val="en-GB"/>
        </w:rPr>
        <w:t>the potential to solve most of the issues</w:t>
      </w:r>
      <w:r>
        <w:rPr>
          <w:lang w:val="en-GB"/>
        </w:rPr>
        <w:t xml:space="preserve"> initially identified and reported </w:t>
      </w:r>
      <w:r w:rsidR="00256FA8">
        <w:rPr>
          <w:lang w:val="en-GB"/>
        </w:rPr>
        <w:t>in annex of the document “</w:t>
      </w:r>
      <w:r w:rsidR="00256FA8" w:rsidRPr="00256FA8">
        <w:rPr>
          <w:lang w:val="en-GB"/>
        </w:rPr>
        <w:t>Roadmap on risk management in the context of inland transport of dangerous goods</w:t>
      </w:r>
      <w:r w:rsidR="00256FA8">
        <w:rPr>
          <w:lang w:val="en-GB"/>
        </w:rPr>
        <w:t>”</w:t>
      </w:r>
      <w:r w:rsidR="00256FA8">
        <w:rPr>
          <w:rStyle w:val="FootnoteReference"/>
          <w:lang w:val="en-GB"/>
        </w:rPr>
        <w:footnoteReference w:id="3"/>
      </w:r>
      <w:r>
        <w:rPr>
          <w:lang w:val="en-GB"/>
        </w:rPr>
        <w:t>.</w:t>
      </w:r>
    </w:p>
    <w:p w14:paraId="484DECEB" w14:textId="77777777" w:rsidR="00DC634C" w:rsidRPr="00F5634F" w:rsidRDefault="00DC634C" w:rsidP="00DC634C">
      <w:pPr>
        <w:pStyle w:val="HChG"/>
      </w:pPr>
      <w:r>
        <w:tab/>
      </w:r>
      <w:r>
        <w:tab/>
      </w:r>
      <w:r>
        <w:rPr>
          <w:lang w:val="en-GB"/>
        </w:rPr>
        <w:t>Guide on risk estimations</w:t>
      </w:r>
    </w:p>
    <w:p w14:paraId="7086D91F" w14:textId="32CEDD75" w:rsidR="00D54567" w:rsidRDefault="008850EA" w:rsidP="00121E05">
      <w:pPr>
        <w:pStyle w:val="SingleTxtG"/>
        <w:rPr>
          <w:lang w:val="en-GB"/>
        </w:rPr>
      </w:pPr>
      <w:r>
        <w:rPr>
          <w:lang w:val="en-GB"/>
        </w:rPr>
        <w:t xml:space="preserve">The guide on risk estimation </w:t>
      </w:r>
      <w:r w:rsidR="00F5279F">
        <w:rPr>
          <w:lang w:val="en-GB"/>
        </w:rPr>
        <w:t>will be</w:t>
      </w:r>
      <w:r>
        <w:rPr>
          <w:lang w:val="en-GB"/>
        </w:rPr>
        <w:t xml:space="preserve"> fully </w:t>
      </w:r>
      <w:r w:rsidR="00D729FB">
        <w:rPr>
          <w:lang w:val="en-GB"/>
        </w:rPr>
        <w:t>compatible</w:t>
      </w:r>
      <w:r>
        <w:rPr>
          <w:lang w:val="en-GB"/>
        </w:rPr>
        <w:t xml:space="preserve"> with </w:t>
      </w:r>
      <w:r w:rsidR="009C414B">
        <w:rPr>
          <w:lang w:val="en-GB"/>
        </w:rPr>
        <w:t xml:space="preserve">the </w:t>
      </w:r>
      <w:r w:rsidR="00907224">
        <w:rPr>
          <w:lang w:val="en-GB"/>
        </w:rPr>
        <w:t>guideline</w:t>
      </w:r>
      <w:r w:rsidR="006F1CD0">
        <w:rPr>
          <w:lang w:val="en-GB"/>
        </w:rPr>
        <w:t>s</w:t>
      </w:r>
      <w:r w:rsidR="00321A87" w:rsidRPr="00321A87">
        <w:rPr>
          <w:rStyle w:val="FootnoteReference"/>
          <w:i/>
          <w:lang w:val="en-GB"/>
        </w:rPr>
        <w:footnoteReference w:id="4"/>
      </w:r>
      <w:r w:rsidR="00321A87">
        <w:rPr>
          <w:lang w:val="en-GB"/>
        </w:rPr>
        <w:t xml:space="preserve"> </w:t>
      </w:r>
      <w:r w:rsidR="006F1CD0">
        <w:rPr>
          <w:lang w:val="en-GB"/>
        </w:rPr>
        <w:t xml:space="preserve"> </w:t>
      </w:r>
      <w:r w:rsidR="00321A87">
        <w:rPr>
          <w:lang w:val="en-GB"/>
        </w:rPr>
        <w:t>“</w:t>
      </w:r>
      <w:r w:rsidR="00321A87" w:rsidRPr="00321A87">
        <w:rPr>
          <w:i/>
        </w:rPr>
        <w:t>General Guideline for the Calculation of Risks</w:t>
      </w:r>
      <w:r w:rsidR="00321A87" w:rsidRPr="00321A87">
        <w:rPr>
          <w:i/>
          <w:lang w:val="en-GB"/>
        </w:rPr>
        <w:t xml:space="preserve"> </w:t>
      </w:r>
      <w:r w:rsidR="00321A87" w:rsidRPr="00321A87">
        <w:rPr>
          <w:i/>
        </w:rPr>
        <w:t xml:space="preserve">in the Transport of Dangerous Goods </w:t>
      </w:r>
      <w:r w:rsidR="0021082E">
        <w:rPr>
          <w:i/>
          <w:lang w:val="en-GB"/>
        </w:rPr>
        <w:t>[</w:t>
      </w:r>
      <w:r w:rsidR="00321A87" w:rsidRPr="00321A87">
        <w:rPr>
          <w:i/>
        </w:rPr>
        <w:t xml:space="preserve">by </w:t>
      </w:r>
      <w:r w:rsidR="00321A87" w:rsidRPr="00321A87">
        <w:rPr>
          <w:i/>
          <w:lang w:val="en-GB"/>
        </w:rPr>
        <w:t>Rail</w:t>
      </w:r>
      <w:r w:rsidR="0021082E">
        <w:rPr>
          <w:i/>
          <w:lang w:val="en-GB"/>
        </w:rPr>
        <w:t>]</w:t>
      </w:r>
      <w:r w:rsidR="00FE232B">
        <w:rPr>
          <w:i/>
          <w:lang w:val="en-GB"/>
        </w:rPr>
        <w:t xml:space="preserve"> </w:t>
      </w:r>
      <w:r w:rsidR="0021082E">
        <w:rPr>
          <w:i/>
          <w:lang w:val="en-GB"/>
        </w:rPr>
        <w:t>[</w:t>
      </w:r>
      <w:r w:rsidR="00321A87" w:rsidRPr="00321A87">
        <w:rPr>
          <w:i/>
          <w:lang w:val="en-GB"/>
        </w:rPr>
        <w:t>by Road</w:t>
      </w:r>
      <w:r w:rsidR="0021082E">
        <w:rPr>
          <w:i/>
          <w:lang w:val="en-GB"/>
        </w:rPr>
        <w:t>]</w:t>
      </w:r>
      <w:r w:rsidR="00321A87" w:rsidRPr="00321A87">
        <w:rPr>
          <w:i/>
          <w:lang w:val="en-GB"/>
        </w:rPr>
        <w:t xml:space="preserve"> - </w:t>
      </w:r>
      <w:r w:rsidR="00321A87" w:rsidRPr="00321A87">
        <w:rPr>
          <w:i/>
        </w:rPr>
        <w:t xml:space="preserve">An introduction to the basic principles of risk assessment for chapter 1.9 </w:t>
      </w:r>
      <w:r w:rsidR="0021082E">
        <w:rPr>
          <w:i/>
          <w:lang w:val="en-GB"/>
        </w:rPr>
        <w:t>[</w:t>
      </w:r>
      <w:r w:rsidR="0021082E" w:rsidRPr="0021082E">
        <w:rPr>
          <w:i/>
          <w:lang w:val="en-GB"/>
        </w:rPr>
        <w:t>RID</w:t>
      </w:r>
      <w:r w:rsidR="0021082E">
        <w:rPr>
          <w:i/>
          <w:lang w:val="en-GB"/>
        </w:rPr>
        <w:t>] [ADR]</w:t>
      </w:r>
      <w:r w:rsidR="00321A87">
        <w:rPr>
          <w:lang w:val="en-GB"/>
        </w:rPr>
        <w:t>”,</w:t>
      </w:r>
      <w:r w:rsidR="00321A87" w:rsidRPr="006F1CD0">
        <w:rPr>
          <w:lang w:val="en-GB"/>
        </w:rPr>
        <w:t xml:space="preserve"> </w:t>
      </w:r>
      <w:r w:rsidR="00321A87">
        <w:rPr>
          <w:lang w:val="en-GB"/>
        </w:rPr>
        <w:t>adopted</w:t>
      </w:r>
      <w:r w:rsidR="00FE232B">
        <w:rPr>
          <w:lang w:val="en-GB"/>
        </w:rPr>
        <w:t xml:space="preserve"> </w:t>
      </w:r>
      <w:r w:rsidR="00321A87">
        <w:rPr>
          <w:lang w:val="en-GB"/>
        </w:rPr>
        <w:t xml:space="preserve">respectively in 2006 by </w:t>
      </w:r>
      <w:r w:rsidR="009C414B">
        <w:rPr>
          <w:lang w:val="en-GB"/>
        </w:rPr>
        <w:t xml:space="preserve">the </w:t>
      </w:r>
      <w:r w:rsidR="00321A87">
        <w:rPr>
          <w:lang w:val="en-GB"/>
        </w:rPr>
        <w:t>RID Committee of Experts and in 2008 by the Working Party on Transport of Dangerous Goods</w:t>
      </w:r>
      <w:r w:rsidR="00F5279F">
        <w:rPr>
          <w:lang w:val="en-GB"/>
        </w:rPr>
        <w:t xml:space="preserve">. In </w:t>
      </w:r>
      <w:r w:rsidR="00D729FB">
        <w:rPr>
          <w:lang w:val="en-GB"/>
        </w:rPr>
        <w:t>addition</w:t>
      </w:r>
      <w:r w:rsidR="00F5279F">
        <w:rPr>
          <w:lang w:val="en-GB"/>
        </w:rPr>
        <w:t xml:space="preserve"> </w:t>
      </w:r>
      <w:r w:rsidR="00FE232B">
        <w:rPr>
          <w:lang w:val="en-GB"/>
        </w:rPr>
        <w:t>to these guide</w:t>
      </w:r>
      <w:r w:rsidR="00907224">
        <w:rPr>
          <w:lang w:val="en-GB"/>
        </w:rPr>
        <w:t>line</w:t>
      </w:r>
      <w:r w:rsidR="00FE232B">
        <w:rPr>
          <w:lang w:val="en-GB"/>
        </w:rPr>
        <w:t xml:space="preserve">s introducing the basic principles, </w:t>
      </w:r>
      <w:r w:rsidR="00321A87">
        <w:rPr>
          <w:lang w:val="en-GB"/>
        </w:rPr>
        <w:t>the new guide on risk estimations</w:t>
      </w:r>
      <w:r>
        <w:rPr>
          <w:lang w:val="en-GB"/>
        </w:rPr>
        <w:t xml:space="preserve"> </w:t>
      </w:r>
      <w:r w:rsidR="00F5279F">
        <w:rPr>
          <w:lang w:val="en-GB"/>
        </w:rPr>
        <w:t xml:space="preserve">will provide </w:t>
      </w:r>
      <w:r w:rsidR="00907224">
        <w:rPr>
          <w:lang w:val="en-GB"/>
        </w:rPr>
        <w:t xml:space="preserve">further </w:t>
      </w:r>
      <w:r>
        <w:rPr>
          <w:lang w:val="en-GB"/>
        </w:rPr>
        <w:t xml:space="preserve">detailed </w:t>
      </w:r>
      <w:r w:rsidR="00D729FB">
        <w:rPr>
          <w:lang w:val="en-GB"/>
        </w:rPr>
        <w:t>assistance to the user on how t</w:t>
      </w:r>
      <w:r>
        <w:rPr>
          <w:lang w:val="en-GB"/>
        </w:rPr>
        <w:t>o perform</w:t>
      </w:r>
      <w:r w:rsidR="00D729FB">
        <w:rPr>
          <w:lang w:val="en-GB"/>
        </w:rPr>
        <w:t xml:space="preserve"> – in practice -</w:t>
      </w:r>
      <w:r>
        <w:rPr>
          <w:lang w:val="en-GB"/>
        </w:rPr>
        <w:t xml:space="preserve"> harmonised risk estimations</w:t>
      </w:r>
      <w:r w:rsidR="00D54567">
        <w:rPr>
          <w:lang w:val="en-GB"/>
        </w:rPr>
        <w:t xml:space="preserve">. </w:t>
      </w:r>
    </w:p>
    <w:p w14:paraId="11F6D9A4" w14:textId="4512AB6B" w:rsidR="00FE232B" w:rsidRDefault="00FE232B" w:rsidP="00D54567">
      <w:pPr>
        <w:pStyle w:val="SingleTxtG"/>
        <w:rPr>
          <w:lang w:val="en-GB"/>
        </w:rPr>
      </w:pPr>
      <w:r>
        <w:rPr>
          <w:lang w:val="en-GB"/>
        </w:rPr>
        <w:lastRenderedPageBreak/>
        <w:t xml:space="preserve">The </w:t>
      </w:r>
      <w:r w:rsidR="00907224">
        <w:rPr>
          <w:lang w:val="en-GB"/>
        </w:rPr>
        <w:t xml:space="preserve">new </w:t>
      </w:r>
      <w:r>
        <w:rPr>
          <w:lang w:val="en-GB"/>
        </w:rPr>
        <w:t>guide will cover a - multimodal</w:t>
      </w:r>
      <w:r w:rsidR="0021082E">
        <w:rPr>
          <w:rStyle w:val="FootnoteReference"/>
          <w:lang w:val="en-GB"/>
        </w:rPr>
        <w:footnoteReference w:id="5"/>
      </w:r>
      <w:r>
        <w:rPr>
          <w:lang w:val="en-GB"/>
        </w:rPr>
        <w:t xml:space="preserve"> - harmonised approach to </w:t>
      </w:r>
      <w:r w:rsidR="00D54567">
        <w:rPr>
          <w:lang w:val="en-GB"/>
        </w:rPr>
        <w:t xml:space="preserve">the description of the system studied, the description of the considered risks and a harmonised </w:t>
      </w:r>
      <w:r>
        <w:rPr>
          <w:lang w:val="en-GB"/>
        </w:rPr>
        <w:t xml:space="preserve">method for the </w:t>
      </w:r>
      <w:r w:rsidR="00D54567">
        <w:rPr>
          <w:lang w:val="en-GB"/>
        </w:rPr>
        <w:t>estimation of the risks</w:t>
      </w:r>
      <w:r>
        <w:rPr>
          <w:lang w:val="en-GB"/>
        </w:rPr>
        <w:t xml:space="preserve">. </w:t>
      </w:r>
    </w:p>
    <w:p w14:paraId="00446DBB" w14:textId="6792AAD6" w:rsidR="00D54567" w:rsidRDefault="00FE232B" w:rsidP="00D54567">
      <w:pPr>
        <w:pStyle w:val="SingleTxtG"/>
        <w:rPr>
          <w:lang w:val="en-GB"/>
        </w:rPr>
      </w:pPr>
      <w:r>
        <w:rPr>
          <w:lang w:val="en-GB"/>
        </w:rPr>
        <w:t>The guide will be structured in two parts</w:t>
      </w:r>
      <w:r w:rsidR="00D54567">
        <w:rPr>
          <w:lang w:val="en-GB"/>
        </w:rPr>
        <w:t xml:space="preserve">, as shown in the following diagram. </w:t>
      </w:r>
    </w:p>
    <w:p w14:paraId="5C324EF6" w14:textId="77777777" w:rsidR="00D54567" w:rsidRDefault="00D54567" w:rsidP="00127D3C">
      <w:pPr>
        <w:pStyle w:val="SingleTxtG"/>
        <w:ind w:left="0" w:firstLine="567"/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08752042" wp14:editId="00B0C710">
            <wp:extent cx="4961467" cy="511386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00" cy="51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AF94" w14:textId="17CF2D15" w:rsidR="00AB2988" w:rsidRDefault="00FE232B" w:rsidP="00AB2988">
      <w:pPr>
        <w:pStyle w:val="SingleTxtG"/>
        <w:rPr>
          <w:lang w:val="en-GB"/>
        </w:rPr>
      </w:pPr>
      <w:r>
        <w:rPr>
          <w:lang w:val="en-GB"/>
        </w:rPr>
        <w:t xml:space="preserve">The part A </w:t>
      </w:r>
      <w:r w:rsidR="00AB2988">
        <w:rPr>
          <w:lang w:val="en-GB"/>
        </w:rPr>
        <w:t xml:space="preserve">will </w:t>
      </w:r>
      <w:r>
        <w:rPr>
          <w:lang w:val="en-GB"/>
        </w:rPr>
        <w:t xml:space="preserve">allow the description of the </w:t>
      </w:r>
      <w:r w:rsidR="009C414B">
        <w:rPr>
          <w:lang w:val="en-GB"/>
        </w:rPr>
        <w:t xml:space="preserve">risk </w:t>
      </w:r>
      <w:r w:rsidR="00AB2988">
        <w:rPr>
          <w:lang w:val="en-GB"/>
        </w:rPr>
        <w:t>situation</w:t>
      </w:r>
      <w:r>
        <w:rPr>
          <w:lang w:val="en-GB"/>
        </w:rPr>
        <w:t xml:space="preserve"> studied by the user </w:t>
      </w:r>
      <w:r w:rsidR="00AB2988">
        <w:rPr>
          <w:lang w:val="en-GB"/>
        </w:rPr>
        <w:t>while</w:t>
      </w:r>
      <w:r>
        <w:rPr>
          <w:lang w:val="en-GB"/>
        </w:rPr>
        <w:t xml:space="preserve"> the part</w:t>
      </w:r>
      <w:r w:rsidR="009C414B" w:rsidRPr="009C414B">
        <w:rPr>
          <w:lang w:val="en-GB"/>
        </w:rPr>
        <w:t> </w:t>
      </w:r>
      <w:r>
        <w:rPr>
          <w:lang w:val="en-GB"/>
        </w:rPr>
        <w:t xml:space="preserve">B </w:t>
      </w:r>
      <w:r w:rsidR="00AB2988">
        <w:rPr>
          <w:lang w:val="en-GB"/>
        </w:rPr>
        <w:t xml:space="preserve">will </w:t>
      </w:r>
      <w:r>
        <w:rPr>
          <w:lang w:val="en-GB"/>
        </w:rPr>
        <w:t>explain</w:t>
      </w:r>
      <w:r w:rsidR="00AB2988">
        <w:rPr>
          <w:lang w:val="en-GB"/>
        </w:rPr>
        <w:t xml:space="preserve"> in detail</w:t>
      </w:r>
      <w:r>
        <w:rPr>
          <w:lang w:val="en-GB"/>
        </w:rPr>
        <w:t xml:space="preserve"> how the </w:t>
      </w:r>
      <w:r w:rsidR="009C414B">
        <w:rPr>
          <w:lang w:val="en-GB"/>
        </w:rPr>
        <w:t xml:space="preserve">harmonised </w:t>
      </w:r>
      <w:r>
        <w:rPr>
          <w:lang w:val="en-GB"/>
        </w:rPr>
        <w:t>risk estimation</w:t>
      </w:r>
      <w:r w:rsidR="00AB2988">
        <w:rPr>
          <w:lang w:val="en-GB"/>
        </w:rPr>
        <w:t>s</w:t>
      </w:r>
      <w:r>
        <w:rPr>
          <w:lang w:val="en-GB"/>
        </w:rPr>
        <w:t xml:space="preserve"> are performed. </w:t>
      </w:r>
    </w:p>
    <w:p w14:paraId="16EB415C" w14:textId="132D5740" w:rsidR="00FE232B" w:rsidRDefault="00AB2988" w:rsidP="00D54567">
      <w:pPr>
        <w:pStyle w:val="SingleTxtG"/>
        <w:rPr>
          <w:lang w:val="en-GB"/>
        </w:rPr>
      </w:pPr>
      <w:r>
        <w:rPr>
          <w:lang w:val="en-GB"/>
        </w:rPr>
        <w:t>The guide will provide a method which will be fully compatible with the current – non-harmonised – existing practices</w:t>
      </w:r>
      <w:r w:rsidR="00BA616B" w:rsidRPr="00BA616B">
        <w:rPr>
          <w:lang w:val="en-GB"/>
        </w:rPr>
        <w:t xml:space="preserve"> </w:t>
      </w:r>
      <w:r w:rsidR="00BA616B">
        <w:rPr>
          <w:lang w:val="en-GB"/>
        </w:rPr>
        <w:t>for risk estimations</w:t>
      </w:r>
      <w:r>
        <w:rPr>
          <w:lang w:val="en-GB"/>
        </w:rPr>
        <w:t>. As it will be harmonised, the guide will allow the user</w:t>
      </w:r>
      <w:r w:rsidR="009C414B">
        <w:rPr>
          <w:lang w:val="en-GB"/>
        </w:rPr>
        <w:t>s</w:t>
      </w:r>
      <w:r>
        <w:rPr>
          <w:lang w:val="en-GB"/>
        </w:rPr>
        <w:t xml:space="preserve"> to deliver risk estimations that </w:t>
      </w:r>
      <w:r w:rsidR="007E702F">
        <w:rPr>
          <w:lang w:val="en-GB"/>
        </w:rPr>
        <w:t xml:space="preserve">can be </w:t>
      </w:r>
      <w:r>
        <w:rPr>
          <w:lang w:val="en-GB"/>
        </w:rPr>
        <w:t xml:space="preserve">recognised by interested parties and which can easily be scrutinised. </w:t>
      </w:r>
    </w:p>
    <w:p w14:paraId="6726643E" w14:textId="78470082" w:rsidR="008850EA" w:rsidRDefault="008850EA" w:rsidP="00121E05">
      <w:pPr>
        <w:pStyle w:val="SingleTxtG"/>
        <w:rPr>
          <w:lang w:val="en-GB"/>
        </w:rPr>
      </w:pPr>
      <w:r>
        <w:rPr>
          <w:lang w:val="en-GB"/>
        </w:rPr>
        <w:t>In practice</w:t>
      </w:r>
      <w:r w:rsidR="00907224">
        <w:rPr>
          <w:lang w:val="en-GB"/>
        </w:rPr>
        <w:t>,</w:t>
      </w:r>
      <w:r>
        <w:rPr>
          <w:lang w:val="en-GB"/>
        </w:rPr>
        <w:t xml:space="preserve"> the user of the guide will be able to perform</w:t>
      </w:r>
      <w:r w:rsidR="0092392E">
        <w:rPr>
          <w:lang w:val="en-GB"/>
        </w:rPr>
        <w:t xml:space="preserve"> harmonised risk estimations</w:t>
      </w:r>
      <w:r>
        <w:rPr>
          <w:lang w:val="en-GB"/>
        </w:rPr>
        <w:t xml:space="preserve">, </w:t>
      </w:r>
      <w:r w:rsidR="0092392E">
        <w:rPr>
          <w:lang w:val="en-GB"/>
        </w:rPr>
        <w:t xml:space="preserve">when implementing the following </w:t>
      </w:r>
      <w:r w:rsidR="00237690">
        <w:rPr>
          <w:lang w:val="en-GB"/>
        </w:rPr>
        <w:t xml:space="preserve">harmonised </w:t>
      </w:r>
      <w:r w:rsidR="0092392E">
        <w:rPr>
          <w:lang w:val="en-GB"/>
        </w:rPr>
        <w:t>steps:</w:t>
      </w:r>
    </w:p>
    <w:p w14:paraId="46E08999" w14:textId="0BB6FBCF" w:rsidR="00A120E8" w:rsidRDefault="00EE57F2" w:rsidP="00A120E8">
      <w:pPr>
        <w:pStyle w:val="SingleTxtG"/>
        <w:numPr>
          <w:ilvl w:val="1"/>
          <w:numId w:val="22"/>
        </w:numPr>
        <w:rPr>
          <w:lang w:val="en-GB"/>
        </w:rPr>
      </w:pPr>
      <w:r>
        <w:rPr>
          <w:lang w:val="en-GB"/>
        </w:rPr>
        <w:lastRenderedPageBreak/>
        <w:t>D</w:t>
      </w:r>
      <w:r w:rsidR="00A120E8">
        <w:rPr>
          <w:lang w:val="en-GB"/>
        </w:rPr>
        <w:t>escription of the infrastructure(s) on which are performed the transport operation(s),</w:t>
      </w:r>
    </w:p>
    <w:p w14:paraId="2F0B7BB7" w14:textId="00C5B3C4" w:rsidR="00A120E8" w:rsidRDefault="00EE57F2" w:rsidP="00A120E8">
      <w:pPr>
        <w:pStyle w:val="SingleTxtG"/>
        <w:numPr>
          <w:ilvl w:val="1"/>
          <w:numId w:val="22"/>
        </w:numPr>
        <w:rPr>
          <w:lang w:val="en-GB"/>
        </w:rPr>
      </w:pPr>
      <w:r>
        <w:rPr>
          <w:lang w:val="en-GB"/>
        </w:rPr>
        <w:t>D</w:t>
      </w:r>
      <w:r w:rsidR="00A120E8">
        <w:rPr>
          <w:lang w:val="en-GB"/>
        </w:rPr>
        <w:t>escription of the traffic/operation volumes/characteristics,</w:t>
      </w:r>
    </w:p>
    <w:p w14:paraId="6695D9BE" w14:textId="10DA4F3D" w:rsidR="00A120E8" w:rsidRDefault="00EE57F2" w:rsidP="00A120E8">
      <w:pPr>
        <w:pStyle w:val="SingleTxtG"/>
        <w:numPr>
          <w:ilvl w:val="1"/>
          <w:numId w:val="22"/>
        </w:numPr>
        <w:rPr>
          <w:lang w:val="en-GB"/>
        </w:rPr>
      </w:pPr>
      <w:r>
        <w:rPr>
          <w:lang w:val="en-GB"/>
        </w:rPr>
        <w:t>D</w:t>
      </w:r>
      <w:r w:rsidR="00A120E8">
        <w:rPr>
          <w:lang w:val="en-GB"/>
        </w:rPr>
        <w:t>escription of the vulnerabilities located on, or in the surrounding of, the considered infrastructure(s) for which the risks needs to be estimated.</w:t>
      </w:r>
    </w:p>
    <w:p w14:paraId="1DCF4C0E" w14:textId="77777777" w:rsidR="00A120E8" w:rsidRDefault="0092392E" w:rsidP="0092392E">
      <w:pPr>
        <w:pStyle w:val="SingleTxtG"/>
        <w:rPr>
          <w:lang w:val="en-GB"/>
        </w:rPr>
      </w:pPr>
      <w:r>
        <w:rPr>
          <w:lang w:val="en-GB"/>
        </w:rPr>
        <w:t>Th</w:t>
      </w:r>
      <w:r w:rsidR="00237690">
        <w:rPr>
          <w:lang w:val="en-GB"/>
        </w:rPr>
        <w:t>ese</w:t>
      </w:r>
      <w:r>
        <w:rPr>
          <w:lang w:val="en-GB"/>
        </w:rPr>
        <w:t xml:space="preserve"> step</w:t>
      </w:r>
      <w:r w:rsidR="00237690">
        <w:rPr>
          <w:lang w:val="en-GB"/>
        </w:rPr>
        <w:t>s are</w:t>
      </w:r>
      <w:r>
        <w:rPr>
          <w:lang w:val="en-GB"/>
        </w:rPr>
        <w:t xml:space="preserve"> covered by the part A of the guide and broadly </w:t>
      </w:r>
      <w:r w:rsidR="00455F93">
        <w:rPr>
          <w:lang w:val="en-GB"/>
        </w:rPr>
        <w:t xml:space="preserve">correspond to </w:t>
      </w:r>
      <w:r w:rsidR="007C2E47">
        <w:rPr>
          <w:lang w:val="en-GB"/>
        </w:rPr>
        <w:t xml:space="preserve">the </w:t>
      </w:r>
      <w:r w:rsidR="007C2E47" w:rsidRPr="007C2E47">
        <w:rPr>
          <w:u w:val="single"/>
          <w:lang w:val="en-GB"/>
        </w:rPr>
        <w:t>risk analysis</w:t>
      </w:r>
      <w:r w:rsidR="007C2E47">
        <w:rPr>
          <w:lang w:val="en-GB"/>
        </w:rPr>
        <w:t xml:space="preserve"> part of a given risk situation described in a harmonised way by the user</w:t>
      </w:r>
      <w:r w:rsidR="00455F93">
        <w:rPr>
          <w:lang w:val="en-GB"/>
        </w:rPr>
        <w:t>.</w:t>
      </w:r>
    </w:p>
    <w:p w14:paraId="34A57C7E" w14:textId="77777777" w:rsidR="00455F93" w:rsidRDefault="007C2E47" w:rsidP="0092392E">
      <w:pPr>
        <w:pStyle w:val="SingleTxtG"/>
        <w:rPr>
          <w:lang w:val="en-GB"/>
        </w:rPr>
      </w:pPr>
      <w:r>
        <w:rPr>
          <w:lang w:val="en-GB"/>
        </w:rPr>
        <w:t xml:space="preserve">The </w:t>
      </w:r>
      <w:r w:rsidR="00455F93">
        <w:rPr>
          <w:lang w:val="en-GB"/>
        </w:rPr>
        <w:t>part B of the guide</w:t>
      </w:r>
      <w:r>
        <w:rPr>
          <w:lang w:val="en-GB"/>
        </w:rPr>
        <w:t xml:space="preserve"> will explain </w:t>
      </w:r>
      <w:r w:rsidR="00455F93">
        <w:rPr>
          <w:lang w:val="en-GB"/>
        </w:rPr>
        <w:t xml:space="preserve">the process of </w:t>
      </w:r>
      <w:r w:rsidR="00455F93" w:rsidRPr="007C2E47">
        <w:rPr>
          <w:u w:val="single"/>
          <w:lang w:val="en-GB"/>
        </w:rPr>
        <w:t>risk estimation</w:t>
      </w:r>
      <w:r>
        <w:rPr>
          <w:lang w:val="en-GB"/>
        </w:rPr>
        <w:t xml:space="preserve"> which uses </w:t>
      </w:r>
      <w:r w:rsidR="00455F93">
        <w:rPr>
          <w:lang w:val="en-GB"/>
        </w:rPr>
        <w:t xml:space="preserve">the description </w:t>
      </w:r>
      <w:r>
        <w:rPr>
          <w:lang w:val="en-GB"/>
        </w:rPr>
        <w:t xml:space="preserve">made by the user </w:t>
      </w:r>
      <w:r w:rsidR="00455F93">
        <w:rPr>
          <w:lang w:val="en-GB"/>
        </w:rPr>
        <w:t xml:space="preserve">of the risk </w:t>
      </w:r>
      <w:r>
        <w:rPr>
          <w:lang w:val="en-GB"/>
        </w:rPr>
        <w:t>analysis inputs</w:t>
      </w:r>
      <w:r w:rsidR="00455F93">
        <w:rPr>
          <w:lang w:val="en-GB"/>
        </w:rPr>
        <w:t xml:space="preserve">. </w:t>
      </w:r>
    </w:p>
    <w:p w14:paraId="159D4602" w14:textId="0A86C1D7" w:rsidR="00AB2988" w:rsidRDefault="00AB2988" w:rsidP="00AB2988">
      <w:pPr>
        <w:pStyle w:val="SingleTxtG"/>
        <w:rPr>
          <w:lang w:val="en-GB"/>
        </w:rPr>
      </w:pPr>
      <w:r>
        <w:rPr>
          <w:lang w:val="en-GB"/>
        </w:rPr>
        <w:t>As in the former guide</w:t>
      </w:r>
      <w:r w:rsidR="00907224">
        <w:rPr>
          <w:lang w:val="en-GB"/>
        </w:rPr>
        <w:t>line</w:t>
      </w:r>
      <w:r>
        <w:rPr>
          <w:lang w:val="en-GB"/>
        </w:rPr>
        <w:t xml:space="preserve">s, the new guide considers that the risks are defined as being the combination of the </w:t>
      </w:r>
      <w:r w:rsidR="00907224">
        <w:rPr>
          <w:lang w:val="en-GB"/>
        </w:rPr>
        <w:t xml:space="preserve">probability </w:t>
      </w:r>
      <w:r>
        <w:rPr>
          <w:lang w:val="en-GB"/>
        </w:rPr>
        <w:t xml:space="preserve">of harms </w:t>
      </w:r>
      <w:r w:rsidR="00907224">
        <w:rPr>
          <w:lang w:val="en-GB"/>
        </w:rPr>
        <w:t xml:space="preserve">(in practice, </w:t>
      </w:r>
      <w:r w:rsidR="007E702F">
        <w:rPr>
          <w:lang w:val="en-GB"/>
        </w:rPr>
        <w:t xml:space="preserve">the </w:t>
      </w:r>
      <w:r w:rsidR="00907224">
        <w:rPr>
          <w:lang w:val="en-GB"/>
        </w:rPr>
        <w:t xml:space="preserve">frequency) </w:t>
      </w:r>
      <w:r>
        <w:rPr>
          <w:lang w:val="en-GB"/>
        </w:rPr>
        <w:t>with the intensity of th</w:t>
      </w:r>
      <w:r w:rsidR="007E702F">
        <w:rPr>
          <w:lang w:val="en-GB"/>
        </w:rPr>
        <w:t>ese</w:t>
      </w:r>
      <w:r>
        <w:rPr>
          <w:lang w:val="en-GB"/>
        </w:rPr>
        <w:t xml:space="preserve"> harms (impacts).</w:t>
      </w:r>
    </w:p>
    <w:p w14:paraId="4BA5CB95" w14:textId="77777777" w:rsidR="00455F93" w:rsidRDefault="00455F93" w:rsidP="0092392E">
      <w:pPr>
        <w:pStyle w:val="SingleTxtG"/>
        <w:rPr>
          <w:lang w:val="en-GB"/>
        </w:rPr>
      </w:pPr>
      <w:r>
        <w:rPr>
          <w:lang w:val="en-GB"/>
        </w:rPr>
        <w:t>In detail, the</w:t>
      </w:r>
      <w:r w:rsidR="00237690">
        <w:rPr>
          <w:lang w:val="en-GB"/>
        </w:rPr>
        <w:t xml:space="preserve"> following</w:t>
      </w:r>
      <w:r>
        <w:rPr>
          <w:lang w:val="en-GB"/>
        </w:rPr>
        <w:t xml:space="preserve"> risk estimation steps are </w:t>
      </w:r>
      <w:r w:rsidR="00127D3C">
        <w:rPr>
          <w:lang w:val="en-GB"/>
        </w:rPr>
        <w:t xml:space="preserve">performed to obtain the risk </w:t>
      </w:r>
      <w:r w:rsidR="00237690">
        <w:rPr>
          <w:lang w:val="en-GB"/>
        </w:rPr>
        <w:t>estimation results</w:t>
      </w:r>
      <w:r>
        <w:rPr>
          <w:lang w:val="en-GB"/>
        </w:rPr>
        <w:t>:</w:t>
      </w:r>
    </w:p>
    <w:p w14:paraId="327FFCDB" w14:textId="77777777" w:rsidR="00455F93" w:rsidRDefault="00E819C4" w:rsidP="00127D3C">
      <w:pPr>
        <w:pStyle w:val="SingleTxtG"/>
        <w:ind w:left="0" w:right="0"/>
        <w:jc w:val="center"/>
        <w:rPr>
          <w:lang w:val="en-GB"/>
        </w:rPr>
      </w:pPr>
      <w:r>
        <w:object w:dxaOrig="15468" w:dyaOrig="10704" w14:anchorId="4705E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60.25pt" o:ole="">
            <v:imagedata r:id="rId16" o:title=""/>
          </v:shape>
          <o:OLEObject Type="Embed" ProgID="Visio.Drawing.15" ShapeID="_x0000_i1025" DrawAspect="Content" ObjectID="_1562586412" r:id="rId17"/>
        </w:object>
      </w:r>
    </w:p>
    <w:p w14:paraId="73141C59" w14:textId="77777777" w:rsidR="00127D3C" w:rsidRPr="00C01CD0" w:rsidRDefault="00127D3C" w:rsidP="00127D3C">
      <w:pPr>
        <w:pStyle w:val="SingleTxtG"/>
        <w:jc w:val="center"/>
        <w:rPr>
          <w:i/>
          <w:lang w:val="en-GB"/>
        </w:rPr>
      </w:pPr>
      <w:r>
        <w:rPr>
          <w:i/>
          <w:lang w:val="en-GB"/>
        </w:rPr>
        <w:t xml:space="preserve">Detailed risk estimation </w:t>
      </w:r>
      <w:r w:rsidR="00F4342B">
        <w:rPr>
          <w:i/>
          <w:lang w:val="en-GB"/>
        </w:rPr>
        <w:t>workflow</w:t>
      </w:r>
    </w:p>
    <w:p w14:paraId="65906469" w14:textId="77777777" w:rsidR="00A120E8" w:rsidRDefault="00A120E8" w:rsidP="00A120E8">
      <w:pPr>
        <w:pStyle w:val="SingleTxtG"/>
        <w:ind w:left="2214"/>
        <w:rPr>
          <w:lang w:val="en-GB"/>
        </w:rPr>
      </w:pPr>
    </w:p>
    <w:p w14:paraId="6F690781" w14:textId="77777777" w:rsidR="00455F93" w:rsidRDefault="00F4342B" w:rsidP="00A120E8">
      <w:pPr>
        <w:pStyle w:val="SingleTxtG"/>
        <w:rPr>
          <w:lang w:val="en-GB"/>
        </w:rPr>
      </w:pPr>
      <w:r>
        <w:rPr>
          <w:lang w:val="en-GB"/>
        </w:rPr>
        <w:t>The r</w:t>
      </w:r>
      <w:r w:rsidR="00455F93">
        <w:rPr>
          <w:lang w:val="en-GB"/>
        </w:rPr>
        <w:t xml:space="preserve">isk estimation </w:t>
      </w:r>
      <w:r>
        <w:rPr>
          <w:lang w:val="en-GB"/>
        </w:rPr>
        <w:t>workflow</w:t>
      </w:r>
      <w:r w:rsidR="00455F93">
        <w:rPr>
          <w:lang w:val="en-GB"/>
        </w:rPr>
        <w:t xml:space="preserve"> </w:t>
      </w:r>
      <w:r w:rsidR="007C2E47">
        <w:rPr>
          <w:lang w:val="en-GB"/>
        </w:rPr>
        <w:t>described in</w:t>
      </w:r>
      <w:r w:rsidR="00455F93">
        <w:rPr>
          <w:lang w:val="en-GB"/>
        </w:rPr>
        <w:t xml:space="preserve"> the </w:t>
      </w:r>
      <w:r w:rsidR="007C2E47">
        <w:rPr>
          <w:lang w:val="en-GB"/>
        </w:rPr>
        <w:t xml:space="preserve">above </w:t>
      </w:r>
      <w:r w:rsidR="00455F93">
        <w:rPr>
          <w:lang w:val="en-GB"/>
        </w:rPr>
        <w:t xml:space="preserve">diagram will result in </w:t>
      </w:r>
      <w:r>
        <w:rPr>
          <w:lang w:val="en-GB"/>
        </w:rPr>
        <w:t xml:space="preserve">– by default – risk estimation results, most of the steps being </w:t>
      </w:r>
      <w:r w:rsidR="007C2E47">
        <w:rPr>
          <w:lang w:val="en-GB"/>
        </w:rPr>
        <w:t xml:space="preserve">potentially </w:t>
      </w:r>
      <w:r w:rsidR="00455F93">
        <w:rPr>
          <w:lang w:val="en-GB"/>
        </w:rPr>
        <w:t xml:space="preserve">corrected </w:t>
      </w:r>
      <w:r w:rsidR="007C2E47">
        <w:rPr>
          <w:lang w:val="en-GB"/>
        </w:rPr>
        <w:t>by the user</w:t>
      </w:r>
      <w:r w:rsidR="00127D3C">
        <w:rPr>
          <w:lang w:val="en-GB"/>
        </w:rPr>
        <w:t xml:space="preserve">, </w:t>
      </w:r>
      <w:r>
        <w:rPr>
          <w:lang w:val="en-GB"/>
        </w:rPr>
        <w:t>when</w:t>
      </w:r>
      <w:r w:rsidR="007C2E47">
        <w:rPr>
          <w:lang w:val="en-GB"/>
        </w:rPr>
        <w:t xml:space="preserve"> justified</w:t>
      </w:r>
      <w:r w:rsidR="00455F93">
        <w:rPr>
          <w:lang w:val="en-GB"/>
        </w:rPr>
        <w:t xml:space="preserve">. </w:t>
      </w:r>
    </w:p>
    <w:p w14:paraId="2B51C744" w14:textId="5E8CBE8E" w:rsidR="00455F93" w:rsidRDefault="00455F93" w:rsidP="00A120E8">
      <w:pPr>
        <w:pStyle w:val="SingleTxtG"/>
        <w:rPr>
          <w:lang w:val="en-GB"/>
        </w:rPr>
      </w:pPr>
      <w:r>
        <w:rPr>
          <w:lang w:val="en-GB"/>
        </w:rPr>
        <w:t>The possibil</w:t>
      </w:r>
      <w:r w:rsidR="007E702F">
        <w:rPr>
          <w:lang w:val="en-GB"/>
        </w:rPr>
        <w:t>ity to perform both ‘by default’</w:t>
      </w:r>
      <w:r>
        <w:rPr>
          <w:lang w:val="en-GB"/>
        </w:rPr>
        <w:t xml:space="preserve"> or </w:t>
      </w:r>
      <w:r w:rsidR="007E702F">
        <w:rPr>
          <w:lang w:val="en-GB"/>
        </w:rPr>
        <w:t>‘</w:t>
      </w:r>
      <w:r>
        <w:rPr>
          <w:lang w:val="en-GB"/>
        </w:rPr>
        <w:t>user-corrected</w:t>
      </w:r>
      <w:r w:rsidR="007E702F">
        <w:rPr>
          <w:lang w:val="en-GB"/>
        </w:rPr>
        <w:t>’</w:t>
      </w:r>
      <w:r>
        <w:rPr>
          <w:lang w:val="en-GB"/>
        </w:rPr>
        <w:t xml:space="preserve"> estimations will allow </w:t>
      </w:r>
      <w:r w:rsidR="00EE57F2">
        <w:rPr>
          <w:lang w:val="en-GB"/>
        </w:rPr>
        <w:t>substantial</w:t>
      </w:r>
      <w:r>
        <w:rPr>
          <w:lang w:val="en-GB"/>
        </w:rPr>
        <w:t xml:space="preserve"> flexibility </w:t>
      </w:r>
      <w:r w:rsidR="00EE57F2">
        <w:rPr>
          <w:lang w:val="en-GB"/>
        </w:rPr>
        <w:t>of</w:t>
      </w:r>
      <w:r>
        <w:rPr>
          <w:lang w:val="en-GB"/>
        </w:rPr>
        <w:t xml:space="preserve"> the entire risk management framework. For example:</w:t>
      </w:r>
    </w:p>
    <w:p w14:paraId="7B5648A7" w14:textId="77777777" w:rsidR="00455F93" w:rsidRDefault="00455F93" w:rsidP="00455F93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It </w:t>
      </w:r>
      <w:r w:rsidR="00127D3C">
        <w:rPr>
          <w:lang w:val="en-GB"/>
        </w:rPr>
        <w:t xml:space="preserve">will </w:t>
      </w:r>
      <w:r>
        <w:rPr>
          <w:lang w:val="en-GB"/>
        </w:rPr>
        <w:t>allow non-expert user to obtain easily a quick risk estimation,</w:t>
      </w:r>
    </w:p>
    <w:p w14:paraId="382E1D6A" w14:textId="7DCC9C29" w:rsidR="00455F93" w:rsidRDefault="00455F93" w:rsidP="00455F93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It </w:t>
      </w:r>
      <w:r w:rsidR="00127D3C">
        <w:rPr>
          <w:lang w:val="en-GB"/>
        </w:rPr>
        <w:t>will allow</w:t>
      </w:r>
      <w:r>
        <w:rPr>
          <w:lang w:val="en-GB"/>
        </w:rPr>
        <w:t xml:space="preserve"> expert users to correct the default settings of the model and to obtain more accurate estimation of the risks</w:t>
      </w:r>
      <w:r w:rsidR="00127D3C">
        <w:rPr>
          <w:lang w:val="en-GB"/>
        </w:rPr>
        <w:t xml:space="preserve"> </w:t>
      </w:r>
      <w:r w:rsidR="007E702F">
        <w:rPr>
          <w:lang w:val="en-GB"/>
        </w:rPr>
        <w:t>for</w:t>
      </w:r>
      <w:r w:rsidR="00127D3C">
        <w:rPr>
          <w:lang w:val="en-GB"/>
        </w:rPr>
        <w:t xml:space="preserve"> specific situations</w:t>
      </w:r>
      <w:r>
        <w:rPr>
          <w:lang w:val="en-GB"/>
        </w:rPr>
        <w:t>,</w:t>
      </w:r>
    </w:p>
    <w:p w14:paraId="5C2B30F7" w14:textId="77777777" w:rsidR="00127D3C" w:rsidRDefault="00455F93" w:rsidP="00455F93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It </w:t>
      </w:r>
      <w:r w:rsidR="00127D3C">
        <w:rPr>
          <w:lang w:val="en-GB"/>
        </w:rPr>
        <w:t xml:space="preserve">will </w:t>
      </w:r>
      <w:r>
        <w:rPr>
          <w:lang w:val="en-GB"/>
        </w:rPr>
        <w:t>allow to model the effect of risk control measures</w:t>
      </w:r>
      <w:r w:rsidR="00127D3C">
        <w:rPr>
          <w:lang w:val="en-GB"/>
        </w:rPr>
        <w:t xml:space="preserve"> on the risk estimates,</w:t>
      </w:r>
    </w:p>
    <w:p w14:paraId="00025C2F" w14:textId="77777777" w:rsidR="00455F93" w:rsidRDefault="00127D3C" w:rsidP="00455F93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lastRenderedPageBreak/>
        <w:t>It will allows regional calibrations of the risk estimations</w:t>
      </w:r>
      <w:r w:rsidR="00455F93">
        <w:rPr>
          <w:lang w:val="en-GB"/>
        </w:rPr>
        <w:t>.</w:t>
      </w:r>
    </w:p>
    <w:p w14:paraId="7597327D" w14:textId="74122FF0" w:rsidR="007C2E47" w:rsidRDefault="007C2E47" w:rsidP="00455F93">
      <w:pPr>
        <w:pStyle w:val="SingleTxtG"/>
        <w:rPr>
          <w:lang w:val="en-GB"/>
        </w:rPr>
      </w:pPr>
      <w:r>
        <w:rPr>
          <w:lang w:val="en-GB"/>
        </w:rPr>
        <w:t>The justification</w:t>
      </w:r>
      <w:r w:rsidR="00DD1676">
        <w:rPr>
          <w:lang w:val="en-GB"/>
        </w:rPr>
        <w:t>s</w:t>
      </w:r>
      <w:r>
        <w:rPr>
          <w:lang w:val="en-GB"/>
        </w:rPr>
        <w:t xml:space="preserve"> of user corrections will allow the user to provide transparent and recognised risk estimations results and </w:t>
      </w:r>
      <w:r w:rsidR="00F4342B">
        <w:rPr>
          <w:lang w:val="en-GB"/>
        </w:rPr>
        <w:t xml:space="preserve">to </w:t>
      </w:r>
      <w:r>
        <w:rPr>
          <w:lang w:val="en-GB"/>
        </w:rPr>
        <w:t>allow scrutiny by interested parties.</w:t>
      </w:r>
    </w:p>
    <w:p w14:paraId="6D1FC69F" w14:textId="77777777" w:rsidR="009C414B" w:rsidRDefault="009C414B" w:rsidP="009C414B">
      <w:pPr>
        <w:pStyle w:val="SingleTxtG"/>
        <w:rPr>
          <w:lang w:val="en-GB"/>
        </w:rPr>
      </w:pPr>
      <w:r>
        <w:rPr>
          <w:lang w:val="en-GB"/>
        </w:rPr>
        <w:t>Combined in the risk management framework, the risk estimation results may be directly used as input to the guide on risk management and decision-making.</w:t>
      </w:r>
    </w:p>
    <w:p w14:paraId="6D49F4ED" w14:textId="77777777" w:rsidR="007C2E47" w:rsidRPr="007C2E47" w:rsidRDefault="007C2E47" w:rsidP="00455F93">
      <w:pPr>
        <w:pStyle w:val="SingleTxtG"/>
        <w:rPr>
          <w:b/>
          <w:i/>
          <w:lang w:val="en-GB"/>
        </w:rPr>
      </w:pPr>
      <w:r w:rsidRPr="007C2E47">
        <w:rPr>
          <w:b/>
          <w:i/>
          <w:lang w:val="en-GB"/>
        </w:rPr>
        <w:t>Important remark on the Risk estimation guide:</w:t>
      </w:r>
    </w:p>
    <w:p w14:paraId="06F79F87" w14:textId="7429DDDB" w:rsidR="009C414B" w:rsidRDefault="009C414B" w:rsidP="003F6429">
      <w:pPr>
        <w:pStyle w:val="SingleTxtG"/>
        <w:rPr>
          <w:lang w:val="en-GB"/>
        </w:rPr>
      </w:pPr>
      <w:r>
        <w:rPr>
          <w:lang w:val="en-GB"/>
        </w:rPr>
        <w:t xml:space="preserve">The guides will introduce simple tools to assist the user in the implementation of the harmonised method however these tools should only be considered as a first step towards a more </w:t>
      </w:r>
      <w:r>
        <w:rPr>
          <w:lang w:val="en-GB"/>
        </w:rPr>
        <w:noBreakHyphen/>
        <w:t xml:space="preserve">professional- IT assistance. </w:t>
      </w:r>
    </w:p>
    <w:p w14:paraId="494615CB" w14:textId="28F9D22C" w:rsidR="003F6429" w:rsidRDefault="003F6429" w:rsidP="003F6429">
      <w:pPr>
        <w:pStyle w:val="SingleTxtG"/>
        <w:rPr>
          <w:lang w:val="en-GB"/>
        </w:rPr>
      </w:pPr>
      <w:r>
        <w:rPr>
          <w:lang w:val="en-GB"/>
        </w:rPr>
        <w:t xml:space="preserve">While a considerable progress </w:t>
      </w:r>
      <w:r w:rsidR="007C2E47">
        <w:rPr>
          <w:lang w:val="en-GB"/>
        </w:rPr>
        <w:t>will be reach</w:t>
      </w:r>
      <w:r w:rsidR="00EE57F2">
        <w:rPr>
          <w:lang w:val="en-GB"/>
        </w:rPr>
        <w:t>ed</w:t>
      </w:r>
      <w:r w:rsidR="007C2E47">
        <w:rPr>
          <w:lang w:val="en-GB"/>
        </w:rPr>
        <w:t xml:space="preserve"> with th</w:t>
      </w:r>
      <w:r w:rsidR="00907224">
        <w:rPr>
          <w:lang w:val="en-GB"/>
        </w:rPr>
        <w:t>is</w:t>
      </w:r>
      <w:r w:rsidR="00127D3C">
        <w:rPr>
          <w:lang w:val="en-GB"/>
        </w:rPr>
        <w:t xml:space="preserve"> new guide </w:t>
      </w:r>
      <w:r>
        <w:rPr>
          <w:lang w:val="en-GB"/>
        </w:rPr>
        <w:t xml:space="preserve">compared to the </w:t>
      </w:r>
      <w:r w:rsidR="00F4342B">
        <w:rPr>
          <w:lang w:val="en-GB"/>
        </w:rPr>
        <w:t>RID/ADR guide</w:t>
      </w:r>
      <w:r w:rsidR="00907224">
        <w:rPr>
          <w:lang w:val="en-GB"/>
        </w:rPr>
        <w:t>lines</w:t>
      </w:r>
      <w:r w:rsidR="00F4342B">
        <w:rPr>
          <w:lang w:val="en-GB"/>
        </w:rPr>
        <w:t xml:space="preserve"> in terms of process harmonisation</w:t>
      </w:r>
      <w:r w:rsidR="00127D3C">
        <w:rPr>
          <w:lang w:val="en-GB"/>
        </w:rPr>
        <w:t xml:space="preserve">, </w:t>
      </w:r>
      <w:r>
        <w:rPr>
          <w:lang w:val="en-GB"/>
        </w:rPr>
        <w:t xml:space="preserve">it must also be recognised that if a </w:t>
      </w:r>
      <w:r w:rsidR="009C414B">
        <w:rPr>
          <w:lang w:val="en-GB"/>
        </w:rPr>
        <w:noBreakHyphen/>
        <w:t xml:space="preserve">professional- </w:t>
      </w:r>
      <w:r>
        <w:rPr>
          <w:lang w:val="en-GB"/>
        </w:rPr>
        <w:t>IT platform is not established to assist interested users in the</w:t>
      </w:r>
      <w:r w:rsidR="00EA6ABB">
        <w:rPr>
          <w:lang w:val="en-GB"/>
        </w:rPr>
        <w:t xml:space="preserve"> practical</w:t>
      </w:r>
      <w:r>
        <w:rPr>
          <w:lang w:val="en-GB"/>
        </w:rPr>
        <w:t xml:space="preserve"> implementation of the </w:t>
      </w:r>
      <w:r w:rsidR="00907224">
        <w:rPr>
          <w:lang w:val="en-GB"/>
        </w:rPr>
        <w:t xml:space="preserve">risk estimation </w:t>
      </w:r>
      <w:r>
        <w:rPr>
          <w:lang w:val="en-GB"/>
        </w:rPr>
        <w:t xml:space="preserve">guide, </w:t>
      </w:r>
      <w:r w:rsidR="009C414B">
        <w:rPr>
          <w:lang w:val="en-GB"/>
        </w:rPr>
        <w:t xml:space="preserve">the harmonised method </w:t>
      </w:r>
      <w:r>
        <w:rPr>
          <w:lang w:val="en-GB"/>
        </w:rPr>
        <w:t>might only be</w:t>
      </w:r>
      <w:r w:rsidR="009C414B">
        <w:rPr>
          <w:lang w:val="en-GB"/>
        </w:rPr>
        <w:t xml:space="preserve"> </w:t>
      </w:r>
      <w:r w:rsidR="009C414B">
        <w:rPr>
          <w:lang w:val="en-GB"/>
        </w:rPr>
        <w:noBreakHyphen/>
        <w:t xml:space="preserve">fully- </w:t>
      </w:r>
      <w:r>
        <w:rPr>
          <w:lang w:val="en-GB"/>
        </w:rPr>
        <w:t>practicable by a small number of experienced risk estimation experts</w:t>
      </w:r>
      <w:r w:rsidR="00072289">
        <w:rPr>
          <w:lang w:val="en-GB"/>
        </w:rPr>
        <w:t xml:space="preserve"> able to code the </w:t>
      </w:r>
      <w:r w:rsidR="00907224">
        <w:rPr>
          <w:lang w:val="en-GB"/>
        </w:rPr>
        <w:t>described</w:t>
      </w:r>
      <w:r w:rsidR="00072289">
        <w:rPr>
          <w:lang w:val="en-GB"/>
        </w:rPr>
        <w:t xml:space="preserve"> method in the form of IT tool</w:t>
      </w:r>
      <w:r w:rsidR="00890269">
        <w:rPr>
          <w:lang w:val="en-GB"/>
        </w:rPr>
        <w:t>s</w:t>
      </w:r>
      <w:r>
        <w:rPr>
          <w:lang w:val="en-GB"/>
        </w:rPr>
        <w:t>.</w:t>
      </w:r>
    </w:p>
    <w:p w14:paraId="20BEE397" w14:textId="040633DE" w:rsidR="003F6429" w:rsidRDefault="003F6429" w:rsidP="003F6429">
      <w:pPr>
        <w:pStyle w:val="SingleTxtG"/>
        <w:rPr>
          <w:lang w:val="en-GB"/>
        </w:rPr>
      </w:pPr>
      <w:r>
        <w:rPr>
          <w:lang w:val="en-GB"/>
        </w:rPr>
        <w:t xml:space="preserve">This is why the Agency considers that </w:t>
      </w:r>
      <w:r w:rsidR="00072289">
        <w:rPr>
          <w:lang w:val="en-GB"/>
        </w:rPr>
        <w:t>the set-up of a harmonised</w:t>
      </w:r>
      <w:r>
        <w:rPr>
          <w:lang w:val="en-GB"/>
        </w:rPr>
        <w:t xml:space="preserve"> IT platform</w:t>
      </w:r>
      <w:r w:rsidR="00EE57F2">
        <w:rPr>
          <w:lang w:val="en-GB"/>
        </w:rPr>
        <w:t xml:space="preserve"> (including a risk calculation engine)</w:t>
      </w:r>
      <w:r>
        <w:rPr>
          <w:lang w:val="en-GB"/>
        </w:rPr>
        <w:t xml:space="preserve"> is necessary to establish in the future a wide spread usage of risk-based decision-making in the TDG sector</w:t>
      </w:r>
      <w:r w:rsidR="00EE57F2">
        <w:rPr>
          <w:lang w:val="en-GB"/>
        </w:rPr>
        <w:t xml:space="preserve"> and </w:t>
      </w:r>
      <w:r w:rsidR="00907224">
        <w:rPr>
          <w:lang w:val="en-GB"/>
        </w:rPr>
        <w:t xml:space="preserve">to complete </w:t>
      </w:r>
      <w:r w:rsidR="00EE57F2">
        <w:rPr>
          <w:lang w:val="en-GB"/>
        </w:rPr>
        <w:t>the neces</w:t>
      </w:r>
      <w:r w:rsidR="00256FA8">
        <w:rPr>
          <w:lang w:val="en-GB"/>
        </w:rPr>
        <w:t>s</w:t>
      </w:r>
      <w:r w:rsidR="00EE57F2">
        <w:rPr>
          <w:lang w:val="en-GB"/>
        </w:rPr>
        <w:t xml:space="preserve">ary assistance to </w:t>
      </w:r>
      <w:r w:rsidR="00890269">
        <w:rPr>
          <w:lang w:val="en-GB"/>
        </w:rPr>
        <w:t>less experienced</w:t>
      </w:r>
      <w:r w:rsidR="00EE57F2">
        <w:rPr>
          <w:lang w:val="en-GB"/>
        </w:rPr>
        <w:t xml:space="preserve"> users</w:t>
      </w:r>
      <w:r>
        <w:rPr>
          <w:lang w:val="en-GB"/>
        </w:rPr>
        <w:t xml:space="preserve">. </w:t>
      </w:r>
    </w:p>
    <w:p w14:paraId="562DDF56" w14:textId="2EDA5DE2" w:rsidR="003F6429" w:rsidRDefault="003F6429" w:rsidP="005C2DE1">
      <w:pPr>
        <w:pStyle w:val="SingleTxtG"/>
        <w:rPr>
          <w:lang w:val="en-GB"/>
        </w:rPr>
      </w:pPr>
      <w:r>
        <w:rPr>
          <w:lang w:val="en-GB"/>
        </w:rPr>
        <w:t xml:space="preserve">The establishment of a risk estimation platform would also be a </w:t>
      </w:r>
      <w:r w:rsidR="00072289">
        <w:rPr>
          <w:lang w:val="en-GB"/>
        </w:rPr>
        <w:t>way for</w:t>
      </w:r>
      <w:r>
        <w:rPr>
          <w:lang w:val="en-GB"/>
        </w:rPr>
        <w:t xml:space="preserve"> assuring</w:t>
      </w:r>
      <w:r w:rsidR="00EA6ABB">
        <w:rPr>
          <w:lang w:val="en-GB"/>
        </w:rPr>
        <w:t xml:space="preserve"> a high implementation</w:t>
      </w:r>
      <w:r>
        <w:rPr>
          <w:lang w:val="en-GB"/>
        </w:rPr>
        <w:t xml:space="preserve"> quality</w:t>
      </w:r>
      <w:r w:rsidR="00907224">
        <w:rPr>
          <w:lang w:val="en-GB"/>
        </w:rPr>
        <w:t xml:space="preserve">, facilitating the </w:t>
      </w:r>
      <w:r>
        <w:rPr>
          <w:lang w:val="en-GB"/>
        </w:rPr>
        <w:t>mutual-recognition of produced results.</w:t>
      </w:r>
    </w:p>
    <w:p w14:paraId="38DDCB06" w14:textId="77777777" w:rsidR="00DC634C" w:rsidRDefault="00DC634C" w:rsidP="00DC634C">
      <w:pPr>
        <w:pStyle w:val="HChG"/>
        <w:rPr>
          <w:lang w:val="en-GB"/>
        </w:rPr>
      </w:pPr>
      <w:r>
        <w:tab/>
      </w:r>
      <w:r>
        <w:tab/>
      </w:r>
      <w:r>
        <w:rPr>
          <w:lang w:val="en-GB"/>
        </w:rPr>
        <w:t>Guide on risk management and decision-making</w:t>
      </w:r>
    </w:p>
    <w:p w14:paraId="2FC2646C" w14:textId="253F2DDD" w:rsidR="007724D8" w:rsidRDefault="007724D8" w:rsidP="007724D8">
      <w:pPr>
        <w:pStyle w:val="SingleTxtG"/>
        <w:rPr>
          <w:lang w:val="en-GB"/>
        </w:rPr>
      </w:pPr>
      <w:r>
        <w:rPr>
          <w:lang w:val="en-GB"/>
        </w:rPr>
        <w:tab/>
      </w:r>
      <w:r w:rsidRPr="007724D8">
        <w:rPr>
          <w:lang w:val="en-GB"/>
        </w:rPr>
        <w:t xml:space="preserve">The guide on risk management and decision-making will supplement the existing </w:t>
      </w:r>
      <w:r w:rsidR="00907224" w:rsidRPr="007724D8">
        <w:rPr>
          <w:lang w:val="en-GB"/>
        </w:rPr>
        <w:t>RID/ADR</w:t>
      </w:r>
      <w:r w:rsidR="00907224">
        <w:rPr>
          <w:lang w:val="en-GB"/>
        </w:rPr>
        <w:t xml:space="preserve"> </w:t>
      </w:r>
      <w:r w:rsidRPr="007724D8">
        <w:rPr>
          <w:lang w:val="en-GB"/>
        </w:rPr>
        <w:t>guide</w:t>
      </w:r>
      <w:r w:rsidR="00907224">
        <w:rPr>
          <w:lang w:val="en-GB"/>
        </w:rPr>
        <w:t xml:space="preserve">lines with additional harmonisation covering risk-based </w:t>
      </w:r>
      <w:r w:rsidR="00D61EEC">
        <w:rPr>
          <w:lang w:val="en-GB"/>
        </w:rPr>
        <w:t>decision-making</w:t>
      </w:r>
      <w:r w:rsidR="00907224">
        <w:rPr>
          <w:lang w:val="en-GB"/>
        </w:rPr>
        <w:t xml:space="preserve"> process</w:t>
      </w:r>
      <w:r w:rsidR="008F0496">
        <w:rPr>
          <w:lang w:val="en-GB"/>
        </w:rPr>
        <w:t>es</w:t>
      </w:r>
      <w:r w:rsidRPr="007724D8">
        <w:rPr>
          <w:lang w:val="en-GB"/>
        </w:rPr>
        <w:t>.</w:t>
      </w:r>
    </w:p>
    <w:p w14:paraId="4F934266" w14:textId="77777777" w:rsidR="007724D8" w:rsidRDefault="00D61EEC" w:rsidP="007724D8">
      <w:pPr>
        <w:pStyle w:val="SingleTxtG"/>
        <w:rPr>
          <w:lang w:val="en-GB"/>
        </w:rPr>
      </w:pPr>
      <w:r>
        <w:rPr>
          <w:lang w:val="en-GB"/>
        </w:rPr>
        <w:t xml:space="preserve">The guide on risk management and decision-making </w:t>
      </w:r>
      <w:r w:rsidR="007724D8">
        <w:rPr>
          <w:lang w:val="en-GB"/>
        </w:rPr>
        <w:t>will fully cover the risk evaluation</w:t>
      </w:r>
      <w:r>
        <w:rPr>
          <w:lang w:val="en-GB"/>
        </w:rPr>
        <w:t xml:space="preserve"> and decision</w:t>
      </w:r>
      <w:r w:rsidR="007724D8">
        <w:rPr>
          <w:lang w:val="en-GB"/>
        </w:rPr>
        <w:t xml:space="preserve"> part of a risk management process, and will facilitate the preparation of </w:t>
      </w:r>
      <w:r>
        <w:rPr>
          <w:lang w:val="en-GB"/>
        </w:rPr>
        <w:t xml:space="preserve">risk-based decisions by </w:t>
      </w:r>
      <w:r w:rsidR="007724D8">
        <w:rPr>
          <w:lang w:val="en-GB"/>
        </w:rPr>
        <w:t>decision-makers based on harmonised decision-making principles and harmonised decision-making indicators.</w:t>
      </w:r>
    </w:p>
    <w:p w14:paraId="5F67219D" w14:textId="3DC50B38" w:rsidR="00783A95" w:rsidRDefault="007724D8" w:rsidP="007724D8">
      <w:pPr>
        <w:pStyle w:val="SingleTxtG"/>
        <w:rPr>
          <w:lang w:val="en-GB"/>
        </w:rPr>
      </w:pPr>
      <w:r>
        <w:rPr>
          <w:lang w:val="en-GB"/>
        </w:rPr>
        <w:t xml:space="preserve">The content of the guide </w:t>
      </w:r>
      <w:r w:rsidR="008F0496">
        <w:rPr>
          <w:lang w:val="en-GB"/>
        </w:rPr>
        <w:t xml:space="preserve">will </w:t>
      </w:r>
      <w:r>
        <w:rPr>
          <w:lang w:val="en-GB"/>
        </w:rPr>
        <w:t xml:space="preserve">cover the topics that are generally covered in decision-making literature while proposing a specific process designed to solve the issues reported in annex of the document </w:t>
      </w:r>
      <w:r w:rsidR="00AB2988" w:rsidRPr="00AB2988">
        <w:rPr>
          <w:lang w:val="en-GB"/>
        </w:rPr>
        <w:t>ECE-TRANS-WP15-AC1-2014-GE-INF16e</w:t>
      </w:r>
      <w:r w:rsidR="00AB2988">
        <w:rPr>
          <w:lang w:val="en-GB"/>
        </w:rPr>
        <w:t>,</w:t>
      </w:r>
      <w:r w:rsidR="00AB2988" w:rsidRPr="00AB2988">
        <w:rPr>
          <w:lang w:val="en-GB"/>
        </w:rPr>
        <w:t xml:space="preserve"> </w:t>
      </w:r>
      <w:r w:rsidR="00AB2988">
        <w:rPr>
          <w:lang w:val="en-GB"/>
        </w:rPr>
        <w:t>a</w:t>
      </w:r>
      <w:r w:rsidR="00783A95">
        <w:rPr>
          <w:lang w:val="en-GB"/>
        </w:rPr>
        <w:t xml:space="preserve">s </w:t>
      </w:r>
      <w:r>
        <w:rPr>
          <w:lang w:val="en-GB"/>
        </w:rPr>
        <w:t xml:space="preserve">identified at the </w:t>
      </w:r>
      <w:r w:rsidR="00783A95">
        <w:rPr>
          <w:lang w:val="en-GB"/>
        </w:rPr>
        <w:t xml:space="preserve">beginning of the TDG roadmap. The </w:t>
      </w:r>
      <w:r w:rsidR="00D61EEC">
        <w:rPr>
          <w:lang w:val="en-GB"/>
        </w:rPr>
        <w:t xml:space="preserve">guide </w:t>
      </w:r>
      <w:r w:rsidR="00424AD2">
        <w:rPr>
          <w:lang w:val="en-GB"/>
        </w:rPr>
        <w:t>will</w:t>
      </w:r>
      <w:r w:rsidR="00D61EEC">
        <w:rPr>
          <w:lang w:val="en-GB"/>
        </w:rPr>
        <w:t xml:space="preserve"> also </w:t>
      </w:r>
      <w:r w:rsidR="00424AD2">
        <w:rPr>
          <w:lang w:val="en-GB"/>
        </w:rPr>
        <w:t xml:space="preserve">use some of the </w:t>
      </w:r>
      <w:r w:rsidR="00D61EEC">
        <w:rPr>
          <w:lang w:val="en-GB"/>
        </w:rPr>
        <w:t>decision-making</w:t>
      </w:r>
      <w:r w:rsidR="00783A95">
        <w:rPr>
          <w:lang w:val="en-GB"/>
        </w:rPr>
        <w:t xml:space="preserve"> </w:t>
      </w:r>
      <w:r w:rsidR="00424AD2">
        <w:rPr>
          <w:lang w:val="en-GB"/>
        </w:rPr>
        <w:t>principles proposed</w:t>
      </w:r>
      <w:r w:rsidR="00783A95">
        <w:rPr>
          <w:lang w:val="en-GB"/>
        </w:rPr>
        <w:t xml:space="preserve"> in the DNV</w:t>
      </w:r>
      <w:r w:rsidR="00256FA8">
        <w:rPr>
          <w:lang w:val="en-GB"/>
        </w:rPr>
        <w:t>-GL s</w:t>
      </w:r>
      <w:r w:rsidR="00783A95">
        <w:rPr>
          <w:lang w:val="en-GB"/>
        </w:rPr>
        <w:t>tudy</w:t>
      </w:r>
      <w:r w:rsidR="00256FA8">
        <w:rPr>
          <w:rStyle w:val="FootnoteReference"/>
          <w:lang w:val="en-GB"/>
        </w:rPr>
        <w:footnoteReference w:id="6"/>
      </w:r>
      <w:r w:rsidR="00783A95">
        <w:rPr>
          <w:lang w:val="en-GB"/>
        </w:rPr>
        <w:t xml:space="preserve"> </w:t>
      </w:r>
      <w:r w:rsidR="00BA616B">
        <w:rPr>
          <w:lang w:val="en-GB"/>
        </w:rPr>
        <w:t xml:space="preserve">performed </w:t>
      </w:r>
      <w:r w:rsidR="00783A95">
        <w:rPr>
          <w:lang w:val="en-GB"/>
        </w:rPr>
        <w:t xml:space="preserve">on behalf </w:t>
      </w:r>
      <w:r w:rsidR="00EE57F2">
        <w:rPr>
          <w:lang w:val="en-GB"/>
        </w:rPr>
        <w:t xml:space="preserve">of </w:t>
      </w:r>
      <w:r w:rsidR="00783A95">
        <w:rPr>
          <w:lang w:val="en-GB"/>
        </w:rPr>
        <w:t xml:space="preserve">the European Commission in 2014. </w:t>
      </w:r>
    </w:p>
    <w:p w14:paraId="128166B8" w14:textId="489B93C9" w:rsidR="007724D8" w:rsidRDefault="00D61EEC" w:rsidP="007724D8">
      <w:pPr>
        <w:pStyle w:val="SingleTxtG"/>
        <w:rPr>
          <w:lang w:val="en-GB"/>
        </w:rPr>
      </w:pPr>
      <w:r>
        <w:rPr>
          <w:lang w:val="en-GB"/>
        </w:rPr>
        <w:t xml:space="preserve">However, </w:t>
      </w:r>
      <w:r w:rsidR="00EE57F2">
        <w:rPr>
          <w:lang w:val="en-GB"/>
        </w:rPr>
        <w:t xml:space="preserve">in contrast to one of the proposals of </w:t>
      </w:r>
      <w:r>
        <w:rPr>
          <w:lang w:val="en-GB"/>
        </w:rPr>
        <w:t xml:space="preserve">the </w:t>
      </w:r>
      <w:r w:rsidR="00EE57F2">
        <w:rPr>
          <w:lang w:val="en-GB"/>
        </w:rPr>
        <w:t>DVN</w:t>
      </w:r>
      <w:r w:rsidR="00256FA8">
        <w:rPr>
          <w:lang w:val="en-GB"/>
        </w:rPr>
        <w:t>-GL</w:t>
      </w:r>
      <w:r w:rsidR="00EE57F2">
        <w:rPr>
          <w:lang w:val="en-GB"/>
        </w:rPr>
        <w:t xml:space="preserve"> s</w:t>
      </w:r>
      <w:r>
        <w:rPr>
          <w:lang w:val="en-GB"/>
        </w:rPr>
        <w:t xml:space="preserve">tudy, the TDG roadmap participants considered that it was not desirable to </w:t>
      </w:r>
      <w:r w:rsidR="00783A95">
        <w:rPr>
          <w:lang w:val="en-GB"/>
        </w:rPr>
        <w:t>introduce</w:t>
      </w:r>
      <w:r w:rsidR="008F0496">
        <w:rPr>
          <w:lang w:val="en-GB"/>
        </w:rPr>
        <w:t xml:space="preserve"> </w:t>
      </w:r>
      <w:r w:rsidR="00783A95">
        <w:rPr>
          <w:lang w:val="en-GB"/>
        </w:rPr>
        <w:t>risk acceptance criteria</w:t>
      </w:r>
      <w:r>
        <w:rPr>
          <w:lang w:val="en-GB"/>
        </w:rPr>
        <w:t xml:space="preserve"> in the first version of the guide. Instead,</w:t>
      </w:r>
      <w:r w:rsidR="00783A95">
        <w:rPr>
          <w:lang w:val="en-GB"/>
        </w:rPr>
        <w:t xml:space="preserve"> a process allowing to take care of the recurring issues encountered in TDG decision-making processes, leaving </w:t>
      </w:r>
      <w:r>
        <w:rPr>
          <w:lang w:val="en-GB"/>
        </w:rPr>
        <w:t xml:space="preserve">the final responsibility on the actual </w:t>
      </w:r>
      <w:r w:rsidR="00840F9A">
        <w:rPr>
          <w:lang w:val="en-GB"/>
        </w:rPr>
        <w:t>(</w:t>
      </w:r>
      <w:r>
        <w:rPr>
          <w:lang w:val="en-GB"/>
        </w:rPr>
        <w:t>end of process</w:t>
      </w:r>
      <w:r w:rsidR="00840F9A">
        <w:rPr>
          <w:lang w:val="en-GB"/>
        </w:rPr>
        <w:t>)</w:t>
      </w:r>
      <w:r>
        <w:rPr>
          <w:lang w:val="en-GB"/>
        </w:rPr>
        <w:t xml:space="preserve"> decision to </w:t>
      </w:r>
      <w:r w:rsidR="00783A95">
        <w:rPr>
          <w:lang w:val="en-GB"/>
        </w:rPr>
        <w:t>the decision–maker</w:t>
      </w:r>
      <w:r>
        <w:rPr>
          <w:lang w:val="en-GB"/>
        </w:rPr>
        <w:t xml:space="preserve"> was preferred</w:t>
      </w:r>
      <w:r w:rsidR="00783A95">
        <w:rPr>
          <w:lang w:val="en-GB"/>
        </w:rPr>
        <w:t xml:space="preserve">. </w:t>
      </w:r>
      <w:r w:rsidR="00256FA8">
        <w:rPr>
          <w:lang w:val="en-GB"/>
        </w:rPr>
        <w:t>I</w:t>
      </w:r>
      <w:r w:rsidR="00783A95">
        <w:rPr>
          <w:lang w:val="en-GB"/>
        </w:rPr>
        <w:t>n simple words it means that the guide will not make the decision for the decision-maker but will assist the decision-mak</w:t>
      </w:r>
      <w:r w:rsidR="00256FA8">
        <w:rPr>
          <w:lang w:val="en-GB"/>
        </w:rPr>
        <w:t>er i</w:t>
      </w:r>
      <w:r w:rsidR="00783A95">
        <w:rPr>
          <w:lang w:val="en-GB"/>
        </w:rPr>
        <w:t>n the analysis of important decision-making steps.</w:t>
      </w:r>
    </w:p>
    <w:p w14:paraId="79EA7E12" w14:textId="77777777" w:rsidR="00BA616B" w:rsidRDefault="00BA616B" w:rsidP="007724D8">
      <w:pPr>
        <w:pStyle w:val="SingleTxtG"/>
        <w:rPr>
          <w:lang w:val="en-GB"/>
        </w:rPr>
      </w:pPr>
    </w:p>
    <w:p w14:paraId="094E5CCA" w14:textId="33F3638A" w:rsidR="0069377E" w:rsidRDefault="00783A95" w:rsidP="007724D8">
      <w:pPr>
        <w:pStyle w:val="SingleTxtG"/>
        <w:rPr>
          <w:lang w:val="en-GB"/>
        </w:rPr>
      </w:pPr>
      <w:r>
        <w:rPr>
          <w:lang w:val="en-GB"/>
        </w:rPr>
        <w:lastRenderedPageBreak/>
        <w:t xml:space="preserve">The decision-making </w:t>
      </w:r>
      <w:r w:rsidR="0069377E">
        <w:rPr>
          <w:lang w:val="en-GB"/>
        </w:rPr>
        <w:t xml:space="preserve">process </w:t>
      </w:r>
      <w:r>
        <w:rPr>
          <w:lang w:val="en-GB"/>
        </w:rPr>
        <w:t>will</w:t>
      </w:r>
      <w:r w:rsidR="0069377E">
        <w:rPr>
          <w:lang w:val="en-GB"/>
        </w:rPr>
        <w:t xml:space="preserve"> follow the structure</w:t>
      </w:r>
      <w:r>
        <w:rPr>
          <w:lang w:val="en-GB"/>
        </w:rPr>
        <w:t xml:space="preserve"> shown in the diagram</w:t>
      </w:r>
      <w:r w:rsidR="0069377E">
        <w:rPr>
          <w:lang w:val="en-GB"/>
        </w:rPr>
        <w:t>s</w:t>
      </w:r>
      <w:r>
        <w:rPr>
          <w:lang w:val="en-GB"/>
        </w:rPr>
        <w:t xml:space="preserve"> </w:t>
      </w:r>
      <w:r w:rsidR="0069377E">
        <w:rPr>
          <w:lang w:val="en-GB"/>
        </w:rPr>
        <w:t xml:space="preserve">and will </w:t>
      </w:r>
      <w:r w:rsidR="00256FA8">
        <w:rPr>
          <w:lang w:val="en-GB"/>
        </w:rPr>
        <w:t xml:space="preserve">detail out </w:t>
      </w:r>
      <w:r w:rsidR="00BA616B">
        <w:rPr>
          <w:lang w:val="en-GB"/>
        </w:rPr>
        <w:t>t</w:t>
      </w:r>
      <w:r w:rsidR="0069377E">
        <w:rPr>
          <w:lang w:val="en-GB"/>
        </w:rPr>
        <w:t>he following aspects:</w:t>
      </w:r>
    </w:p>
    <w:p w14:paraId="1E4A70D9" w14:textId="77777777" w:rsidR="0069377E" w:rsidRDefault="00D473CD" w:rsidP="0069377E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>Risk management</w:t>
      </w:r>
      <w:r w:rsidR="0069377E">
        <w:rPr>
          <w:lang w:val="en-GB"/>
        </w:rPr>
        <w:t xml:space="preserve"> quality objectives,</w:t>
      </w:r>
    </w:p>
    <w:p w14:paraId="28D808E7" w14:textId="1576F6C1" w:rsidR="00D473CD" w:rsidRDefault="00D473CD" w:rsidP="00D473CD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>Optimisation cycle for a risk-based decision-making</w:t>
      </w:r>
      <w:r w:rsidR="008F0496">
        <w:rPr>
          <w:lang w:val="en-GB"/>
        </w:rPr>
        <w:t>,</w:t>
      </w:r>
    </w:p>
    <w:p w14:paraId="02DA581E" w14:textId="5EFE1A3C" w:rsidR="0069377E" w:rsidRDefault="00D473CD" w:rsidP="0069377E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Justification and </w:t>
      </w:r>
      <w:r w:rsidR="0069377E">
        <w:rPr>
          <w:lang w:val="en-GB"/>
        </w:rPr>
        <w:t xml:space="preserve">Communication </w:t>
      </w:r>
      <w:r>
        <w:rPr>
          <w:lang w:val="en-GB"/>
        </w:rPr>
        <w:t>of decisions</w:t>
      </w:r>
      <w:r w:rsidR="008F0496">
        <w:rPr>
          <w:lang w:val="en-GB"/>
        </w:rPr>
        <w:t>.</w:t>
      </w:r>
    </w:p>
    <w:p w14:paraId="0D733458" w14:textId="77777777" w:rsidR="007724D8" w:rsidRDefault="007724D8" w:rsidP="007724D8">
      <w:pPr>
        <w:pStyle w:val="SingleTxtG"/>
        <w:rPr>
          <w:lang w:val="en-GB"/>
        </w:rPr>
      </w:pPr>
    </w:p>
    <w:p w14:paraId="17ABC55A" w14:textId="77777777" w:rsidR="007724D8" w:rsidRDefault="0069377E" w:rsidP="0069377E">
      <w:pPr>
        <w:pStyle w:val="SingleTxtG"/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8D4EF5E" wp14:editId="2BEFB74D">
            <wp:extent cx="4577080" cy="2703398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4" cy="271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ECCB6" w14:textId="77777777" w:rsidR="008E6A1C" w:rsidRDefault="007724D8" w:rsidP="008E6A1C">
      <w:pPr>
        <w:pStyle w:val="SingleTxtG"/>
        <w:jc w:val="center"/>
        <w:rPr>
          <w:i/>
          <w:lang w:val="en-GB"/>
        </w:rPr>
      </w:pPr>
      <w:r w:rsidRPr="007724D8">
        <w:rPr>
          <w:lang w:val="en-GB"/>
        </w:rPr>
        <w:t xml:space="preserve"> </w:t>
      </w:r>
      <w:r w:rsidR="008E6A1C">
        <w:rPr>
          <w:i/>
          <w:lang w:val="en-GB"/>
        </w:rPr>
        <w:t>Content of the decision-making guide</w:t>
      </w:r>
    </w:p>
    <w:p w14:paraId="39C032BE" w14:textId="77777777" w:rsidR="00D87235" w:rsidRPr="00C01CD0" w:rsidRDefault="00D87235" w:rsidP="008E6A1C">
      <w:pPr>
        <w:pStyle w:val="SingleTxtG"/>
        <w:jc w:val="center"/>
        <w:rPr>
          <w:i/>
          <w:lang w:val="en-GB"/>
        </w:rPr>
      </w:pPr>
    </w:p>
    <w:p w14:paraId="1D676796" w14:textId="77777777" w:rsidR="00DC634C" w:rsidRDefault="00D473CD" w:rsidP="007724D8">
      <w:pPr>
        <w:pStyle w:val="SingleTxtG"/>
        <w:rPr>
          <w:lang w:val="en-GB"/>
        </w:rPr>
      </w:pPr>
      <w:r w:rsidRPr="00E665A8">
        <w:rPr>
          <w:b/>
          <w:lang w:val="en-GB"/>
        </w:rPr>
        <w:t>The quality of risk management</w:t>
      </w:r>
      <w:r>
        <w:rPr>
          <w:lang w:val="en-GB"/>
        </w:rPr>
        <w:t xml:space="preserve"> will describe the main principles that are considered important for a good quality risk management, as following:</w:t>
      </w:r>
    </w:p>
    <w:p w14:paraId="22FDA0B0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Consider compliance with legal requirements as a minimum standard</w:t>
      </w:r>
      <w:r>
        <w:rPr>
          <w:lang w:val="en-GB"/>
        </w:rPr>
        <w:t>,</w:t>
      </w:r>
    </w:p>
    <w:p w14:paraId="770A4671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Manage risks in accordance with best practice</w:t>
      </w:r>
      <w:r>
        <w:rPr>
          <w:lang w:val="en-GB"/>
        </w:rPr>
        <w:t>,</w:t>
      </w:r>
    </w:p>
    <w:p w14:paraId="603D5A54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Inform all concerned parties about the risk situation as required</w:t>
      </w:r>
      <w:r>
        <w:rPr>
          <w:lang w:val="en-GB"/>
        </w:rPr>
        <w:t>,</w:t>
      </w:r>
    </w:p>
    <w:p w14:paraId="2CBF3D55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Reduce the risk level if it is economically practicable and proportionate to the problem to be solved</w:t>
      </w:r>
      <w:r>
        <w:rPr>
          <w:lang w:val="en-GB"/>
        </w:rPr>
        <w:t>,</w:t>
      </w:r>
    </w:p>
    <w:p w14:paraId="3FA0A02C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Identify possible solutions to a risk situation within a given tier (actor/geography combinations)</w:t>
      </w:r>
      <w:r>
        <w:rPr>
          <w:lang w:val="en-GB"/>
        </w:rPr>
        <w:t>,</w:t>
      </w:r>
    </w:p>
    <w:p w14:paraId="102D9DF7" w14:textId="0FBBD6CD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Avoid solutions invol</w:t>
      </w:r>
      <w:r>
        <w:rPr>
          <w:lang w:val="en-GB"/>
        </w:rPr>
        <w:t>ving uncontrolled risk shifting</w:t>
      </w:r>
      <w:r w:rsidR="00EE57F2">
        <w:rPr>
          <w:rStyle w:val="FootnoteReference"/>
          <w:lang w:val="en-GB"/>
        </w:rPr>
        <w:footnoteReference w:id="7"/>
      </w:r>
      <w:r>
        <w:rPr>
          <w:lang w:val="en-GB"/>
        </w:rPr>
        <w:t>,</w:t>
      </w:r>
    </w:p>
    <w:p w14:paraId="4111C860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Ensure that risks are monitored o</w:t>
      </w:r>
      <w:r>
        <w:rPr>
          <w:lang w:val="en-GB"/>
        </w:rPr>
        <w:t>n a regular basis at all levels,</w:t>
      </w:r>
    </w:p>
    <w:p w14:paraId="6240D4D4" w14:textId="77777777" w:rsidR="00D473CD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 xml:space="preserve">Evaluate whether implemented </w:t>
      </w:r>
      <w:r>
        <w:rPr>
          <w:lang w:val="en-GB"/>
        </w:rPr>
        <w:t>solutions</w:t>
      </w:r>
      <w:r w:rsidRPr="00E665A8">
        <w:rPr>
          <w:lang w:val="en-GB"/>
        </w:rPr>
        <w:t xml:space="preserve"> address sufficiently the identified risk situation</w:t>
      </w:r>
      <w:r>
        <w:rPr>
          <w:lang w:val="en-GB"/>
        </w:rPr>
        <w:t>.</w:t>
      </w:r>
    </w:p>
    <w:p w14:paraId="6C31AD91" w14:textId="77777777" w:rsidR="00D473CD" w:rsidRDefault="00D473CD" w:rsidP="007724D8">
      <w:pPr>
        <w:pStyle w:val="SingleTxtG"/>
        <w:rPr>
          <w:lang w:val="en-GB"/>
        </w:rPr>
      </w:pPr>
    </w:p>
    <w:p w14:paraId="48DC8ABD" w14:textId="44344994" w:rsidR="008E6A1C" w:rsidRDefault="008E6A1C" w:rsidP="007724D8">
      <w:pPr>
        <w:pStyle w:val="SingleTxtG"/>
        <w:rPr>
          <w:lang w:val="en-GB"/>
        </w:rPr>
      </w:pPr>
      <w:r w:rsidRPr="00E665A8">
        <w:rPr>
          <w:b/>
          <w:lang w:val="en-GB"/>
        </w:rPr>
        <w:lastRenderedPageBreak/>
        <w:t xml:space="preserve">The </w:t>
      </w:r>
      <w:r w:rsidR="00E665A8">
        <w:rPr>
          <w:b/>
          <w:lang w:val="en-GB"/>
        </w:rPr>
        <w:t xml:space="preserve">decision </w:t>
      </w:r>
      <w:r w:rsidRPr="00E665A8">
        <w:rPr>
          <w:b/>
          <w:lang w:val="en-GB"/>
        </w:rPr>
        <w:t>optimisation cycle</w:t>
      </w:r>
      <w:r>
        <w:rPr>
          <w:lang w:val="en-GB"/>
        </w:rPr>
        <w:t xml:space="preserve"> will describe how to integrate </w:t>
      </w:r>
      <w:r w:rsidR="00E665A8">
        <w:rPr>
          <w:lang w:val="en-GB"/>
        </w:rPr>
        <w:t xml:space="preserve">risk estimation results </w:t>
      </w:r>
      <w:r>
        <w:rPr>
          <w:lang w:val="en-GB"/>
        </w:rPr>
        <w:t xml:space="preserve">in the decision-making process and how to evaluate the </w:t>
      </w:r>
      <w:r w:rsidR="0034693C">
        <w:rPr>
          <w:lang w:val="en-GB"/>
        </w:rPr>
        <w:t>relevanc</w:t>
      </w:r>
      <w:r w:rsidR="00461A57">
        <w:rPr>
          <w:lang w:val="en-GB"/>
        </w:rPr>
        <w:t>e</w:t>
      </w:r>
      <w:r w:rsidR="0034693C">
        <w:rPr>
          <w:lang w:val="en-GB"/>
        </w:rPr>
        <w:t xml:space="preserve"> of potential decisions with harmonised </w:t>
      </w:r>
      <w:r w:rsidR="008F0496">
        <w:rPr>
          <w:lang w:val="en-GB"/>
        </w:rPr>
        <w:noBreakHyphen/>
      </w:r>
      <w:r w:rsidR="0034693C">
        <w:rPr>
          <w:lang w:val="en-GB"/>
        </w:rPr>
        <w:t xml:space="preserve">risk-based- </w:t>
      </w:r>
      <w:r>
        <w:rPr>
          <w:lang w:val="en-GB"/>
        </w:rPr>
        <w:t>decision-making principles</w:t>
      </w:r>
      <w:r w:rsidR="0034693C">
        <w:rPr>
          <w:lang w:val="en-GB"/>
        </w:rPr>
        <w:t xml:space="preserve">. </w:t>
      </w:r>
    </w:p>
    <w:p w14:paraId="4FC34043" w14:textId="77777777" w:rsidR="008E6A1C" w:rsidRDefault="008E6A1C" w:rsidP="0069377E">
      <w:pPr>
        <w:pStyle w:val="SingleTxtG"/>
        <w:jc w:val="center"/>
        <w:rPr>
          <w:lang w:val="en-GB"/>
        </w:rPr>
      </w:pPr>
    </w:p>
    <w:p w14:paraId="10852EBF" w14:textId="77777777" w:rsidR="00F54642" w:rsidRDefault="0069377E" w:rsidP="0069377E">
      <w:pPr>
        <w:pStyle w:val="SingleTxtG"/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657C9C2" wp14:editId="10E3E794">
            <wp:extent cx="4719629" cy="2556934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602" cy="256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F1825" w14:textId="77777777" w:rsidR="008E6A1C" w:rsidRPr="00C01CD0" w:rsidRDefault="008E6A1C" w:rsidP="008E6A1C">
      <w:pPr>
        <w:pStyle w:val="SingleTxtG"/>
        <w:jc w:val="center"/>
        <w:rPr>
          <w:i/>
          <w:lang w:val="en-GB"/>
        </w:rPr>
      </w:pPr>
      <w:r>
        <w:rPr>
          <w:i/>
          <w:lang w:val="en-GB"/>
        </w:rPr>
        <w:t>Risk-based decision-making optimisation cycle</w:t>
      </w:r>
    </w:p>
    <w:p w14:paraId="3B2E3D93" w14:textId="77777777" w:rsidR="008E6A1C" w:rsidRDefault="008E6A1C" w:rsidP="007724D8">
      <w:pPr>
        <w:pStyle w:val="SingleTxtG"/>
        <w:rPr>
          <w:lang w:val="en-GB"/>
        </w:rPr>
      </w:pPr>
    </w:p>
    <w:p w14:paraId="77FD0D16" w14:textId="46363ADD" w:rsidR="0034693C" w:rsidRDefault="008F0496" w:rsidP="0034693C">
      <w:pPr>
        <w:pStyle w:val="SingleTxtG"/>
        <w:rPr>
          <w:lang w:val="en-GB"/>
        </w:rPr>
      </w:pPr>
      <w:r>
        <w:rPr>
          <w:lang w:val="en-GB"/>
        </w:rPr>
        <w:t>The r</w:t>
      </w:r>
      <w:r w:rsidR="008E6A1C">
        <w:rPr>
          <w:lang w:val="en-GB"/>
        </w:rPr>
        <w:t xml:space="preserve">isk-based </w:t>
      </w:r>
      <w:r w:rsidR="0034693C">
        <w:rPr>
          <w:lang w:val="en-GB"/>
        </w:rPr>
        <w:t xml:space="preserve">decision-making </w:t>
      </w:r>
      <w:r w:rsidR="008E6A1C">
        <w:rPr>
          <w:lang w:val="en-GB"/>
        </w:rPr>
        <w:t xml:space="preserve">indicators </w:t>
      </w:r>
      <w:r w:rsidR="00E665A8">
        <w:rPr>
          <w:lang w:val="en-GB"/>
        </w:rPr>
        <w:t>will</w:t>
      </w:r>
      <w:r w:rsidR="00461A57">
        <w:rPr>
          <w:lang w:val="en-GB"/>
        </w:rPr>
        <w:t xml:space="preserve"> </w:t>
      </w:r>
      <w:r w:rsidR="00E665A8">
        <w:rPr>
          <w:lang w:val="en-GB"/>
        </w:rPr>
        <w:t xml:space="preserve">be the </w:t>
      </w:r>
      <w:r w:rsidR="008E6A1C">
        <w:rPr>
          <w:lang w:val="en-GB"/>
        </w:rPr>
        <w:t>ones obtained from the implementation of the risk estimation guide</w:t>
      </w:r>
      <w:r w:rsidR="0034693C">
        <w:rPr>
          <w:lang w:val="en-GB"/>
        </w:rPr>
        <w:t xml:space="preserve"> and </w:t>
      </w:r>
      <w:r w:rsidR="00E665A8">
        <w:rPr>
          <w:lang w:val="en-GB"/>
        </w:rPr>
        <w:t>will be used for a</w:t>
      </w:r>
      <w:r w:rsidR="0034693C">
        <w:rPr>
          <w:lang w:val="en-GB"/>
        </w:rPr>
        <w:t>ssess</w:t>
      </w:r>
      <w:r w:rsidR="00E665A8">
        <w:rPr>
          <w:lang w:val="en-GB"/>
        </w:rPr>
        <w:t xml:space="preserve">ing </w:t>
      </w:r>
      <w:r w:rsidR="0034693C">
        <w:rPr>
          <w:lang w:val="en-GB"/>
        </w:rPr>
        <w:t>the harmonised decision-making principles</w:t>
      </w:r>
      <w:r w:rsidR="008E6A1C">
        <w:rPr>
          <w:lang w:val="en-GB"/>
        </w:rPr>
        <w:t>.</w:t>
      </w:r>
      <w:r w:rsidR="0034693C" w:rsidRPr="0034693C">
        <w:rPr>
          <w:lang w:val="en-GB"/>
        </w:rPr>
        <w:t xml:space="preserve"> </w:t>
      </w:r>
      <w:r w:rsidR="00E665A8">
        <w:rPr>
          <w:lang w:val="en-GB"/>
        </w:rPr>
        <w:t>Indicators</w:t>
      </w:r>
      <w:r w:rsidR="0034693C">
        <w:rPr>
          <w:lang w:val="en-GB"/>
        </w:rPr>
        <w:t xml:space="preserve"> </w:t>
      </w:r>
      <w:r w:rsidR="00E665A8">
        <w:rPr>
          <w:lang w:val="en-GB"/>
        </w:rPr>
        <w:t xml:space="preserve">will use </w:t>
      </w:r>
      <w:r w:rsidR="0034693C">
        <w:rPr>
          <w:lang w:val="en-GB"/>
        </w:rPr>
        <w:t xml:space="preserve">societal risks and individual risks </w:t>
      </w:r>
      <w:r w:rsidR="00E665A8">
        <w:rPr>
          <w:lang w:val="en-GB"/>
        </w:rPr>
        <w:t>results</w:t>
      </w:r>
      <w:r w:rsidR="0034693C">
        <w:rPr>
          <w:lang w:val="en-GB"/>
        </w:rPr>
        <w:t>.</w:t>
      </w:r>
      <w:r w:rsidR="0034693C" w:rsidRPr="0034693C">
        <w:rPr>
          <w:lang w:val="en-GB"/>
        </w:rPr>
        <w:t xml:space="preserve"> </w:t>
      </w:r>
      <w:r w:rsidR="0034693C">
        <w:rPr>
          <w:lang w:val="en-GB"/>
        </w:rPr>
        <w:t>The guide will also integrate the possibility to assess the economical practicability of decision options using a risk-based safety–economy test.</w:t>
      </w:r>
    </w:p>
    <w:p w14:paraId="41EBF948" w14:textId="0925A25F" w:rsidR="008E6A1C" w:rsidRDefault="008E6A1C" w:rsidP="007724D8">
      <w:pPr>
        <w:pStyle w:val="SingleTxtG"/>
        <w:rPr>
          <w:lang w:val="en-GB"/>
        </w:rPr>
      </w:pPr>
      <w:r>
        <w:rPr>
          <w:lang w:val="en-GB"/>
        </w:rPr>
        <w:t xml:space="preserve">The </w:t>
      </w:r>
      <w:r w:rsidR="0034693C">
        <w:rPr>
          <w:lang w:val="en-GB"/>
        </w:rPr>
        <w:t xml:space="preserve">decision-making principles </w:t>
      </w:r>
      <w:r w:rsidR="002866F0">
        <w:rPr>
          <w:lang w:val="en-GB"/>
        </w:rPr>
        <w:t>were inspired from the DNV</w:t>
      </w:r>
      <w:r w:rsidR="008F0496">
        <w:rPr>
          <w:lang w:val="en-GB"/>
        </w:rPr>
        <w:t>-GL</w:t>
      </w:r>
      <w:r w:rsidR="002866F0">
        <w:rPr>
          <w:lang w:val="en-GB"/>
        </w:rPr>
        <w:t xml:space="preserve"> study and have been collectively reviewed and agreed by the TDG roadmap participants in order to solve identified</w:t>
      </w:r>
      <w:r w:rsidR="002866F0">
        <w:rPr>
          <w:rStyle w:val="FootnoteReference"/>
          <w:lang w:val="en-GB"/>
        </w:rPr>
        <w:footnoteReference w:id="8"/>
      </w:r>
      <w:r w:rsidR="002866F0">
        <w:rPr>
          <w:lang w:val="en-GB"/>
        </w:rPr>
        <w:t xml:space="preserve"> risk management issues. The decision-making principles </w:t>
      </w:r>
      <w:r w:rsidR="008F0496">
        <w:rPr>
          <w:lang w:val="en-GB"/>
        </w:rPr>
        <w:t xml:space="preserve">integrated in the harmonised process </w:t>
      </w:r>
      <w:r w:rsidR="00E665A8">
        <w:rPr>
          <w:lang w:val="en-GB"/>
        </w:rPr>
        <w:t>are the following</w:t>
      </w:r>
      <w:r>
        <w:rPr>
          <w:lang w:val="en-GB"/>
        </w:rPr>
        <w:t>:</w:t>
      </w:r>
    </w:p>
    <w:p w14:paraId="14C71567" w14:textId="77777777" w:rsidR="00D473CD" w:rsidRPr="00D87235" w:rsidRDefault="00D473CD" w:rsidP="00D87235">
      <w:pPr>
        <w:pStyle w:val="SingleTxtG"/>
        <w:numPr>
          <w:ilvl w:val="0"/>
          <w:numId w:val="22"/>
        </w:numPr>
        <w:rPr>
          <w:lang w:val="en-GB"/>
        </w:rPr>
      </w:pPr>
      <w:r w:rsidRPr="00D87235">
        <w:rPr>
          <w:lang w:val="en-GB"/>
        </w:rPr>
        <w:t>Non-regression of existing systems’ safety</w:t>
      </w:r>
      <w:r w:rsidR="00D87235">
        <w:rPr>
          <w:lang w:val="en-GB"/>
        </w:rPr>
        <w:t>,</w:t>
      </w:r>
    </w:p>
    <w:p w14:paraId="348CC684" w14:textId="77777777" w:rsidR="00D473CD" w:rsidRPr="00D87235" w:rsidRDefault="00D473CD" w:rsidP="00D87235">
      <w:pPr>
        <w:pStyle w:val="SingleTxtG"/>
        <w:numPr>
          <w:ilvl w:val="0"/>
          <w:numId w:val="22"/>
        </w:numPr>
        <w:rPr>
          <w:lang w:val="en-GB"/>
        </w:rPr>
      </w:pPr>
      <w:r w:rsidRPr="00D87235">
        <w:rPr>
          <w:lang w:val="en-GB"/>
        </w:rPr>
        <w:t>Continuous</w:t>
      </w:r>
      <w:r w:rsidR="00D87235">
        <w:rPr>
          <w:lang w:val="en-GB"/>
        </w:rPr>
        <w:t xml:space="preserve"> </w:t>
      </w:r>
      <w:r w:rsidRPr="00D87235">
        <w:rPr>
          <w:lang w:val="en-GB"/>
        </w:rPr>
        <w:t>safety improvement</w:t>
      </w:r>
      <w:r w:rsidR="00D87235" w:rsidRPr="00D87235">
        <w:rPr>
          <w:lang w:val="en-GB"/>
        </w:rPr>
        <w:t>,</w:t>
      </w:r>
    </w:p>
    <w:p w14:paraId="17A89557" w14:textId="77777777" w:rsidR="00D473CD" w:rsidRPr="00D87235" w:rsidRDefault="00D473CD" w:rsidP="00D87235">
      <w:pPr>
        <w:pStyle w:val="SingleTxtG"/>
        <w:numPr>
          <w:ilvl w:val="0"/>
          <w:numId w:val="22"/>
        </w:numPr>
        <w:rPr>
          <w:lang w:val="fr-BE"/>
        </w:rPr>
      </w:pPr>
      <w:r w:rsidRPr="00D87235">
        <w:rPr>
          <w:lang w:val="fr-BE"/>
        </w:rPr>
        <w:t>Utility for society</w:t>
      </w:r>
      <w:r w:rsidR="00D87235">
        <w:rPr>
          <w:lang w:val="fr-BE"/>
        </w:rPr>
        <w:t>,</w:t>
      </w:r>
    </w:p>
    <w:p w14:paraId="3975E6D9" w14:textId="77777777" w:rsidR="00D473CD" w:rsidRPr="00D87235" w:rsidRDefault="00D473CD" w:rsidP="00D87235">
      <w:pPr>
        <w:pStyle w:val="SingleTxtG"/>
        <w:numPr>
          <w:ilvl w:val="0"/>
          <w:numId w:val="22"/>
        </w:numPr>
        <w:rPr>
          <w:lang w:val="en-GB"/>
        </w:rPr>
      </w:pPr>
      <w:r w:rsidRPr="00D87235">
        <w:rPr>
          <w:lang w:val="en-GB"/>
        </w:rPr>
        <w:t>Fair treatment of individuals and groups of individuals</w:t>
      </w:r>
      <w:r w:rsidR="00D87235">
        <w:rPr>
          <w:lang w:val="en-GB"/>
        </w:rPr>
        <w:t>,</w:t>
      </w:r>
    </w:p>
    <w:p w14:paraId="7B25EE2B" w14:textId="77777777" w:rsidR="00D473CD" w:rsidRPr="00D87235" w:rsidRDefault="00D473CD" w:rsidP="00D87235">
      <w:pPr>
        <w:pStyle w:val="SingleTxtG"/>
        <w:numPr>
          <w:ilvl w:val="0"/>
          <w:numId w:val="22"/>
        </w:numPr>
        <w:rPr>
          <w:lang w:val="en-GB"/>
        </w:rPr>
      </w:pPr>
      <w:r w:rsidRPr="00D87235">
        <w:rPr>
          <w:lang w:val="en-GB"/>
        </w:rPr>
        <w:t>Avoidance of uncontrolled risk shifting</w:t>
      </w:r>
      <w:r w:rsidR="00D87235">
        <w:rPr>
          <w:lang w:val="en-GB"/>
        </w:rPr>
        <w:t>.</w:t>
      </w:r>
    </w:p>
    <w:p w14:paraId="792ED191" w14:textId="62242817" w:rsidR="008E6A1C" w:rsidRDefault="002866F0" w:rsidP="008E6A1C">
      <w:pPr>
        <w:pStyle w:val="SingleTxtG"/>
        <w:rPr>
          <w:lang w:val="en-GB"/>
        </w:rPr>
      </w:pPr>
      <w:r>
        <w:rPr>
          <w:lang w:val="en-GB"/>
        </w:rPr>
        <w:t xml:space="preserve">These principles will be assessed for each decision-making option in the evaluation phase. </w:t>
      </w:r>
      <w:r w:rsidR="0034693C">
        <w:rPr>
          <w:lang w:val="en-GB"/>
        </w:rPr>
        <w:t>On this basis a risk-based ranking of decision options is allowed. To th</w:t>
      </w:r>
      <w:r>
        <w:rPr>
          <w:lang w:val="en-GB"/>
        </w:rPr>
        <w:t>ese</w:t>
      </w:r>
      <w:r w:rsidR="0034693C">
        <w:rPr>
          <w:lang w:val="en-GB"/>
        </w:rPr>
        <w:t xml:space="preserve"> risk-based assessment exogenous decision criteria may be added by the decision-maker under his/her full responsibility.</w:t>
      </w:r>
    </w:p>
    <w:p w14:paraId="42913ED5" w14:textId="77777777" w:rsidR="00E665A8" w:rsidRDefault="00E665A8" w:rsidP="008E6A1C">
      <w:pPr>
        <w:pStyle w:val="SingleTxtG"/>
        <w:rPr>
          <w:lang w:val="en-GB"/>
        </w:rPr>
      </w:pPr>
      <w:r w:rsidRPr="00D87235">
        <w:rPr>
          <w:b/>
          <w:lang w:val="en-GB"/>
        </w:rPr>
        <w:t>The justification and the communication</w:t>
      </w:r>
      <w:r>
        <w:rPr>
          <w:lang w:val="en-GB"/>
        </w:rPr>
        <w:t xml:space="preserve"> </w:t>
      </w:r>
      <w:r w:rsidR="00D87235">
        <w:rPr>
          <w:lang w:val="en-GB"/>
        </w:rPr>
        <w:t>good practices</w:t>
      </w:r>
      <w:r>
        <w:rPr>
          <w:lang w:val="en-GB"/>
        </w:rPr>
        <w:t xml:space="preserve"> will also be described in the guide </w:t>
      </w:r>
      <w:r w:rsidR="00D87235">
        <w:rPr>
          <w:lang w:val="en-GB"/>
        </w:rPr>
        <w:t xml:space="preserve">concerning the </w:t>
      </w:r>
      <w:r>
        <w:rPr>
          <w:lang w:val="en-GB"/>
        </w:rPr>
        <w:t>following aspects:</w:t>
      </w:r>
    </w:p>
    <w:p w14:paraId="59244227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fr-BE"/>
        </w:rPr>
      </w:pPr>
      <w:r w:rsidRPr="00E665A8">
        <w:rPr>
          <w:lang w:val="fr-BE"/>
        </w:rPr>
        <w:lastRenderedPageBreak/>
        <w:t xml:space="preserve">Ex-ante justification </w:t>
      </w:r>
      <w:r>
        <w:rPr>
          <w:lang w:val="fr-BE"/>
        </w:rPr>
        <w:t xml:space="preserve">of </w:t>
      </w:r>
      <w:r>
        <w:rPr>
          <w:lang w:val="en-GB"/>
        </w:rPr>
        <w:t xml:space="preserve">decisions, </w:t>
      </w:r>
      <w:r>
        <w:rPr>
          <w:lang w:val="fr-BE"/>
        </w:rPr>
        <w:t xml:space="preserve"> </w:t>
      </w:r>
    </w:p>
    <w:p w14:paraId="5F0AA4AA" w14:textId="77777777" w:rsidR="00E665A8" w:rsidRPr="00E665A8" w:rsidRDefault="00E665A8" w:rsidP="00E665A8">
      <w:pPr>
        <w:pStyle w:val="SingleTxtG"/>
        <w:numPr>
          <w:ilvl w:val="0"/>
          <w:numId w:val="22"/>
        </w:numPr>
        <w:rPr>
          <w:lang w:val="fr-BE"/>
        </w:rPr>
      </w:pPr>
      <w:r w:rsidRPr="00E665A8">
        <w:rPr>
          <w:lang w:val="fr-BE"/>
        </w:rPr>
        <w:t>Ex-</w:t>
      </w:r>
      <w:r>
        <w:rPr>
          <w:lang w:val="fr-BE"/>
        </w:rPr>
        <w:t>post</w:t>
      </w:r>
      <w:r w:rsidRPr="00E665A8">
        <w:rPr>
          <w:lang w:val="fr-BE"/>
        </w:rPr>
        <w:t xml:space="preserve"> justification </w:t>
      </w:r>
      <w:r>
        <w:rPr>
          <w:lang w:val="fr-BE"/>
        </w:rPr>
        <w:t xml:space="preserve">of </w:t>
      </w:r>
      <w:r>
        <w:rPr>
          <w:lang w:val="en-GB"/>
        </w:rPr>
        <w:t>decisions,</w:t>
      </w:r>
    </w:p>
    <w:p w14:paraId="365BE713" w14:textId="03D2CC2A" w:rsid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Transparency</w:t>
      </w:r>
      <w:r w:rsidR="008F0496">
        <w:rPr>
          <w:lang w:val="en-GB"/>
        </w:rPr>
        <w:t>,</w:t>
      </w:r>
    </w:p>
    <w:p w14:paraId="7EBC8B28" w14:textId="48EF1CD5" w:rsid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 w:rsidRPr="00E665A8">
        <w:rPr>
          <w:lang w:val="en-GB"/>
        </w:rPr>
        <w:t>Shared information</w:t>
      </w:r>
      <w:r w:rsidR="008F0496">
        <w:rPr>
          <w:lang w:val="en-GB"/>
        </w:rPr>
        <w:t>,</w:t>
      </w:r>
    </w:p>
    <w:p w14:paraId="223373C5" w14:textId="1831EC5A" w:rsidR="00E665A8" w:rsidRDefault="00E665A8" w:rsidP="00E665A8">
      <w:pPr>
        <w:pStyle w:val="SingleTxtG"/>
        <w:numPr>
          <w:ilvl w:val="0"/>
          <w:numId w:val="22"/>
        </w:numPr>
        <w:rPr>
          <w:lang w:val="en-GB"/>
        </w:rPr>
      </w:pPr>
      <w:r>
        <w:rPr>
          <w:lang w:val="en-GB"/>
        </w:rPr>
        <w:t>(M</w:t>
      </w:r>
      <w:r w:rsidRPr="00E665A8">
        <w:rPr>
          <w:lang w:val="en-GB"/>
        </w:rPr>
        <w:t>utual) recognition of decisions by third parties</w:t>
      </w:r>
      <w:r w:rsidR="008F0496">
        <w:rPr>
          <w:lang w:val="en-GB"/>
        </w:rPr>
        <w:t>.</w:t>
      </w:r>
    </w:p>
    <w:p w14:paraId="5344B916" w14:textId="77777777" w:rsidR="00D87235" w:rsidRPr="007C2E47" w:rsidRDefault="00D87235" w:rsidP="00D87235">
      <w:pPr>
        <w:pStyle w:val="SingleTxtG"/>
        <w:rPr>
          <w:b/>
          <w:i/>
          <w:lang w:val="en-GB"/>
        </w:rPr>
      </w:pPr>
      <w:r w:rsidRPr="007C2E47">
        <w:rPr>
          <w:b/>
          <w:i/>
          <w:lang w:val="en-GB"/>
        </w:rPr>
        <w:t xml:space="preserve">Important remark on the </w:t>
      </w:r>
      <w:r>
        <w:rPr>
          <w:b/>
          <w:i/>
          <w:lang w:val="en-GB"/>
        </w:rPr>
        <w:t xml:space="preserve">Decision-making </w:t>
      </w:r>
      <w:r w:rsidRPr="007C2E47">
        <w:rPr>
          <w:b/>
          <w:i/>
          <w:lang w:val="en-GB"/>
        </w:rPr>
        <w:t>guide:</w:t>
      </w:r>
    </w:p>
    <w:p w14:paraId="0E7D5584" w14:textId="77777777" w:rsidR="00D87235" w:rsidRDefault="00D87235" w:rsidP="00D87235">
      <w:pPr>
        <w:pStyle w:val="SingleTxtG"/>
        <w:rPr>
          <w:lang w:val="en-GB"/>
        </w:rPr>
      </w:pPr>
      <w:r>
        <w:rPr>
          <w:lang w:val="en-GB"/>
        </w:rPr>
        <w:t>While key links between the risk estimation guide and the decision-making guide will be described in both guides, it is foreseen that each guide may also be used independently.</w:t>
      </w:r>
    </w:p>
    <w:p w14:paraId="371CD01F" w14:textId="0DB7DADC" w:rsidR="00B00487" w:rsidRDefault="00D87235" w:rsidP="00D87235">
      <w:pPr>
        <w:pStyle w:val="SingleTxtG"/>
        <w:rPr>
          <w:lang w:val="en-GB"/>
        </w:rPr>
      </w:pPr>
      <w:r>
        <w:rPr>
          <w:lang w:val="en-GB"/>
        </w:rPr>
        <w:t xml:space="preserve">This situation </w:t>
      </w:r>
      <w:r w:rsidR="00B00487">
        <w:rPr>
          <w:lang w:val="en-GB"/>
        </w:rPr>
        <w:t xml:space="preserve">will be valid for the decision-making guide </w:t>
      </w:r>
      <w:r>
        <w:rPr>
          <w:lang w:val="en-GB"/>
        </w:rPr>
        <w:t xml:space="preserve">until there is no </w:t>
      </w:r>
      <w:r w:rsidR="008F0496">
        <w:rPr>
          <w:lang w:val="en-GB"/>
        </w:rPr>
        <w:t>formalised</w:t>
      </w:r>
      <w:r>
        <w:rPr>
          <w:lang w:val="en-GB"/>
        </w:rPr>
        <w:t xml:space="preserve"> decision-making criteria </w:t>
      </w:r>
      <w:r w:rsidR="00B00487">
        <w:rPr>
          <w:lang w:val="en-GB"/>
        </w:rPr>
        <w:t xml:space="preserve">using risk estimation results thresholds. </w:t>
      </w:r>
      <w:r>
        <w:rPr>
          <w:lang w:val="en-GB"/>
        </w:rPr>
        <w:t xml:space="preserve">Such a situation would lead to firmly link the decision-making guide </w:t>
      </w:r>
      <w:r w:rsidR="00B00487">
        <w:rPr>
          <w:lang w:val="en-GB"/>
        </w:rPr>
        <w:t>with the calibration of the harmonised</w:t>
      </w:r>
      <w:r>
        <w:rPr>
          <w:lang w:val="en-GB"/>
        </w:rPr>
        <w:t xml:space="preserve"> risk estimations.</w:t>
      </w:r>
      <w:r w:rsidR="002F41D4">
        <w:rPr>
          <w:lang w:val="en-GB"/>
        </w:rPr>
        <w:t xml:space="preserve"> </w:t>
      </w:r>
    </w:p>
    <w:p w14:paraId="1AB3C0E1" w14:textId="0CC3D4AC" w:rsidR="00D87235" w:rsidRDefault="00B00487" w:rsidP="00D87235">
      <w:pPr>
        <w:pStyle w:val="SingleTxtG"/>
        <w:rPr>
          <w:lang w:val="en-GB"/>
        </w:rPr>
      </w:pPr>
      <w:r>
        <w:rPr>
          <w:lang w:val="en-GB"/>
        </w:rPr>
        <w:t xml:space="preserve">On contrary, even in this case, </w:t>
      </w:r>
      <w:r w:rsidR="002F41D4">
        <w:rPr>
          <w:lang w:val="en-GB"/>
        </w:rPr>
        <w:t>the risk estimation guide may continue being used independently</w:t>
      </w:r>
      <w:r>
        <w:rPr>
          <w:lang w:val="en-GB"/>
        </w:rPr>
        <w:t xml:space="preserve"> from the decision-making guide.</w:t>
      </w:r>
    </w:p>
    <w:p w14:paraId="7CFB2B83" w14:textId="77777777" w:rsidR="00DC634C" w:rsidRDefault="00DC634C" w:rsidP="00DC634C">
      <w:pPr>
        <w:pStyle w:val="HChG"/>
        <w:rPr>
          <w:lang w:val="en-GB"/>
        </w:rPr>
      </w:pPr>
      <w:r>
        <w:tab/>
      </w:r>
      <w:r>
        <w:tab/>
      </w:r>
      <w:r>
        <w:rPr>
          <w:lang w:val="en-GB"/>
        </w:rPr>
        <w:t>Framework glossary</w:t>
      </w:r>
    </w:p>
    <w:p w14:paraId="4AC12E22" w14:textId="671337E6" w:rsidR="00FC398D" w:rsidRDefault="00FC398D" w:rsidP="00121E05">
      <w:pPr>
        <w:pStyle w:val="SingleTxtG"/>
        <w:rPr>
          <w:lang w:val="en-GB"/>
        </w:rPr>
      </w:pPr>
      <w:r>
        <w:rPr>
          <w:lang w:val="en-GB"/>
        </w:rPr>
        <w:t xml:space="preserve">It was necessary to develop a framework glossary in order to allow the user </w:t>
      </w:r>
      <w:r w:rsidR="002866F0">
        <w:rPr>
          <w:lang w:val="en-GB"/>
        </w:rPr>
        <w:t>sufficient</w:t>
      </w:r>
      <w:r>
        <w:rPr>
          <w:lang w:val="en-GB"/>
        </w:rPr>
        <w:t xml:space="preserve"> u</w:t>
      </w:r>
      <w:r w:rsidR="00E665A8">
        <w:rPr>
          <w:lang w:val="en-GB"/>
        </w:rPr>
        <w:t xml:space="preserve">nderstanding </w:t>
      </w:r>
      <w:r w:rsidR="002866F0">
        <w:rPr>
          <w:lang w:val="en-GB"/>
        </w:rPr>
        <w:t>of the content o</w:t>
      </w:r>
      <w:r w:rsidR="00E665A8">
        <w:rPr>
          <w:lang w:val="en-GB"/>
        </w:rPr>
        <w:t xml:space="preserve">f the </w:t>
      </w:r>
      <w:r>
        <w:rPr>
          <w:lang w:val="en-GB"/>
        </w:rPr>
        <w:t xml:space="preserve">guides. Many reference documents have been consulted however, to the exception of some definitions already </w:t>
      </w:r>
      <w:r w:rsidR="00840F9A">
        <w:rPr>
          <w:lang w:val="en-GB"/>
        </w:rPr>
        <w:t>given in the RID/ADR guidelines,</w:t>
      </w:r>
      <w:r>
        <w:rPr>
          <w:lang w:val="en-GB"/>
        </w:rPr>
        <w:t xml:space="preserve"> many definitions of other reference</w:t>
      </w:r>
      <w:r w:rsidR="002866F0">
        <w:rPr>
          <w:lang w:val="en-GB"/>
        </w:rPr>
        <w:t>s</w:t>
      </w:r>
      <w:r>
        <w:rPr>
          <w:lang w:val="en-GB"/>
        </w:rPr>
        <w:t xml:space="preserve"> have been considered too general or too specific or not adapted to the jargon used in TDG sector. </w:t>
      </w:r>
    </w:p>
    <w:p w14:paraId="7013BDC4" w14:textId="67546B1D" w:rsidR="00FC398D" w:rsidRDefault="00FC398D" w:rsidP="00121E05">
      <w:pPr>
        <w:pStyle w:val="SingleTxtG"/>
        <w:rPr>
          <w:lang w:val="en-GB"/>
        </w:rPr>
      </w:pPr>
      <w:r>
        <w:rPr>
          <w:lang w:val="en-GB"/>
        </w:rPr>
        <w:t>This is why the framework glossary was established, giving priority to the use of definitions already existing in international legislative text</w:t>
      </w:r>
      <w:r w:rsidR="00AA7871">
        <w:rPr>
          <w:lang w:val="en-GB"/>
        </w:rPr>
        <w:t>s</w:t>
      </w:r>
      <w:r w:rsidR="00F4342B">
        <w:rPr>
          <w:lang w:val="en-GB"/>
        </w:rPr>
        <w:t>,</w:t>
      </w:r>
      <w:r>
        <w:rPr>
          <w:lang w:val="en-GB"/>
        </w:rPr>
        <w:t xml:space="preserve"> then in international norms, then in recognised international guides</w:t>
      </w:r>
      <w:r w:rsidR="00F4342B">
        <w:rPr>
          <w:lang w:val="en-GB"/>
        </w:rPr>
        <w:t>. W</w:t>
      </w:r>
      <w:r>
        <w:rPr>
          <w:lang w:val="en-GB"/>
        </w:rPr>
        <w:t>hen necessary definition</w:t>
      </w:r>
      <w:r w:rsidR="00F4342B">
        <w:rPr>
          <w:lang w:val="en-GB"/>
        </w:rPr>
        <w:t>s</w:t>
      </w:r>
      <w:r>
        <w:rPr>
          <w:lang w:val="en-GB"/>
        </w:rPr>
        <w:t xml:space="preserve"> </w:t>
      </w:r>
      <w:r w:rsidR="00F4342B">
        <w:rPr>
          <w:lang w:val="en-GB"/>
        </w:rPr>
        <w:t>well-</w:t>
      </w:r>
      <w:r>
        <w:rPr>
          <w:lang w:val="en-GB"/>
        </w:rPr>
        <w:t>adapted to the framework</w:t>
      </w:r>
      <w:r w:rsidR="00F4342B">
        <w:rPr>
          <w:lang w:val="en-GB"/>
        </w:rPr>
        <w:t xml:space="preserve"> of guides</w:t>
      </w:r>
      <w:r>
        <w:rPr>
          <w:lang w:val="en-GB"/>
        </w:rPr>
        <w:t xml:space="preserve"> were derived from these reference</w:t>
      </w:r>
      <w:r w:rsidR="00840F9A">
        <w:rPr>
          <w:lang w:val="en-GB"/>
        </w:rPr>
        <w:t>s</w:t>
      </w:r>
      <w:r>
        <w:rPr>
          <w:lang w:val="en-GB"/>
        </w:rPr>
        <w:t xml:space="preserve">. </w:t>
      </w:r>
    </w:p>
    <w:p w14:paraId="40640C3A" w14:textId="77777777" w:rsidR="005501AB" w:rsidRPr="005463C7" w:rsidRDefault="005463C7" w:rsidP="005463C7">
      <w:pPr>
        <w:pStyle w:val="HChG"/>
      </w:pPr>
      <w:r>
        <w:tab/>
      </w:r>
      <w:r>
        <w:tab/>
      </w:r>
      <w:r w:rsidR="00121E05">
        <w:t>Conclusion</w:t>
      </w:r>
    </w:p>
    <w:p w14:paraId="5935E902" w14:textId="2B4B47FC" w:rsidR="005463C7" w:rsidRDefault="005463C7" w:rsidP="005463C7">
      <w:pPr>
        <w:pStyle w:val="SingleTxtG"/>
        <w:rPr>
          <w:lang w:val="en-GB"/>
        </w:rPr>
      </w:pPr>
      <w:r>
        <w:rPr>
          <w:lang w:val="en-GB"/>
        </w:rPr>
        <w:t>The guides presented in this document are in the final stage of drafting and should be published beginning 2018.</w:t>
      </w:r>
    </w:p>
    <w:p w14:paraId="0438C6B3" w14:textId="77777777" w:rsidR="0026532A" w:rsidRPr="0026532A" w:rsidRDefault="0026532A" w:rsidP="0026532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26532A" w:rsidRPr="0026532A" w:rsidSect="00BB7FE9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877E" w14:textId="77777777" w:rsidR="00C50425" w:rsidRDefault="00C50425"/>
  </w:endnote>
  <w:endnote w:type="continuationSeparator" w:id="0">
    <w:p w14:paraId="6A3248D5" w14:textId="77777777" w:rsidR="00C50425" w:rsidRDefault="00C50425"/>
  </w:endnote>
  <w:endnote w:type="continuationNotice" w:id="1">
    <w:p w14:paraId="59392381" w14:textId="77777777" w:rsidR="00C50425" w:rsidRDefault="00C50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33D6" w14:textId="4D0C050A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B803B8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282C" w14:textId="1AD389C5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B803B8">
      <w:rPr>
        <w:b/>
        <w:noProof/>
        <w:sz w:val="18"/>
        <w:szCs w:val="18"/>
      </w:rPr>
      <w:t>7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23C2" w14:textId="77777777" w:rsidR="00C50425" w:rsidRPr="000B175B" w:rsidRDefault="00C504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FACBD3" w14:textId="77777777" w:rsidR="00C50425" w:rsidRPr="00FC68B7" w:rsidRDefault="00C504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9268F6" w14:textId="77777777" w:rsidR="00C50425" w:rsidRDefault="00C50425"/>
  </w:footnote>
  <w:footnote w:id="2">
    <w:p w14:paraId="543B5A95" w14:textId="3F8A2306" w:rsidR="00424AD2" w:rsidRPr="00F01F24" w:rsidRDefault="005F7DEF">
      <w:pPr>
        <w:pStyle w:val="FootnoteText"/>
        <w:rPr>
          <w:lang w:val="en-GB"/>
        </w:rPr>
      </w:pPr>
      <w:r>
        <w:tab/>
      </w:r>
      <w:r>
        <w:tab/>
      </w:r>
      <w:r w:rsidR="00424AD2">
        <w:rPr>
          <w:rStyle w:val="FootnoteReference"/>
        </w:rPr>
        <w:footnoteRef/>
      </w:r>
      <w:r>
        <w:tab/>
      </w:r>
      <w:r w:rsidR="00F01F24" w:rsidRPr="00F01F24">
        <w:t>September 2014/INF.16 (ERA) Roadmap on risk management in the context of inland transport of dangerous goods</w:t>
      </w:r>
      <w:r w:rsidR="00F01F24" w:rsidRPr="00F01F24">
        <w:rPr>
          <w:lang w:val="en-GB"/>
        </w:rPr>
        <w:t xml:space="preserve">. </w:t>
      </w:r>
      <w:r w:rsidR="00F01F24">
        <w:rPr>
          <w:lang w:val="en-GB"/>
        </w:rPr>
        <w:t xml:space="preserve">English </w:t>
      </w:r>
      <w:hyperlink r:id="rId1" w:tooltip="APPLICATION, ECE-TRANS-WP15-AC1-2014-GE-INF16e, ECE-TRANS-WP15-AC1-2014-GE-INF16e.doc, 282 KB" w:history="1">
        <w:r w:rsidR="00F01F24" w:rsidRPr="00F01F24">
          <w:rPr>
            <w:rStyle w:val="Hyperlink"/>
            <w:spacing w:val="-4"/>
            <w:szCs w:val="18"/>
          </w:rPr>
          <w:t>DOC</w:t>
        </w:r>
      </w:hyperlink>
      <w:r w:rsidR="00F01F24" w:rsidRPr="00F01F24">
        <w:rPr>
          <w:lang w:val="en-GB"/>
        </w:rPr>
        <w:t xml:space="preserve"> / </w:t>
      </w:r>
      <w:hyperlink r:id="rId2" w:tooltip="APPLICATION, ECE-TRANS-WP15-AC1-2014-GE-INF16e, ECE-TRANS-WP15-AC1-2014-GE-INF16e.pdf, 151 KB" w:history="1">
        <w:r w:rsidR="00F01F24" w:rsidRPr="00F01F24">
          <w:rPr>
            <w:rStyle w:val="Hyperlink"/>
            <w:spacing w:val="-4"/>
            <w:szCs w:val="18"/>
          </w:rPr>
          <w:t>PDF</w:t>
        </w:r>
      </w:hyperlink>
      <w:r w:rsidR="00F01F24">
        <w:rPr>
          <w:lang w:val="en-GB"/>
        </w:rPr>
        <w:t>.</w:t>
      </w:r>
    </w:p>
  </w:footnote>
  <w:footnote w:id="3">
    <w:p w14:paraId="6AF3E8EE" w14:textId="51D2B350" w:rsidR="00256FA8" w:rsidRPr="00256FA8" w:rsidRDefault="005F7DEF">
      <w:pPr>
        <w:pStyle w:val="FootnoteText"/>
      </w:pPr>
      <w:r>
        <w:tab/>
      </w:r>
      <w:r>
        <w:tab/>
      </w:r>
      <w:r w:rsidR="00256FA8">
        <w:rPr>
          <w:rStyle w:val="FootnoteReference"/>
        </w:rPr>
        <w:footnoteRef/>
      </w:r>
      <w:r>
        <w:tab/>
      </w:r>
      <w:r w:rsidR="00FE232B">
        <w:rPr>
          <w:lang w:val="en-GB"/>
        </w:rPr>
        <w:t>S</w:t>
      </w:r>
      <w:r w:rsidR="00256FA8">
        <w:rPr>
          <w:lang w:val="en-GB"/>
        </w:rPr>
        <w:t xml:space="preserve">ee </w:t>
      </w:r>
      <w:r w:rsidR="00256FA8" w:rsidRPr="00256FA8">
        <w:rPr>
          <w:lang w:val="en-GB"/>
        </w:rPr>
        <w:t>ECE-TRANS-WP15-AC1-2014-GE-INF16e</w:t>
      </w:r>
      <w:r w:rsidR="00256FA8">
        <w:rPr>
          <w:lang w:val="en-GB"/>
        </w:rPr>
        <w:t>.</w:t>
      </w:r>
    </w:p>
  </w:footnote>
  <w:footnote w:id="4">
    <w:p w14:paraId="496F6723" w14:textId="0292ADD2" w:rsidR="00321A87" w:rsidRPr="00FE232B" w:rsidRDefault="005F7DEF" w:rsidP="00321A87">
      <w:pPr>
        <w:pStyle w:val="FootnoteText"/>
        <w:rPr>
          <w:lang w:val="en-GB"/>
        </w:rPr>
      </w:pPr>
      <w:r>
        <w:tab/>
      </w:r>
      <w:r>
        <w:tab/>
      </w:r>
      <w:r w:rsidR="00321A87">
        <w:rPr>
          <w:rStyle w:val="FootnoteReference"/>
        </w:rPr>
        <w:footnoteRef/>
      </w:r>
      <w:r>
        <w:tab/>
      </w:r>
      <w:r w:rsidR="00FE232B">
        <w:rPr>
          <w:lang w:val="en-GB"/>
        </w:rPr>
        <w:t>S</w:t>
      </w:r>
      <w:r w:rsidR="00321A87" w:rsidRPr="00321A87">
        <w:rPr>
          <w:lang w:val="en-GB"/>
        </w:rPr>
        <w:t xml:space="preserve">ee </w:t>
      </w:r>
      <w:r w:rsidR="00321A87">
        <w:rPr>
          <w:lang w:val="en-GB"/>
        </w:rPr>
        <w:t>A81-03-501.2006/Add.2 for Railways and ECE/TRANS/WP.15/2008/6 for Roads.</w:t>
      </w:r>
    </w:p>
  </w:footnote>
  <w:footnote w:id="5">
    <w:p w14:paraId="016D741C" w14:textId="603C574F" w:rsidR="0021082E" w:rsidRPr="0021082E" w:rsidRDefault="005F7DEF">
      <w:pPr>
        <w:pStyle w:val="FootnoteText"/>
        <w:rPr>
          <w:lang w:val="en-GB"/>
        </w:rPr>
      </w:pPr>
      <w:r>
        <w:tab/>
      </w:r>
      <w:r>
        <w:tab/>
      </w:r>
      <w:r w:rsidR="0021082E">
        <w:rPr>
          <w:rStyle w:val="FootnoteReference"/>
        </w:rPr>
        <w:footnoteRef/>
      </w:r>
      <w:r>
        <w:tab/>
      </w:r>
      <w:r w:rsidR="0021082E" w:rsidRPr="0021082E">
        <w:rPr>
          <w:lang w:val="en-GB"/>
        </w:rPr>
        <w:t>The framework will be applicable</w:t>
      </w:r>
      <w:r w:rsidR="00BA616B">
        <w:rPr>
          <w:lang w:val="en-GB"/>
        </w:rPr>
        <w:t xml:space="preserve"> to </w:t>
      </w:r>
      <w:r w:rsidR="0021082E" w:rsidRPr="0021082E">
        <w:rPr>
          <w:lang w:val="en-GB"/>
        </w:rPr>
        <w:t>railways, roads and inland waterways</w:t>
      </w:r>
      <w:r w:rsidR="0021082E">
        <w:rPr>
          <w:lang w:val="en-GB"/>
        </w:rPr>
        <w:t>, including also intermodal platforms</w:t>
      </w:r>
      <w:r w:rsidR="0021082E" w:rsidRPr="0021082E">
        <w:rPr>
          <w:lang w:val="en-GB"/>
        </w:rPr>
        <w:t>.</w:t>
      </w:r>
    </w:p>
  </w:footnote>
  <w:footnote w:id="6">
    <w:p w14:paraId="157B7AE2" w14:textId="1E43C8F2" w:rsidR="00256FA8" w:rsidRPr="00256FA8" w:rsidRDefault="005F7DEF" w:rsidP="00256FA8">
      <w:pPr>
        <w:pStyle w:val="FootnoteText"/>
      </w:pPr>
      <w:r>
        <w:tab/>
      </w:r>
      <w:r>
        <w:tab/>
      </w:r>
      <w:r w:rsidR="00256FA8">
        <w:rPr>
          <w:rStyle w:val="FootnoteReference"/>
        </w:rPr>
        <w:footnoteRef/>
      </w:r>
      <w:r>
        <w:tab/>
      </w:r>
      <w:r w:rsidR="00256FA8" w:rsidRPr="00256FA8">
        <w:rPr>
          <w:lang w:val="en-GB"/>
        </w:rPr>
        <w:t>H</w:t>
      </w:r>
      <w:r w:rsidR="00256FA8">
        <w:rPr>
          <w:lang w:val="en-GB"/>
        </w:rPr>
        <w:t>armonised risk acceptance criteria for Transport of Dangerous Goods, DNV-GL, for the European Commission DG MOVE, Report No. PP070679/4, rev.2, 2014-03-25.</w:t>
      </w:r>
    </w:p>
  </w:footnote>
  <w:footnote w:id="7">
    <w:p w14:paraId="342C3C3B" w14:textId="6B937FED" w:rsidR="00EE57F2" w:rsidRPr="00EE57F2" w:rsidRDefault="005F7DEF">
      <w:pPr>
        <w:pStyle w:val="FootnoteText"/>
        <w:rPr>
          <w:lang w:val="en-GB"/>
        </w:rPr>
      </w:pPr>
      <w:r>
        <w:tab/>
      </w:r>
      <w:r>
        <w:tab/>
      </w:r>
      <w:r w:rsidR="00EE57F2">
        <w:rPr>
          <w:rStyle w:val="FootnoteReference"/>
        </w:rPr>
        <w:footnoteRef/>
      </w:r>
      <w:r>
        <w:tab/>
      </w:r>
      <w:r w:rsidR="00424AD2" w:rsidRPr="00424AD2">
        <w:rPr>
          <w:lang w:val="en-GB"/>
        </w:rPr>
        <w:t xml:space="preserve">Uncontrolled risk shifting means that (a) risk control measure(s) </w:t>
      </w:r>
      <w:proofErr w:type="gramStart"/>
      <w:r w:rsidR="00424AD2" w:rsidRPr="00424AD2">
        <w:rPr>
          <w:lang w:val="en-GB"/>
        </w:rPr>
        <w:t>has(</w:t>
      </w:r>
      <w:proofErr w:type="gramEnd"/>
      <w:r w:rsidR="00424AD2" w:rsidRPr="00424AD2">
        <w:rPr>
          <w:lang w:val="en-GB"/>
        </w:rPr>
        <w:t xml:space="preserve">have) unexpected consequences on </w:t>
      </w:r>
      <w:r w:rsidR="00424AD2">
        <w:rPr>
          <w:lang w:val="en-GB"/>
        </w:rPr>
        <w:t>the</w:t>
      </w:r>
      <w:r w:rsidR="00424AD2" w:rsidRPr="00424AD2">
        <w:rPr>
          <w:lang w:val="en-GB"/>
        </w:rPr>
        <w:t xml:space="preserve"> risk situation to be managed and the measure(s) lead(s) to a new situation where the risk is unexpectedly transferred</w:t>
      </w:r>
      <w:r w:rsidR="00424AD2">
        <w:rPr>
          <w:lang w:val="en-GB"/>
        </w:rPr>
        <w:t xml:space="preserve"> to another party</w:t>
      </w:r>
      <w:r w:rsidR="00424AD2" w:rsidRPr="00424AD2">
        <w:rPr>
          <w:lang w:val="en-GB"/>
        </w:rPr>
        <w:t xml:space="preserve"> in an uncontrolled manner and</w:t>
      </w:r>
      <w:r w:rsidR="00424AD2">
        <w:rPr>
          <w:lang w:val="en-GB"/>
        </w:rPr>
        <w:t xml:space="preserve">/or is </w:t>
      </w:r>
      <w:r w:rsidR="00424AD2" w:rsidRPr="00424AD2">
        <w:rPr>
          <w:lang w:val="en-GB"/>
        </w:rPr>
        <w:t>inc</w:t>
      </w:r>
      <w:r w:rsidR="00424AD2">
        <w:rPr>
          <w:lang w:val="en-GB"/>
        </w:rPr>
        <w:t>reased instead of being reduced</w:t>
      </w:r>
      <w:r w:rsidR="00EE57F2" w:rsidRPr="00EE57F2">
        <w:rPr>
          <w:lang w:val="en-GB"/>
        </w:rPr>
        <w:t>.</w:t>
      </w:r>
    </w:p>
  </w:footnote>
  <w:footnote w:id="8">
    <w:p w14:paraId="680C9F75" w14:textId="1E3D7A42" w:rsidR="002866F0" w:rsidRPr="00461A57" w:rsidRDefault="005F7DEF" w:rsidP="002866F0">
      <w:pPr>
        <w:pStyle w:val="FootnoteText"/>
        <w:rPr>
          <w:lang w:val="en-GB"/>
        </w:rPr>
      </w:pPr>
      <w:r>
        <w:tab/>
      </w:r>
      <w:r>
        <w:tab/>
      </w:r>
      <w:r w:rsidR="002866F0">
        <w:rPr>
          <w:rStyle w:val="FootnoteReference"/>
        </w:rPr>
        <w:footnoteRef/>
      </w:r>
      <w:r>
        <w:tab/>
      </w:r>
      <w:r w:rsidR="002866F0" w:rsidRPr="00461A57">
        <w:rPr>
          <w:lang w:val="en-GB"/>
        </w:rPr>
        <w:t xml:space="preserve">The list of recurring issues is reported in annex of </w:t>
      </w:r>
      <w:r w:rsidR="00424AD2" w:rsidRPr="00424AD2">
        <w:rPr>
          <w:lang w:val="en-GB"/>
        </w:rPr>
        <w:t>document ECE-TRANS-WP15-AC1-2014-GE-INF16e</w:t>
      </w:r>
      <w:r w:rsidR="00424AD2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7FBE" w14:textId="0C290342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5F7DEF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022D" w14:textId="19CB3575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F7DEF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14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7E97"/>
    <w:rsid w:val="000671BA"/>
    <w:rsid w:val="00072289"/>
    <w:rsid w:val="00072C8C"/>
    <w:rsid w:val="000733B5"/>
    <w:rsid w:val="00081815"/>
    <w:rsid w:val="000931C0"/>
    <w:rsid w:val="00095C5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1E05"/>
    <w:rsid w:val="00125117"/>
    <w:rsid w:val="00127D3C"/>
    <w:rsid w:val="00155068"/>
    <w:rsid w:val="00165F3A"/>
    <w:rsid w:val="0018316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7981"/>
    <w:rsid w:val="001E0B9E"/>
    <w:rsid w:val="001E7B67"/>
    <w:rsid w:val="001F4B34"/>
    <w:rsid w:val="001F7435"/>
    <w:rsid w:val="00202DA8"/>
    <w:rsid w:val="00203753"/>
    <w:rsid w:val="002102FF"/>
    <w:rsid w:val="0021082E"/>
    <w:rsid w:val="0021114C"/>
    <w:rsid w:val="0021157B"/>
    <w:rsid w:val="00211E0B"/>
    <w:rsid w:val="002336E0"/>
    <w:rsid w:val="00237690"/>
    <w:rsid w:val="0024023A"/>
    <w:rsid w:val="00243217"/>
    <w:rsid w:val="00252290"/>
    <w:rsid w:val="00256FA8"/>
    <w:rsid w:val="0026532A"/>
    <w:rsid w:val="00267F5F"/>
    <w:rsid w:val="00276945"/>
    <w:rsid w:val="002866F0"/>
    <w:rsid w:val="00286B4D"/>
    <w:rsid w:val="00293582"/>
    <w:rsid w:val="002A3C85"/>
    <w:rsid w:val="002A603B"/>
    <w:rsid w:val="002D4643"/>
    <w:rsid w:val="002D4B6C"/>
    <w:rsid w:val="002F175C"/>
    <w:rsid w:val="002F41D4"/>
    <w:rsid w:val="00302E18"/>
    <w:rsid w:val="003050A4"/>
    <w:rsid w:val="0030606F"/>
    <w:rsid w:val="00321A87"/>
    <w:rsid w:val="003229D8"/>
    <w:rsid w:val="003358CF"/>
    <w:rsid w:val="00345184"/>
    <w:rsid w:val="0034693C"/>
    <w:rsid w:val="00352709"/>
    <w:rsid w:val="003571EA"/>
    <w:rsid w:val="00371178"/>
    <w:rsid w:val="003A6810"/>
    <w:rsid w:val="003B311A"/>
    <w:rsid w:val="003B36D1"/>
    <w:rsid w:val="003C2CC4"/>
    <w:rsid w:val="003C7C2C"/>
    <w:rsid w:val="003D4B23"/>
    <w:rsid w:val="003F6429"/>
    <w:rsid w:val="00400297"/>
    <w:rsid w:val="00410C89"/>
    <w:rsid w:val="00422E03"/>
    <w:rsid w:val="00424AD2"/>
    <w:rsid w:val="004266AC"/>
    <w:rsid w:val="00426B9B"/>
    <w:rsid w:val="004325CB"/>
    <w:rsid w:val="004356D2"/>
    <w:rsid w:val="00442A83"/>
    <w:rsid w:val="0045495B"/>
    <w:rsid w:val="00455F93"/>
    <w:rsid w:val="00461A57"/>
    <w:rsid w:val="00464C81"/>
    <w:rsid w:val="0048397A"/>
    <w:rsid w:val="00483F1B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3C7"/>
    <w:rsid w:val="00546993"/>
    <w:rsid w:val="005501AB"/>
    <w:rsid w:val="005628B6"/>
    <w:rsid w:val="0059363D"/>
    <w:rsid w:val="005B3DB3"/>
    <w:rsid w:val="005B4E13"/>
    <w:rsid w:val="005C2DE1"/>
    <w:rsid w:val="005C68F0"/>
    <w:rsid w:val="005D2A29"/>
    <w:rsid w:val="005E625C"/>
    <w:rsid w:val="005E6A77"/>
    <w:rsid w:val="005F7B75"/>
    <w:rsid w:val="005F7DEF"/>
    <w:rsid w:val="006001EE"/>
    <w:rsid w:val="00605042"/>
    <w:rsid w:val="00611FC4"/>
    <w:rsid w:val="006176FB"/>
    <w:rsid w:val="00630BAF"/>
    <w:rsid w:val="00640B26"/>
    <w:rsid w:val="00652CFC"/>
    <w:rsid w:val="00652D0A"/>
    <w:rsid w:val="00656145"/>
    <w:rsid w:val="00656FD6"/>
    <w:rsid w:val="006623D5"/>
    <w:rsid w:val="00662BB6"/>
    <w:rsid w:val="00667F8F"/>
    <w:rsid w:val="006741F1"/>
    <w:rsid w:val="00684C21"/>
    <w:rsid w:val="0069377E"/>
    <w:rsid w:val="006A2530"/>
    <w:rsid w:val="006B1C12"/>
    <w:rsid w:val="006C3589"/>
    <w:rsid w:val="006D37AF"/>
    <w:rsid w:val="006D51D0"/>
    <w:rsid w:val="006E564B"/>
    <w:rsid w:val="006E7191"/>
    <w:rsid w:val="006F1CD0"/>
    <w:rsid w:val="00703577"/>
    <w:rsid w:val="00705894"/>
    <w:rsid w:val="0072632A"/>
    <w:rsid w:val="007327D5"/>
    <w:rsid w:val="007351B4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B6BA5"/>
    <w:rsid w:val="007C2E47"/>
    <w:rsid w:val="007C3390"/>
    <w:rsid w:val="007C4F4B"/>
    <w:rsid w:val="007E01E9"/>
    <w:rsid w:val="007E63F3"/>
    <w:rsid w:val="007E702F"/>
    <w:rsid w:val="007F1F2D"/>
    <w:rsid w:val="007F6611"/>
    <w:rsid w:val="007F7106"/>
    <w:rsid w:val="007F729F"/>
    <w:rsid w:val="007F7A86"/>
    <w:rsid w:val="008116D7"/>
    <w:rsid w:val="00811920"/>
    <w:rsid w:val="00815AD0"/>
    <w:rsid w:val="008242D7"/>
    <w:rsid w:val="008257B1"/>
    <w:rsid w:val="00826C3D"/>
    <w:rsid w:val="00840F9A"/>
    <w:rsid w:val="008433F2"/>
    <w:rsid w:val="00843767"/>
    <w:rsid w:val="00854501"/>
    <w:rsid w:val="00863760"/>
    <w:rsid w:val="008679D9"/>
    <w:rsid w:val="00871389"/>
    <w:rsid w:val="00880848"/>
    <w:rsid w:val="00883999"/>
    <w:rsid w:val="008850EA"/>
    <w:rsid w:val="00887652"/>
    <w:rsid w:val="008878DE"/>
    <w:rsid w:val="00890269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8E6A1C"/>
    <w:rsid w:val="008F0496"/>
    <w:rsid w:val="00907224"/>
    <w:rsid w:val="009223CA"/>
    <w:rsid w:val="0092392E"/>
    <w:rsid w:val="00940F93"/>
    <w:rsid w:val="0094558F"/>
    <w:rsid w:val="00961690"/>
    <w:rsid w:val="009760F3"/>
    <w:rsid w:val="0098203C"/>
    <w:rsid w:val="009A0E8D"/>
    <w:rsid w:val="009A6FEF"/>
    <w:rsid w:val="009B1518"/>
    <w:rsid w:val="009B26E7"/>
    <w:rsid w:val="009C414B"/>
    <w:rsid w:val="009C454F"/>
    <w:rsid w:val="009D2A5B"/>
    <w:rsid w:val="009D56CA"/>
    <w:rsid w:val="009E1D8E"/>
    <w:rsid w:val="00A00A3F"/>
    <w:rsid w:val="00A01489"/>
    <w:rsid w:val="00A120E8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7871"/>
    <w:rsid w:val="00AB2988"/>
    <w:rsid w:val="00AD44C2"/>
    <w:rsid w:val="00AD48FA"/>
    <w:rsid w:val="00AE4840"/>
    <w:rsid w:val="00B00487"/>
    <w:rsid w:val="00B11BB4"/>
    <w:rsid w:val="00B22BC2"/>
    <w:rsid w:val="00B30179"/>
    <w:rsid w:val="00B36690"/>
    <w:rsid w:val="00B421C1"/>
    <w:rsid w:val="00B51AC0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03B8"/>
    <w:rsid w:val="00B81206"/>
    <w:rsid w:val="00B81E12"/>
    <w:rsid w:val="00B8280B"/>
    <w:rsid w:val="00BA2681"/>
    <w:rsid w:val="00BA4044"/>
    <w:rsid w:val="00BA616B"/>
    <w:rsid w:val="00BB7CD1"/>
    <w:rsid w:val="00BB7FE9"/>
    <w:rsid w:val="00BC3FA0"/>
    <w:rsid w:val="00BC74E9"/>
    <w:rsid w:val="00BD55A0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87367"/>
    <w:rsid w:val="00CB3E03"/>
    <w:rsid w:val="00CD57D2"/>
    <w:rsid w:val="00CE4A8F"/>
    <w:rsid w:val="00CE4B11"/>
    <w:rsid w:val="00D00610"/>
    <w:rsid w:val="00D2031B"/>
    <w:rsid w:val="00D25FE2"/>
    <w:rsid w:val="00D263A7"/>
    <w:rsid w:val="00D3654F"/>
    <w:rsid w:val="00D41103"/>
    <w:rsid w:val="00D43252"/>
    <w:rsid w:val="00D473CD"/>
    <w:rsid w:val="00D47EEA"/>
    <w:rsid w:val="00D54567"/>
    <w:rsid w:val="00D550D4"/>
    <w:rsid w:val="00D61EEC"/>
    <w:rsid w:val="00D65303"/>
    <w:rsid w:val="00D729FB"/>
    <w:rsid w:val="00D773DF"/>
    <w:rsid w:val="00D80773"/>
    <w:rsid w:val="00D87235"/>
    <w:rsid w:val="00D876F8"/>
    <w:rsid w:val="00D9255F"/>
    <w:rsid w:val="00D95303"/>
    <w:rsid w:val="00D978C6"/>
    <w:rsid w:val="00DA3C1C"/>
    <w:rsid w:val="00DB6CA5"/>
    <w:rsid w:val="00DC2362"/>
    <w:rsid w:val="00DC634C"/>
    <w:rsid w:val="00DD1676"/>
    <w:rsid w:val="00E046DF"/>
    <w:rsid w:val="00E15557"/>
    <w:rsid w:val="00E27346"/>
    <w:rsid w:val="00E665A8"/>
    <w:rsid w:val="00E71BC8"/>
    <w:rsid w:val="00E7260F"/>
    <w:rsid w:val="00E73F5D"/>
    <w:rsid w:val="00E746D9"/>
    <w:rsid w:val="00E77E4E"/>
    <w:rsid w:val="00E8090F"/>
    <w:rsid w:val="00E80DA0"/>
    <w:rsid w:val="00E819C4"/>
    <w:rsid w:val="00E96630"/>
    <w:rsid w:val="00E96736"/>
    <w:rsid w:val="00EA5018"/>
    <w:rsid w:val="00EA6ABB"/>
    <w:rsid w:val="00EC106A"/>
    <w:rsid w:val="00EC32A0"/>
    <w:rsid w:val="00ED7A2A"/>
    <w:rsid w:val="00EE57F2"/>
    <w:rsid w:val="00EE6B3A"/>
    <w:rsid w:val="00EF1D7F"/>
    <w:rsid w:val="00F01F24"/>
    <w:rsid w:val="00F227A6"/>
    <w:rsid w:val="00F30EB7"/>
    <w:rsid w:val="00F31E5F"/>
    <w:rsid w:val="00F36F0D"/>
    <w:rsid w:val="00F4272A"/>
    <w:rsid w:val="00F4342B"/>
    <w:rsid w:val="00F5279F"/>
    <w:rsid w:val="00F54642"/>
    <w:rsid w:val="00F6100A"/>
    <w:rsid w:val="00F66565"/>
    <w:rsid w:val="00F93781"/>
    <w:rsid w:val="00FA3772"/>
    <w:rsid w:val="00FB613B"/>
    <w:rsid w:val="00FC398D"/>
    <w:rsid w:val="00FC3C87"/>
    <w:rsid w:val="00FC68B7"/>
    <w:rsid w:val="00FD49F1"/>
    <w:rsid w:val="00FE0135"/>
    <w:rsid w:val="00FE106A"/>
    <w:rsid w:val="00FE232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DD891E9"/>
  <w15:docId w15:val="{48CD8DE4-8C3F-4D8F-87CE-8F345BA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DA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0D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0D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package" Target="embeddings/Microsoft_Visio_Drawing1.vsd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xtranet.era.europa.eu/safety/TDG/_layouts/15/WopiFrame.aspx?sourcedoc=/safety/TDG/Working-documents/Guide%20(B)%20on%20TDG%20risk%20estimations/10th%20WS%20version%20-%20Guide%20on%20harmonised%20risk%20estimation%20-%20draft%20part%20A.docx&amp;action=default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trans/doc/2014/dgwp15ac1/ECE-TRANS-WP15-AC1-2014-GE-INF16e.pdf" TargetMode="External"/><Relationship Id="rId1" Type="http://schemas.openxmlformats.org/officeDocument/2006/relationships/hyperlink" Target="http://www.unece.org/fileadmin/DAM/trans/doc/2014/dgwp15ac1/ECE-TRANS-WP15-AC1-2014-GE-INF16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96" ma:contentTypeDescription="" ma:contentTypeScope="" ma:versionID="a95f8e99dea2bc63330984f25a69ba4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ERAEXT-862870994-72</_dlc_DocId>
    <TaxCatchAll xmlns="37dc432a-8ebf-4af5-8237-268edd3a8664">
      <Value>201</Value>
      <Value>733</Value>
      <Value>458</Value>
      <Value>1122</Value>
      <Value>572</Value>
    </TaxCatchAll>
    <_dlc_DocIdUrl xmlns="37dc432a-8ebf-4af5-8237-268edd3a8664">
      <Url>https://extranet.era.europa.eu/TDG-EC/_layouts/15/DocIdRedir.aspx?ID=ERAEXT-862870994-72</Url>
      <Description>ERAEXT-862870994-72</Description>
    </_dlc_DocIdUrl>
    <Meeting_x0020_date xmlns="37dc432a-8ebf-4af5-8237-268edd3a8664">2017-09-18T22:00:00+00:00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Document</TermName>
          <TermId xmlns="http://schemas.microsoft.com/office/infopath/2007/PartnerControls">9faa2977-25ea-4ed6-974b-53a8139bec3f</TermId>
        </TermInfo>
      </Terms>
    </h70713ed90ce4adeabe454f2aabfa4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38DC-590B-4458-8EF4-01D30790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F43E4-9B35-4DE2-9CC1-95CEA0228BD7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37dc432a-8ebf-4af5-8237-268edd3a8664"/>
  </ds:schemaRefs>
</ds:datastoreItem>
</file>

<file path=customXml/itemProps3.xml><?xml version="1.0" encoding="utf-8"?>
<ds:datastoreItem xmlns:ds="http://schemas.openxmlformats.org/officeDocument/2006/customXml" ds:itemID="{4DA9478D-2791-47BF-A97D-8D2F18B97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FB2FA-09BF-4618-A8EA-4E8158C77B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84E295-152D-4239-82ED-C0E587FAF4F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22FA367-D804-429D-A18D-5D182DC0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2015-12-28T13:11:00Z</cp:lastPrinted>
  <dcterms:created xsi:type="dcterms:W3CDTF">2017-07-26T08:43:00Z</dcterms:created>
  <dcterms:modified xsi:type="dcterms:W3CDTF">2017-07-26T13:00:00Z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9b7e45f9-a0a2-4d52-a836-1b0d44fe25e8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458;#Technical Document|9faa2977-25ea-4ed6-974b-53a8139bec3f</vt:lpwstr>
  </property>
</Properties>
</file>