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8512C1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415659" w:rsidRPr="00A77EEF">
              <w:rPr>
                <w:lang w:val="fr-FR"/>
              </w:rPr>
              <w:t>TRANS/</w:t>
            </w:r>
            <w:r w:rsidR="007C1E99" w:rsidRPr="00D30E58">
              <w:rPr>
                <w:lang w:val="en-GB"/>
              </w:rPr>
              <w:t>WP.15/AC.1/201</w:t>
            </w:r>
            <w:r w:rsidR="007C1E99">
              <w:rPr>
                <w:lang w:val="en-GB"/>
              </w:rPr>
              <w:t>7</w:t>
            </w:r>
            <w:r w:rsidR="007C1E99" w:rsidRPr="00D30E58">
              <w:rPr>
                <w:lang w:val="en-GB"/>
              </w:rPr>
              <w:t>/</w:t>
            </w:r>
            <w:r w:rsidR="007C1E99">
              <w:rPr>
                <w:lang w:val="en-GB"/>
              </w:rPr>
              <w:t>8</w:t>
            </w:r>
          </w:p>
        </w:tc>
      </w:tr>
      <w:tr w:rsidR="00A658DB" w:rsidRPr="003C09DE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61161BF" wp14:editId="33DFA30C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3C09DE" w:rsidRDefault="00A658DB" w:rsidP="007B199D">
            <w:pPr>
              <w:spacing w:before="240"/>
              <w:rPr>
                <w:lang w:val="en-US"/>
              </w:rPr>
            </w:pPr>
            <w:r w:rsidRPr="003C09DE">
              <w:rPr>
                <w:lang w:val="en-US"/>
              </w:rPr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3C09DE">
              <w:rPr>
                <w:lang w:val="en-US"/>
              </w:rPr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3C09DE" w:rsidRDefault="00457EC1" w:rsidP="007B199D">
            <w:pPr>
              <w:rPr>
                <w:lang w:val="en-US"/>
              </w:rPr>
            </w:pPr>
            <w:r>
              <w:fldChar w:fldCharType="begin"/>
            </w:r>
            <w:r w:rsidRPr="003C09DE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3C09DE">
              <w:rPr>
                <w:lang w:val="en-US"/>
              </w:rPr>
              <w:instrText xml:space="preserve"> </w:instrText>
            </w:r>
            <w:r>
              <w:instrText>дату</w:instrText>
            </w:r>
            <w:r w:rsidRPr="003C09DE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3C09DE">
              <w:rPr>
                <w:lang w:val="en-US"/>
              </w:rPr>
              <w:instrText xml:space="preserve">" \* MERGEFORMAT </w:instrText>
            </w:r>
            <w:r>
              <w:fldChar w:fldCharType="separate"/>
            </w:r>
            <w:r w:rsidR="00E7431D">
              <w:rPr>
                <w:lang w:val="en-US"/>
              </w:rPr>
              <w:t>21</w:t>
            </w:r>
            <w:r w:rsidR="00415659">
              <w:rPr>
                <w:lang w:val="en-US"/>
              </w:rPr>
              <w:t xml:space="preserve"> </w:t>
            </w:r>
            <w:r w:rsidR="00E7431D">
              <w:rPr>
                <w:lang w:val="en-US"/>
              </w:rPr>
              <w:t>Dece</w:t>
            </w:r>
            <w:r w:rsidR="00415659">
              <w:rPr>
                <w:lang w:val="en-US"/>
              </w:rPr>
              <w:t>mber</w:t>
            </w:r>
            <w:r w:rsidR="00BD2942" w:rsidRPr="003C09DE">
              <w:rPr>
                <w:lang w:val="en-US"/>
              </w:rPr>
              <w:t xml:space="preserve"> 2016</w:t>
            </w:r>
            <w:r>
              <w:fldChar w:fldCharType="end"/>
            </w:r>
          </w:p>
          <w:p w:rsidR="00A658DB" w:rsidRPr="003C09DE" w:rsidRDefault="00A658DB" w:rsidP="007B199D">
            <w:pPr>
              <w:rPr>
                <w:lang w:val="en-US"/>
              </w:rPr>
            </w:pPr>
            <w:r w:rsidRPr="003C09DE">
              <w:rPr>
                <w:lang w:val="en-US"/>
              </w:rPr>
              <w:t>Russian</w:t>
            </w:r>
          </w:p>
          <w:p w:rsidR="00A658DB" w:rsidRPr="00E7431D" w:rsidRDefault="00A658DB" w:rsidP="007B199D">
            <w:pPr>
              <w:rPr>
                <w:lang w:val="en-US"/>
              </w:rPr>
            </w:pPr>
            <w:r w:rsidRPr="003C09DE">
              <w:rPr>
                <w:lang w:val="en-US"/>
              </w:rPr>
              <w:t xml:space="preserve">Original: </w:t>
            </w:r>
            <w:r w:rsidR="00E7431D">
              <w:rPr>
                <w:lang w:val="en-US"/>
              </w:rPr>
              <w:t>French</w:t>
            </w:r>
          </w:p>
          <w:p w:rsidR="00A658DB" w:rsidRPr="003C09DE" w:rsidRDefault="00A658DB" w:rsidP="007B199D">
            <w:pPr>
              <w:rPr>
                <w:lang w:val="en-US"/>
              </w:rPr>
            </w:pPr>
          </w:p>
        </w:tc>
      </w:tr>
    </w:tbl>
    <w:p w:rsidR="00A658DB" w:rsidRDefault="00A658DB" w:rsidP="00BD2942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07B7D" w:rsidRPr="005A387F" w:rsidRDefault="005A387F" w:rsidP="008512C1">
      <w:pPr>
        <w:spacing w:before="120" w:after="120"/>
        <w:rPr>
          <w:sz w:val="28"/>
          <w:szCs w:val="28"/>
          <w:lang w:val="en-US"/>
        </w:rPr>
      </w:pPr>
      <w:r w:rsidRPr="005A387F">
        <w:rPr>
          <w:sz w:val="28"/>
          <w:szCs w:val="28"/>
        </w:rPr>
        <w:t>Комитет по внутреннему транспорту</w:t>
      </w:r>
    </w:p>
    <w:p w:rsidR="002C1EE7" w:rsidRPr="00732C0A" w:rsidRDefault="003F6450" w:rsidP="002C1EE7">
      <w:pPr>
        <w:spacing w:after="120"/>
        <w:rPr>
          <w:b/>
          <w:sz w:val="24"/>
          <w:szCs w:val="24"/>
        </w:rPr>
      </w:pPr>
      <w:r w:rsidRPr="00732C0A">
        <w:rPr>
          <w:b/>
          <w:sz w:val="24"/>
          <w:szCs w:val="24"/>
        </w:rPr>
        <w:t xml:space="preserve">Рабочая группа по </w:t>
      </w:r>
      <w:r w:rsidR="00732C0A" w:rsidRPr="00732C0A">
        <w:rPr>
          <w:b/>
          <w:sz w:val="24"/>
          <w:szCs w:val="24"/>
        </w:rPr>
        <w:t>перевозкам опасных грузов</w:t>
      </w:r>
    </w:p>
    <w:p w:rsidR="00732C0A" w:rsidRPr="00732C0A" w:rsidRDefault="00732C0A" w:rsidP="00732C0A">
      <w:pPr>
        <w:rPr>
          <w:b/>
        </w:rPr>
      </w:pPr>
      <w:r w:rsidRPr="00732C0A">
        <w:rPr>
          <w:b/>
        </w:rPr>
        <w:t xml:space="preserve">Совместное совещание Комиссии экспертов МПОГ и </w:t>
      </w:r>
      <w:r>
        <w:rPr>
          <w:b/>
        </w:rPr>
        <w:br/>
      </w:r>
      <w:r w:rsidRPr="00732C0A">
        <w:rPr>
          <w:b/>
        </w:rPr>
        <w:t>Рабочей группы по перевозкам опасных грузов</w:t>
      </w:r>
    </w:p>
    <w:p w:rsidR="00732C0A" w:rsidRPr="004C1385" w:rsidRDefault="00732C0A" w:rsidP="00732C0A">
      <w:pPr>
        <w:rPr>
          <w:szCs w:val="24"/>
        </w:rPr>
      </w:pPr>
      <w:r>
        <w:t>Берн, 13–17 марта 2017 года</w:t>
      </w:r>
    </w:p>
    <w:p w:rsidR="00732C0A" w:rsidRPr="004C1385" w:rsidRDefault="00732C0A" w:rsidP="00732C0A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Пункт 5 b) предварительной повестки дня</w:t>
      </w:r>
    </w:p>
    <w:p w:rsidR="00007B7D" w:rsidRPr="00732C0A" w:rsidRDefault="00732C0A" w:rsidP="00732C0A">
      <w:pPr>
        <w:rPr>
          <w:b/>
        </w:rPr>
      </w:pPr>
      <w:r w:rsidRPr="00732C0A">
        <w:rPr>
          <w:b/>
        </w:rPr>
        <w:t xml:space="preserve">Предложения о внесении поправок в МПОГ/ДОПОГ/ВОПОГ: </w:t>
      </w:r>
      <w:r w:rsidR="00943FF9">
        <w:rPr>
          <w:b/>
        </w:rPr>
        <w:br/>
      </w:r>
      <w:r w:rsidRPr="00732C0A">
        <w:rPr>
          <w:b/>
        </w:rPr>
        <w:t>новые предложения</w:t>
      </w:r>
    </w:p>
    <w:p w:rsidR="00732C0A" w:rsidRPr="00732C0A" w:rsidRDefault="00732C0A" w:rsidP="00943FF9">
      <w:pPr>
        <w:pStyle w:val="HChGR"/>
      </w:pPr>
      <w:r w:rsidRPr="00732C0A">
        <w:tab/>
      </w:r>
      <w:r w:rsidRPr="00732C0A">
        <w:tab/>
        <w:t>Поправка к пункту 6.6.3.1 c) МПОГ/ДОПОГ/ВОПОГ</w:t>
      </w:r>
    </w:p>
    <w:p w:rsidR="00732C0A" w:rsidRPr="00732C0A" w:rsidRDefault="00943FF9" w:rsidP="00943FF9">
      <w:pPr>
        <w:pStyle w:val="H1GR"/>
      </w:pPr>
      <w:r>
        <w:tab/>
      </w:r>
      <w:r>
        <w:tab/>
      </w:r>
      <w:r w:rsidR="00732C0A" w:rsidRPr="00732C0A">
        <w:t>Передано правительством Италии</w:t>
      </w:r>
      <w:r w:rsidRPr="00943FF9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1"/>
        <w:t>*</w:t>
      </w:r>
      <w:r>
        <w:rPr>
          <w:b w:val="0"/>
          <w:sz w:val="20"/>
          <w:lang w:eastAsia="en-US"/>
        </w:rPr>
        <w:t xml:space="preserve"> </w:t>
      </w:r>
      <w:r w:rsidRPr="00943FF9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2"/>
        <w:t>**</w:t>
      </w:r>
    </w:p>
    <w:p w:rsidR="00732C0A" w:rsidRPr="00732C0A" w:rsidRDefault="00732C0A" w:rsidP="00E7431D">
      <w:pPr>
        <w:pStyle w:val="HChGR"/>
      </w:pPr>
      <w:r w:rsidRPr="00732C0A">
        <w:tab/>
      </w:r>
      <w:r w:rsidRPr="00732C0A">
        <w:tab/>
        <w:t>Введение</w:t>
      </w:r>
    </w:p>
    <w:p w:rsidR="00732C0A" w:rsidRPr="00732C0A" w:rsidRDefault="00732C0A" w:rsidP="00732C0A">
      <w:pPr>
        <w:pStyle w:val="SingleTxtGR"/>
      </w:pPr>
      <w:r w:rsidRPr="00732C0A">
        <w:t>1.</w:t>
      </w:r>
      <w:r w:rsidRPr="00732C0A">
        <w:tab/>
        <w:t>В пункте 6.6.3.1 c) в маркировке крупногабаритной тары для групп уп</w:t>
      </w:r>
      <w:r w:rsidRPr="00732C0A">
        <w:t>а</w:t>
      </w:r>
      <w:r w:rsidRPr="00732C0A">
        <w:t>ковки I, II и III предусмотрено обозначение «X».</w:t>
      </w:r>
    </w:p>
    <w:p w:rsidR="00732C0A" w:rsidRPr="00732C0A" w:rsidRDefault="00732C0A" w:rsidP="00732C0A">
      <w:pPr>
        <w:pStyle w:val="SingleTxtGR"/>
      </w:pPr>
      <w:r w:rsidRPr="00732C0A">
        <w:t>2.</w:t>
      </w:r>
      <w:r w:rsidRPr="00732C0A">
        <w:tab/>
        <w:t>Вместе с тем, в таблице</w:t>
      </w:r>
      <w:proofErr w:type="gramStart"/>
      <w:r w:rsidRPr="00732C0A">
        <w:t xml:space="preserve"> А</w:t>
      </w:r>
      <w:proofErr w:type="gramEnd"/>
      <w:r w:rsidRPr="00732C0A">
        <w:t xml:space="preserve"> главы 3.2 код LP в колонке 8 ни для одной п</w:t>
      </w:r>
      <w:r w:rsidRPr="00732C0A">
        <w:t>о</w:t>
      </w:r>
      <w:r w:rsidRPr="00732C0A">
        <w:t>зиции группы упаковки I не назначен. Ни одна позиция, для которой предпис</w:t>
      </w:r>
      <w:r w:rsidRPr="00732C0A">
        <w:t>а</w:t>
      </w:r>
      <w:r w:rsidRPr="00732C0A">
        <w:t>на группа упаковки I, не может перевозиться в крупногабаритной таре.</w:t>
      </w:r>
    </w:p>
    <w:p w:rsidR="00732C0A" w:rsidRPr="00732C0A" w:rsidRDefault="00732C0A" w:rsidP="00732C0A">
      <w:pPr>
        <w:pStyle w:val="SingleTxtGR"/>
      </w:pPr>
      <w:r w:rsidRPr="00732C0A">
        <w:t>3.</w:t>
      </w:r>
      <w:r w:rsidRPr="00732C0A">
        <w:tab/>
        <w:t>В отношении позиций, которым не предписана какая-либо группа уп</w:t>
      </w:r>
      <w:r w:rsidRPr="00732C0A">
        <w:t>а</w:t>
      </w:r>
      <w:r w:rsidRPr="00732C0A">
        <w:t>ковки, необходимо отметить следующее:</w:t>
      </w:r>
    </w:p>
    <w:p w:rsidR="00732C0A" w:rsidRPr="00732C0A" w:rsidRDefault="00732C0A" w:rsidP="00732C0A">
      <w:pPr>
        <w:pStyle w:val="SingleTxtGR"/>
      </w:pPr>
      <w:r w:rsidRPr="00732C0A">
        <w:t>-</w:t>
      </w:r>
      <w:r w:rsidRPr="00732C0A">
        <w:tab/>
        <w:t>взрывчатые вещества отнесены к группе упаковки II (см. пункт 4.1.1.18 и ПРИМЕЧАНИЕ к пункту 6.6.5.3.4.4);</w:t>
      </w:r>
    </w:p>
    <w:p w:rsidR="00732C0A" w:rsidRPr="00732C0A" w:rsidRDefault="00732C0A" w:rsidP="00732C0A">
      <w:pPr>
        <w:pStyle w:val="SingleTxtGR"/>
      </w:pPr>
      <w:r w:rsidRPr="00732C0A">
        <w:t>-</w:t>
      </w:r>
      <w:r w:rsidRPr="00732C0A">
        <w:tab/>
        <w:t xml:space="preserve">для № ООН 3090, 3091, 3480 и 3481 </w:t>
      </w:r>
      <w:r w:rsidR="00C56EB3">
        <w:t>«</w:t>
      </w:r>
      <w:r w:rsidRPr="00732C0A">
        <w:t>Литиевые батареи</w:t>
      </w:r>
      <w:r w:rsidR="00C56EB3">
        <w:t>»</w:t>
      </w:r>
      <w:r w:rsidRPr="00732C0A">
        <w:t xml:space="preserve"> в</w:t>
      </w:r>
      <w:r w:rsidR="00C56EB3">
        <w:t xml:space="preserve"> </w:t>
      </w:r>
      <w:r w:rsidRPr="00732C0A">
        <w:t xml:space="preserve">инструкциях по упаковке предусмотрена </w:t>
      </w:r>
      <w:r w:rsidR="00C56EB3">
        <w:t>«</w:t>
      </w:r>
      <w:r w:rsidRPr="00732C0A">
        <w:t>жесткая</w:t>
      </w:r>
      <w:r w:rsidR="00C56EB3">
        <w:t xml:space="preserve"> </w:t>
      </w:r>
      <w:r w:rsidRPr="00732C0A">
        <w:t>крупногабаритная тара, отвечающая эк</w:t>
      </w:r>
      <w:r w:rsidRPr="00732C0A">
        <w:t>с</w:t>
      </w:r>
      <w:r w:rsidRPr="00732C0A">
        <w:t>плуатационным требованиям для группы упаковки II</w:t>
      </w:r>
      <w:r w:rsidR="00C56EB3">
        <w:t>»</w:t>
      </w:r>
      <w:r w:rsidR="00C25344">
        <w:t>;</w:t>
      </w:r>
    </w:p>
    <w:p w:rsidR="00732C0A" w:rsidRPr="00732C0A" w:rsidRDefault="00732C0A" w:rsidP="00732C0A">
      <w:pPr>
        <w:pStyle w:val="SingleTxtGR"/>
      </w:pPr>
      <w:r w:rsidRPr="00732C0A">
        <w:lastRenderedPageBreak/>
        <w:t>-</w:t>
      </w:r>
      <w:r w:rsidRPr="00732C0A">
        <w:tab/>
        <w:t xml:space="preserve">для № ООН 3268 в специальном положении 236 главы 3.3 предусмотрено следующее: </w:t>
      </w:r>
      <w:r w:rsidR="00C56EB3">
        <w:t>«</w:t>
      </w:r>
      <w:r w:rsidRPr="00732C0A">
        <w:t>комплекты полиэфирных смол… основного вещества (класс 3, группа упаковки II или III)</w:t>
      </w:r>
      <w:r w:rsidR="00C25344">
        <w:t>…</w:t>
      </w:r>
      <w:r w:rsidR="00C56EB3">
        <w:t>»</w:t>
      </w:r>
      <w:r w:rsidR="00C25344">
        <w:t>;</w:t>
      </w:r>
    </w:p>
    <w:p w:rsidR="00732C0A" w:rsidRPr="00732C0A" w:rsidRDefault="00732C0A" w:rsidP="00732C0A">
      <w:pPr>
        <w:pStyle w:val="SingleTxtGR"/>
      </w:pPr>
      <w:r w:rsidRPr="00732C0A">
        <w:t>-</w:t>
      </w:r>
      <w:r w:rsidRPr="00732C0A">
        <w:tab/>
        <w:t xml:space="preserve">для № ООН 3509 в специальном положении 663 главы 3.3 предусмотрено следующее: </w:t>
      </w:r>
      <w:r w:rsidR="00C56EB3">
        <w:t>«</w:t>
      </w:r>
      <w:r w:rsidRPr="00732C0A">
        <w:t>Остатки, присутствующие в отбракованной порожней неочище</w:t>
      </w:r>
      <w:r w:rsidRPr="00732C0A">
        <w:t>н</w:t>
      </w:r>
      <w:r w:rsidRPr="00732C0A">
        <w:t>ной таре... Кроме того, они не должны содержать: вещества, которые отнесены к группе упаковки I...</w:t>
      </w:r>
      <w:r w:rsidR="00564D3F">
        <w:t>»</w:t>
      </w:r>
      <w:r w:rsidRPr="00732C0A">
        <w:t>;</w:t>
      </w:r>
    </w:p>
    <w:p w:rsidR="00732C0A" w:rsidRPr="00732C0A" w:rsidRDefault="00732C0A" w:rsidP="00732C0A">
      <w:pPr>
        <w:pStyle w:val="SingleTxtGR"/>
      </w:pPr>
      <w:r w:rsidRPr="00732C0A">
        <w:t>-</w:t>
      </w:r>
      <w:r w:rsidRPr="00732C0A">
        <w:tab/>
        <w:t xml:space="preserve">в инструкциях по упаковке LP01 и LP02 для групп упаковки I и II указано </w:t>
      </w:r>
      <w:r w:rsidR="00C56EB3">
        <w:t>«</w:t>
      </w:r>
      <w:r w:rsidRPr="00732C0A">
        <w:t>Не разрешается</w:t>
      </w:r>
      <w:r w:rsidR="00C56EB3">
        <w:t>»</w:t>
      </w:r>
      <w:r w:rsidRPr="00732C0A">
        <w:t>.</w:t>
      </w:r>
    </w:p>
    <w:p w:rsidR="00732C0A" w:rsidRPr="00732C0A" w:rsidRDefault="00732C0A" w:rsidP="00564D3F">
      <w:pPr>
        <w:pStyle w:val="H1GR"/>
      </w:pPr>
      <w:r w:rsidRPr="00732C0A">
        <w:tab/>
      </w:r>
      <w:r w:rsidRPr="00732C0A">
        <w:tab/>
        <w:t>Предложения</w:t>
      </w:r>
    </w:p>
    <w:p w:rsidR="00732C0A" w:rsidRPr="00732C0A" w:rsidRDefault="00C25344" w:rsidP="00732C0A">
      <w:pPr>
        <w:pStyle w:val="SingleTxtGR"/>
      </w:pPr>
      <w:r>
        <w:t>4.</w:t>
      </w:r>
      <w:r>
        <w:tab/>
        <w:t xml:space="preserve">Поскольку глава </w:t>
      </w:r>
      <w:r w:rsidR="00732C0A" w:rsidRPr="00732C0A">
        <w:t>6.6 является общей для всех видов транспорта, Италия просит Совместное совещание определить, должны ли нижеследующие пре</w:t>
      </w:r>
      <w:r w:rsidR="00732C0A" w:rsidRPr="00732C0A">
        <w:t>д</w:t>
      </w:r>
      <w:r w:rsidR="00732C0A" w:rsidRPr="00732C0A">
        <w:t>ложения быть представлены на рассмотрение Подкомитета экспертов ООН по перевозке опасных грузов:</w:t>
      </w:r>
    </w:p>
    <w:p w:rsidR="00732C0A" w:rsidRPr="00732C0A" w:rsidRDefault="00732C0A" w:rsidP="00732C0A">
      <w:pPr>
        <w:pStyle w:val="SingleTxtGR"/>
      </w:pPr>
      <w:r w:rsidRPr="00732C0A">
        <w:tab/>
        <w:t>a)</w:t>
      </w:r>
      <w:r w:rsidRPr="00732C0A">
        <w:tab/>
        <w:t xml:space="preserve">исключить в пункте 6.6.3.1 c)  </w:t>
      </w:r>
      <w:r w:rsidR="00C56EB3">
        <w:t>«</w:t>
      </w:r>
      <w:r w:rsidRPr="00732C0A">
        <w:t>X – для групп упаковки I, II и III</w:t>
      </w:r>
      <w:r w:rsidR="00C56EB3">
        <w:t>»</w:t>
      </w:r>
      <w:r w:rsidR="00C25344">
        <w:t>;</w:t>
      </w:r>
    </w:p>
    <w:p w:rsidR="00732C0A" w:rsidRPr="00732C0A" w:rsidRDefault="00732C0A" w:rsidP="00732C0A">
      <w:pPr>
        <w:pStyle w:val="SingleTxtGR"/>
      </w:pPr>
      <w:r w:rsidRPr="00732C0A">
        <w:tab/>
        <w:t>b)</w:t>
      </w:r>
      <w:r w:rsidRPr="00732C0A">
        <w:tab/>
        <w:t xml:space="preserve">изменить первый пример маркировки следующим образом </w:t>
      </w:r>
      <w:r w:rsidR="00C56EB3">
        <w:t>«</w:t>
      </w:r>
      <w:r w:rsidRPr="00732C0A">
        <w:t>50A/Y/05 01/N/PQRS 2500/1000</w:t>
      </w:r>
      <w:r w:rsidR="00C56EB3">
        <w:t>»</w:t>
      </w:r>
      <w:r w:rsidR="00C25344">
        <w:t>;</w:t>
      </w:r>
    </w:p>
    <w:p w:rsidR="00007B7D" w:rsidRDefault="00732C0A" w:rsidP="00732C0A">
      <w:pPr>
        <w:pStyle w:val="SingleTxtGR"/>
      </w:pPr>
      <w:r w:rsidRPr="00732C0A">
        <w:tab/>
        <w:t>с)</w:t>
      </w:r>
      <w:r w:rsidRPr="00732C0A">
        <w:tab/>
        <w:t xml:space="preserve">в таблицах в пунктах 6.6.5.3.4.4.1 и 6.6.5.3.4.4.2 исключить колонку </w:t>
      </w:r>
      <w:r w:rsidR="00C56EB3">
        <w:t>«</w:t>
      </w:r>
      <w:r w:rsidRPr="00732C0A">
        <w:t>Группа упаковки I</w:t>
      </w:r>
      <w:r w:rsidR="00C56EB3">
        <w:t>»</w:t>
      </w:r>
      <w:r w:rsidRPr="00732C0A">
        <w:t>.</w:t>
      </w:r>
    </w:p>
    <w:p w:rsidR="002C1EE7" w:rsidRPr="00E7431D" w:rsidRDefault="00E7431D" w:rsidP="00E7431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C1EE7" w:rsidRPr="00E7431D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AA" w:rsidRDefault="004907AA" w:rsidP="00B471C5">
      <w:r>
        <w:separator/>
      </w:r>
    </w:p>
  </w:endnote>
  <w:endnote w:type="continuationSeparator" w:id="0">
    <w:p w:rsidR="004907AA" w:rsidRDefault="004907A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457EC1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7C1E99">
      <w:rPr>
        <w:lang w:val="en-US"/>
      </w:rPr>
      <w:t>22425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 w:rsidR="00BD2942">
      <w:rPr>
        <w:lang w:val="en-US"/>
      </w:rPr>
      <w:t>1</w:t>
    </w:r>
    <w:r w:rsidR="005A387F">
      <w:rPr>
        <w:lang w:val="en-US"/>
      </w:rPr>
      <w:t>9729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7431D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C1E99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7C1E99">
            <w:rPr>
              <w:lang w:val="en-US"/>
            </w:rPr>
            <w:t>22425</w:t>
          </w:r>
          <w:r w:rsidRPr="001C3ABC">
            <w:rPr>
              <w:lang w:val="en-US"/>
            </w:rPr>
            <w:t xml:space="preserve"> (R)</w:t>
          </w:r>
          <w:r w:rsidR="00BD2942">
            <w:rPr>
              <w:lang w:val="en-US"/>
            </w:rPr>
            <w:t xml:space="preserve">  </w:t>
          </w:r>
          <w:r w:rsidR="007C1E99">
            <w:rPr>
              <w:lang w:val="en-US"/>
            </w:rPr>
            <w:t>060117  060117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0FA24F44" wp14:editId="60C78F89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7C1E99" w:rsidP="007B199D">
          <w:pPr>
            <w:jc w:val="right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62DA5E92" wp14:editId="6E6B0524">
                <wp:simplePos x="0" y="0"/>
                <wp:positionH relativeFrom="margin">
                  <wp:posOffset>-27305</wp:posOffset>
                </wp:positionH>
                <wp:positionV relativeFrom="margin">
                  <wp:posOffset>-18415</wp:posOffset>
                </wp:positionV>
                <wp:extent cx="636905" cy="636905"/>
                <wp:effectExtent l="0" t="0" r="0" b="0"/>
                <wp:wrapNone/>
                <wp:docPr id="3" name="Image 1" descr="http://undocs.org/m2/QRCode.ashx?DS=ECE/TRANS/WP.15/AC.1/2017/8&amp;Size=2&amp;Lang=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7/8&amp;Size=2&amp;Lang=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90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7C1E99" w:rsidRDefault="007C1E9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E7DD9">
            <w:rPr>
              <w:rFonts w:ascii="C39T30Lfz" w:hAnsi="C39T30Lfz"/>
              <w:sz w:val="56"/>
            </w:rPr>
            <w:t></w:t>
          </w:r>
          <w:r w:rsidRPr="009E7DD9">
            <w:rPr>
              <w:rFonts w:ascii="C39T30Lfz" w:hAnsi="C39T30Lfz"/>
              <w:sz w:val="56"/>
            </w:rPr>
            <w:t></w:t>
          </w:r>
          <w:r w:rsidRPr="009E7DD9">
            <w:rPr>
              <w:rFonts w:ascii="C39T30Lfz" w:hAnsi="C39T30Lfz"/>
              <w:sz w:val="56"/>
            </w:rPr>
            <w:t></w:t>
          </w:r>
          <w:r w:rsidRPr="009E7DD9">
            <w:rPr>
              <w:rFonts w:ascii="C39T30Lfz" w:hAnsi="C39T30Lfz"/>
              <w:sz w:val="56"/>
            </w:rPr>
            <w:t></w:t>
          </w:r>
          <w:r w:rsidRPr="009E7DD9">
            <w:rPr>
              <w:rFonts w:ascii="C39T30Lfz" w:hAnsi="C39T30Lfz"/>
              <w:sz w:val="56"/>
            </w:rPr>
            <w:t></w:t>
          </w:r>
          <w:r w:rsidRPr="009E7DD9">
            <w:rPr>
              <w:rFonts w:ascii="C39T30Lfz" w:hAnsi="C39T30Lfz"/>
              <w:sz w:val="56"/>
            </w:rPr>
            <w:t></w:t>
          </w:r>
          <w:r w:rsidRPr="009E7DD9">
            <w:rPr>
              <w:rFonts w:ascii="C39T30Lfz" w:hAnsi="C39T30Lfz"/>
              <w:sz w:val="56"/>
            </w:rPr>
            <w:t></w:t>
          </w:r>
          <w:r w:rsidRPr="009E7DD9">
            <w:rPr>
              <w:rFonts w:ascii="C39T30Lfz" w:hAnsi="C39T30Lfz"/>
              <w:sz w:val="56"/>
            </w:rPr>
            <w:t></w:t>
          </w:r>
          <w:r w:rsidRPr="009E7DD9">
            <w:rPr>
              <w:rFonts w:ascii="C39T30Lfz" w:hAnsi="C39T30Lfz"/>
              <w:sz w:val="56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AA" w:rsidRPr="009141DC" w:rsidRDefault="004907A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907AA" w:rsidRPr="00D1261C" w:rsidRDefault="004907A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43FF9" w:rsidRPr="00943FF9" w:rsidRDefault="00943FF9">
      <w:pPr>
        <w:pStyle w:val="Notedebasdepage"/>
        <w:rPr>
          <w:lang w:val="ru-RU"/>
        </w:rPr>
      </w:pPr>
      <w:r>
        <w:tab/>
      </w:r>
      <w:r w:rsidRPr="00E7431D">
        <w:rPr>
          <w:rStyle w:val="Appelnotedebasdep"/>
          <w:sz w:val="20"/>
          <w:vertAlign w:val="baseline"/>
          <w:lang w:val="ru-RU"/>
        </w:rPr>
        <w:t>*</w:t>
      </w:r>
      <w:r w:rsidRPr="00943FF9">
        <w:rPr>
          <w:lang w:val="ru-RU"/>
        </w:rPr>
        <w:t xml:space="preserve"> </w:t>
      </w:r>
      <w:r w:rsidRPr="00943FF9">
        <w:rPr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="00E7431D" w:rsidRPr="00E7431D">
        <w:rPr>
          <w:lang w:val="ru-RU"/>
        </w:rPr>
        <w:br/>
      </w:r>
      <w:r>
        <w:rPr>
          <w:lang w:val="ru-RU"/>
        </w:rPr>
        <w:t>на 2016−2017 годы (ECE/TRANS/2016/28/Add.1, пункт 9.2).</w:t>
      </w:r>
    </w:p>
  </w:footnote>
  <w:footnote w:id="2">
    <w:p w:rsidR="00943FF9" w:rsidRPr="00943FF9" w:rsidRDefault="00943FF9">
      <w:pPr>
        <w:pStyle w:val="Notedebasdepage"/>
        <w:rPr>
          <w:lang w:val="ru-RU"/>
        </w:rPr>
      </w:pPr>
      <w:r w:rsidRPr="00E7431D">
        <w:rPr>
          <w:lang w:val="ru-RU"/>
        </w:rPr>
        <w:tab/>
      </w:r>
      <w:r w:rsidRPr="00E7431D">
        <w:rPr>
          <w:rStyle w:val="Appelnotedebasdep"/>
          <w:sz w:val="20"/>
          <w:vertAlign w:val="baseline"/>
          <w:lang w:val="ru-RU"/>
        </w:rPr>
        <w:t>**</w:t>
      </w:r>
      <w:r w:rsidRPr="00943FF9">
        <w:rPr>
          <w:lang w:val="ru-RU"/>
        </w:rPr>
        <w:t xml:space="preserve"> </w:t>
      </w:r>
      <w:r>
        <w:rPr>
          <w:lang w:val="ru-RU"/>
        </w:rP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OTIF/RID/RC/2017/8.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415659" w:rsidRPr="00A77EEF">
      <w:rPr>
        <w:lang w:val="fr-FR"/>
      </w:rPr>
      <w:t>TRANS/</w:t>
    </w:r>
    <w:r w:rsidR="007C1E99" w:rsidRPr="00D30E58">
      <w:t>WP.15/AC.1/201</w:t>
    </w:r>
    <w:r w:rsidR="007C1E99">
      <w:t>7</w:t>
    </w:r>
    <w:r w:rsidR="007C1E99" w:rsidRPr="00D30E58">
      <w:t>/</w:t>
    </w:r>
    <w:r w:rsidR="007C1E99"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  <w:r w:rsidR="005A387F" w:rsidRPr="00A77EEF">
      <w:rPr>
        <w:lang w:val="fr-FR"/>
      </w:rPr>
      <w:t>TRANS/WP.29/GRRF/201</w:t>
    </w:r>
    <w:r w:rsidR="005A387F">
      <w:rPr>
        <w:lang w:val="fr-FR"/>
      </w:rPr>
      <w:t>7</w:t>
    </w:r>
    <w:r w:rsidR="005A387F" w:rsidRPr="00A77EEF">
      <w:rPr>
        <w:lang w:val="fr-FR"/>
      </w:rPr>
      <w:t>/</w:t>
    </w:r>
    <w:r w:rsidR="005A387F">
      <w:rPr>
        <w:lang w:val="fr-F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42"/>
    <w:rsid w:val="00007B7D"/>
    <w:rsid w:val="000450D1"/>
    <w:rsid w:val="00060B0C"/>
    <w:rsid w:val="000B1FD5"/>
    <w:rsid w:val="000F2A4F"/>
    <w:rsid w:val="00193116"/>
    <w:rsid w:val="001B5F6B"/>
    <w:rsid w:val="001F6963"/>
    <w:rsid w:val="00203F84"/>
    <w:rsid w:val="00275188"/>
    <w:rsid w:val="0028687D"/>
    <w:rsid w:val="002B091C"/>
    <w:rsid w:val="002B3702"/>
    <w:rsid w:val="002B3D40"/>
    <w:rsid w:val="002C1EE7"/>
    <w:rsid w:val="002D0CCB"/>
    <w:rsid w:val="00345C79"/>
    <w:rsid w:val="00366A39"/>
    <w:rsid w:val="003A2DC1"/>
    <w:rsid w:val="003C09DE"/>
    <w:rsid w:val="003F6450"/>
    <w:rsid w:val="00415659"/>
    <w:rsid w:val="00457EC1"/>
    <w:rsid w:val="0048005C"/>
    <w:rsid w:val="004907AA"/>
    <w:rsid w:val="004D639B"/>
    <w:rsid w:val="004E242B"/>
    <w:rsid w:val="00544379"/>
    <w:rsid w:val="00564D3F"/>
    <w:rsid w:val="00566944"/>
    <w:rsid w:val="005A387F"/>
    <w:rsid w:val="005D56BF"/>
    <w:rsid w:val="0062027E"/>
    <w:rsid w:val="00643644"/>
    <w:rsid w:val="00665D8D"/>
    <w:rsid w:val="006A7A3B"/>
    <w:rsid w:val="006B3E33"/>
    <w:rsid w:val="006B6B57"/>
    <w:rsid w:val="006F49F1"/>
    <w:rsid w:val="007005EE"/>
    <w:rsid w:val="00705394"/>
    <w:rsid w:val="00732C0A"/>
    <w:rsid w:val="00743F62"/>
    <w:rsid w:val="00760D3A"/>
    <w:rsid w:val="00773BA8"/>
    <w:rsid w:val="007A1F42"/>
    <w:rsid w:val="007C1E99"/>
    <w:rsid w:val="007D76DD"/>
    <w:rsid w:val="007E17E5"/>
    <w:rsid w:val="008325ED"/>
    <w:rsid w:val="008512C1"/>
    <w:rsid w:val="008717E8"/>
    <w:rsid w:val="008B1AD6"/>
    <w:rsid w:val="008D01AE"/>
    <w:rsid w:val="008E0423"/>
    <w:rsid w:val="009141DC"/>
    <w:rsid w:val="009174A1"/>
    <w:rsid w:val="0092370A"/>
    <w:rsid w:val="00943FF9"/>
    <w:rsid w:val="009451DA"/>
    <w:rsid w:val="00980B8A"/>
    <w:rsid w:val="0098674D"/>
    <w:rsid w:val="00997ACA"/>
    <w:rsid w:val="00A03FB7"/>
    <w:rsid w:val="00A55C56"/>
    <w:rsid w:val="00A658DB"/>
    <w:rsid w:val="00A75A11"/>
    <w:rsid w:val="00A9606E"/>
    <w:rsid w:val="00AD72C6"/>
    <w:rsid w:val="00AD7EAD"/>
    <w:rsid w:val="00B35A32"/>
    <w:rsid w:val="00B432C6"/>
    <w:rsid w:val="00B471C5"/>
    <w:rsid w:val="00B6474A"/>
    <w:rsid w:val="00B84990"/>
    <w:rsid w:val="00BD2942"/>
    <w:rsid w:val="00BE1742"/>
    <w:rsid w:val="00BF2F5A"/>
    <w:rsid w:val="00C25344"/>
    <w:rsid w:val="00C42BF7"/>
    <w:rsid w:val="00C56EB3"/>
    <w:rsid w:val="00C968B2"/>
    <w:rsid w:val="00D1261C"/>
    <w:rsid w:val="00D26030"/>
    <w:rsid w:val="00D75DCE"/>
    <w:rsid w:val="00DD35AC"/>
    <w:rsid w:val="00DD479F"/>
    <w:rsid w:val="00E15E48"/>
    <w:rsid w:val="00E7431D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2C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42BF7"/>
    <w:rPr>
      <w:color w:val="0000FF" w:themeColor="hyperlink"/>
      <w:u w:val="single"/>
    </w:rPr>
  </w:style>
  <w:style w:type="character" w:customStyle="1" w:styleId="Titre7Car">
    <w:name w:val="Titre 7 Car"/>
    <w:basedOn w:val="Policepardfaut"/>
    <w:link w:val="Titre7"/>
    <w:uiPriority w:val="9"/>
    <w:semiHidden/>
    <w:rsid w:val="00732C0A"/>
    <w:rPr>
      <w:rFonts w:asciiTheme="majorHAnsi" w:eastAsiaTheme="majorEastAsia" w:hAnsiTheme="majorHAnsi" w:cstheme="majorBidi"/>
      <w:i/>
      <w:iCs/>
      <w:color w:val="404040" w:themeColor="text1" w:themeTint="BF"/>
      <w:spacing w:val="4"/>
      <w:w w:val="103"/>
      <w:kern w:val="14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7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EC1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2C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42BF7"/>
    <w:rPr>
      <w:color w:val="0000FF" w:themeColor="hyperlink"/>
      <w:u w:val="single"/>
    </w:rPr>
  </w:style>
  <w:style w:type="character" w:customStyle="1" w:styleId="Titre7Car">
    <w:name w:val="Titre 7 Car"/>
    <w:basedOn w:val="Policepardfaut"/>
    <w:link w:val="Titre7"/>
    <w:uiPriority w:val="9"/>
    <w:semiHidden/>
    <w:rsid w:val="00732C0A"/>
    <w:rPr>
      <w:rFonts w:asciiTheme="majorHAnsi" w:eastAsiaTheme="majorEastAsia" w:hAnsiTheme="majorHAnsi" w:cstheme="majorBidi"/>
      <w:i/>
      <w:iCs/>
      <w:color w:val="404040" w:themeColor="text1" w:themeTint="BF"/>
      <w:spacing w:val="4"/>
      <w:w w:val="103"/>
      <w:kern w:val="14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7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EC1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3977-C448-48F1-986B-E7B40C1E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barrio-champeau</cp:lastModifiedBy>
  <cp:revision>2</cp:revision>
  <dcterms:created xsi:type="dcterms:W3CDTF">2017-01-06T12:13:00Z</dcterms:created>
  <dcterms:modified xsi:type="dcterms:W3CDTF">2017-01-06T12:13:00Z</dcterms:modified>
</cp:coreProperties>
</file>