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4C3D8A">
        <w:trPr>
          <w:cantSplit/>
          <w:trHeight w:hRule="exact" w:val="851"/>
        </w:trPr>
        <w:tc>
          <w:tcPr>
            <w:tcW w:w="1276" w:type="dxa"/>
            <w:tcBorders>
              <w:bottom w:val="single" w:sz="4" w:space="0" w:color="auto"/>
            </w:tcBorders>
            <w:vAlign w:val="bottom"/>
          </w:tcPr>
          <w:p w:rsidR="00717266" w:rsidRDefault="00717266" w:rsidP="004C3D8A">
            <w:pPr>
              <w:spacing w:after="80"/>
            </w:pPr>
            <w:bookmarkStart w:id="0" w:name="_GoBack"/>
            <w:bookmarkEnd w:id="0"/>
          </w:p>
        </w:tc>
        <w:tc>
          <w:tcPr>
            <w:tcW w:w="2268" w:type="dxa"/>
            <w:tcBorders>
              <w:bottom w:val="single" w:sz="4" w:space="0" w:color="auto"/>
            </w:tcBorders>
            <w:vAlign w:val="bottom"/>
          </w:tcPr>
          <w:p w:rsidR="00717266" w:rsidRPr="00B97172" w:rsidRDefault="00717266" w:rsidP="004C3D8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611A4" w:rsidP="004C3D8A">
            <w:pPr>
              <w:suppressAutoHyphens w:val="0"/>
              <w:spacing w:after="20"/>
              <w:jc w:val="right"/>
            </w:pPr>
            <w:r w:rsidRPr="000611A4">
              <w:rPr>
                <w:sz w:val="40"/>
              </w:rPr>
              <w:t>ECE</w:t>
            </w:r>
            <w:r>
              <w:t>/TRANS/WP.15/AC.1/2017/42</w:t>
            </w:r>
          </w:p>
        </w:tc>
      </w:tr>
      <w:tr w:rsidR="00717266" w:rsidTr="004C3D8A">
        <w:trPr>
          <w:cantSplit/>
          <w:trHeight w:hRule="exact" w:val="2835"/>
        </w:trPr>
        <w:tc>
          <w:tcPr>
            <w:tcW w:w="1276" w:type="dxa"/>
            <w:tcBorders>
              <w:top w:val="single" w:sz="4" w:space="0" w:color="auto"/>
              <w:bottom w:val="single" w:sz="12" w:space="0" w:color="auto"/>
            </w:tcBorders>
          </w:tcPr>
          <w:p w:rsidR="00717266" w:rsidRDefault="00717266" w:rsidP="004C3D8A">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4C3D8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611A4" w:rsidP="004C3D8A">
            <w:pPr>
              <w:suppressAutoHyphens w:val="0"/>
              <w:spacing w:before="240" w:line="240" w:lineRule="exact"/>
            </w:pPr>
            <w:r>
              <w:t>Distr.: General</w:t>
            </w:r>
          </w:p>
          <w:p w:rsidR="000611A4" w:rsidRDefault="000611A4" w:rsidP="004C3D8A">
            <w:pPr>
              <w:suppressAutoHyphens w:val="0"/>
            </w:pPr>
            <w:r>
              <w:t>3 July 2017</w:t>
            </w:r>
          </w:p>
          <w:p w:rsidR="000611A4" w:rsidRDefault="00CA5C87" w:rsidP="004C3D8A">
            <w:pPr>
              <w:suppressAutoHyphens w:val="0"/>
            </w:pPr>
            <w:r>
              <w:t>English</w:t>
            </w:r>
          </w:p>
          <w:p w:rsidR="000611A4" w:rsidRDefault="000611A4" w:rsidP="004C3D8A">
            <w:pPr>
              <w:suppressAutoHyphens w:val="0"/>
            </w:pPr>
            <w:r>
              <w:t>Original: French</w:t>
            </w:r>
          </w:p>
        </w:tc>
      </w:tr>
    </w:tbl>
    <w:p w:rsidR="00DD53D7" w:rsidRPr="00DD53D7" w:rsidRDefault="00DD53D7" w:rsidP="00DD53D7">
      <w:pPr>
        <w:spacing w:before="120"/>
        <w:rPr>
          <w:b/>
          <w:sz w:val="28"/>
          <w:szCs w:val="28"/>
        </w:rPr>
      </w:pPr>
      <w:r w:rsidRPr="00DD53D7">
        <w:rPr>
          <w:b/>
          <w:sz w:val="28"/>
          <w:szCs w:val="28"/>
        </w:rPr>
        <w:t>Economic Commission for Europe</w:t>
      </w:r>
    </w:p>
    <w:p w:rsidR="00DD53D7" w:rsidRPr="00DD53D7" w:rsidRDefault="00DD53D7" w:rsidP="00DD53D7">
      <w:pPr>
        <w:spacing w:before="120"/>
        <w:rPr>
          <w:sz w:val="28"/>
          <w:szCs w:val="28"/>
        </w:rPr>
      </w:pPr>
      <w:r w:rsidRPr="00DD53D7">
        <w:rPr>
          <w:sz w:val="28"/>
          <w:szCs w:val="28"/>
        </w:rPr>
        <w:t>Inland Transport Committee</w:t>
      </w:r>
    </w:p>
    <w:p w:rsidR="00DD53D7" w:rsidRPr="00DD53D7" w:rsidRDefault="00DD53D7" w:rsidP="00DD53D7">
      <w:pPr>
        <w:spacing w:before="120"/>
        <w:rPr>
          <w:b/>
          <w:sz w:val="24"/>
          <w:szCs w:val="24"/>
        </w:rPr>
      </w:pPr>
      <w:r w:rsidRPr="00DD53D7">
        <w:rPr>
          <w:b/>
          <w:sz w:val="24"/>
          <w:szCs w:val="24"/>
        </w:rPr>
        <w:t>Working Party on the Transport of Dangerous Goods</w:t>
      </w:r>
    </w:p>
    <w:p w:rsidR="00DD53D7" w:rsidRPr="00DD53D7" w:rsidRDefault="00DD53D7" w:rsidP="00DD53D7">
      <w:pPr>
        <w:spacing w:before="120"/>
        <w:rPr>
          <w:b/>
        </w:rPr>
      </w:pPr>
      <w:r w:rsidRPr="00DD53D7">
        <w:rPr>
          <w:b/>
        </w:rPr>
        <w:t xml:space="preserve">Joint Meeting of the RID Committee of Experts and the </w:t>
      </w:r>
      <w:r w:rsidRPr="00DD53D7">
        <w:rPr>
          <w:b/>
        </w:rPr>
        <w:br/>
        <w:t>Working Party on the Transport of Dangerous Goods</w:t>
      </w:r>
    </w:p>
    <w:p w:rsidR="00DD53D7" w:rsidRPr="00DD53D7" w:rsidRDefault="00DD53D7" w:rsidP="00DD53D7">
      <w:pPr>
        <w:spacing w:before="120"/>
      </w:pPr>
      <w:r w:rsidRPr="00DD53D7">
        <w:t xml:space="preserve">Geneva, </w:t>
      </w:r>
      <w:r w:rsidR="00AA6197" w:rsidRPr="00AA6197">
        <w:t>19-29 September 2017</w:t>
      </w:r>
    </w:p>
    <w:p w:rsidR="00DD53D7" w:rsidRPr="00DD53D7" w:rsidRDefault="00DD53D7" w:rsidP="00DD53D7">
      <w:r w:rsidRPr="00DD53D7">
        <w:t>Item 7 of the provisional agenda</w:t>
      </w:r>
    </w:p>
    <w:p w:rsidR="00DD53D7" w:rsidRPr="005066F8" w:rsidRDefault="00DD53D7" w:rsidP="00DD53D7">
      <w:pPr>
        <w:rPr>
          <w:b/>
        </w:rPr>
      </w:pPr>
      <w:r w:rsidRPr="005066F8">
        <w:rPr>
          <w:b/>
        </w:rPr>
        <w:t>Reports of informal working groups</w:t>
      </w:r>
    </w:p>
    <w:p w:rsidR="00AA6197" w:rsidRPr="00AA6197" w:rsidRDefault="00AA6197" w:rsidP="00AA6197">
      <w:pPr>
        <w:pStyle w:val="HChG"/>
      </w:pPr>
      <w:r w:rsidRPr="00AA6197">
        <w:tab/>
      </w:r>
      <w:r w:rsidRPr="00AA6197">
        <w:tab/>
        <w:t xml:space="preserve">Follow-up to the work of the informal working group on reducing the risk of a BLEVE </w:t>
      </w:r>
      <w:r w:rsidR="00DE260D">
        <w:t>—</w:t>
      </w:r>
      <w:r w:rsidRPr="00AA6197">
        <w:t xml:space="preserve"> simulations of the behaviour of tanks exposed to fire</w:t>
      </w:r>
    </w:p>
    <w:p w:rsidR="00AA6197" w:rsidRPr="00AA6197" w:rsidRDefault="00AA6197" w:rsidP="00AA6197">
      <w:pPr>
        <w:pStyle w:val="H1G"/>
      </w:pPr>
      <w:r w:rsidRPr="00AA6197">
        <w:tab/>
      </w:r>
      <w:r w:rsidRPr="00AA6197">
        <w:tab/>
        <w:t>Transmitted by the Government of France</w:t>
      </w:r>
      <w:r w:rsidR="001A121B" w:rsidRPr="008E5B88">
        <w:rPr>
          <w:rStyle w:val="FootnoteReference"/>
          <w:b w:val="0"/>
          <w:sz w:val="20"/>
          <w:vertAlign w:val="baseline"/>
        </w:rPr>
        <w:footnoteReference w:customMarkFollows="1" w:id="1"/>
        <w:t>*</w:t>
      </w:r>
      <w:r w:rsidR="001A121B" w:rsidRPr="001A121B">
        <w:rPr>
          <w:b w:val="0"/>
          <w:position w:val="8"/>
          <w:sz w:val="20"/>
        </w:rPr>
        <w:t>,</w:t>
      </w:r>
      <w:r w:rsidR="001A121B" w:rsidRPr="008E5B88">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51800" w:rsidTr="004C3D8A">
        <w:trPr>
          <w:cantSplit/>
          <w:jc w:val="center"/>
        </w:trPr>
        <w:tc>
          <w:tcPr>
            <w:tcW w:w="9637" w:type="dxa"/>
            <w:tcBorders>
              <w:bottom w:val="nil"/>
            </w:tcBorders>
          </w:tcPr>
          <w:p w:rsidR="00351800" w:rsidRPr="00351800" w:rsidRDefault="00351800" w:rsidP="00351800">
            <w:pPr>
              <w:tabs>
                <w:tab w:val="left" w:pos="255"/>
              </w:tabs>
              <w:suppressAutoHyphens w:val="0"/>
              <w:spacing w:before="240" w:after="120"/>
              <w:rPr>
                <w:sz w:val="24"/>
              </w:rPr>
            </w:pPr>
            <w:r>
              <w:tab/>
            </w:r>
            <w:r>
              <w:rPr>
                <w:i/>
                <w:sz w:val="24"/>
              </w:rPr>
              <w:t>Summary</w:t>
            </w:r>
          </w:p>
        </w:tc>
      </w:tr>
      <w:tr w:rsidR="00351800" w:rsidTr="004C3D8A">
        <w:trPr>
          <w:cantSplit/>
          <w:jc w:val="center"/>
        </w:trPr>
        <w:tc>
          <w:tcPr>
            <w:tcW w:w="9637" w:type="dxa"/>
            <w:tcBorders>
              <w:top w:val="nil"/>
              <w:bottom w:val="nil"/>
            </w:tcBorders>
            <w:shd w:val="clear" w:color="auto" w:fill="auto"/>
          </w:tcPr>
          <w:p w:rsidR="00351800" w:rsidRDefault="00E0017F" w:rsidP="00B11D8E">
            <w:pPr>
              <w:pStyle w:val="SingleTxtG"/>
              <w:spacing w:after="60"/>
              <w:ind w:left="2552" w:hanging="2268"/>
            </w:pPr>
            <w:r w:rsidRPr="00B11D8E">
              <w:rPr>
                <w:rFonts w:eastAsia="Times New Roman"/>
                <w:b/>
                <w:szCs w:val="22"/>
                <w:lang w:eastAsia="en-US"/>
              </w:rPr>
              <w:t>Executive summary</w:t>
            </w:r>
            <w:r w:rsidRPr="00D17793">
              <w:t>:</w:t>
            </w:r>
            <w:r w:rsidRPr="00B11D8E">
              <w:rPr>
                <w:rFonts w:eastAsia="Times New Roman"/>
                <w:b/>
                <w:szCs w:val="22"/>
                <w:lang w:eastAsia="en-US"/>
              </w:rPr>
              <w:tab/>
            </w:r>
            <w:r w:rsidRPr="00B11D8E">
              <w:rPr>
                <w:rFonts w:eastAsia="Times New Roman"/>
                <w:szCs w:val="22"/>
                <w:lang w:eastAsia="en-US"/>
              </w:rPr>
              <w:t>Inform the Joint Meeting of the progress made by INERIS in its calculations to assess the effectiveness of systems for the protection of tanks and their behaviour in a fire.</w:t>
            </w:r>
          </w:p>
        </w:tc>
      </w:tr>
      <w:tr w:rsidR="00B11D8E" w:rsidTr="004C3D8A">
        <w:trPr>
          <w:cantSplit/>
          <w:jc w:val="center"/>
        </w:trPr>
        <w:tc>
          <w:tcPr>
            <w:tcW w:w="9637" w:type="dxa"/>
            <w:tcBorders>
              <w:top w:val="nil"/>
              <w:bottom w:val="nil"/>
            </w:tcBorders>
            <w:shd w:val="clear" w:color="auto" w:fill="auto"/>
          </w:tcPr>
          <w:p w:rsidR="00B11D8E" w:rsidRPr="00B11D8E" w:rsidRDefault="00B11D8E" w:rsidP="00B11D8E">
            <w:pPr>
              <w:pStyle w:val="SingleTxtG"/>
              <w:spacing w:after="60"/>
              <w:ind w:left="2552" w:hanging="2268"/>
              <w:rPr>
                <w:rFonts w:eastAsia="Times New Roman"/>
                <w:b/>
                <w:szCs w:val="22"/>
                <w:lang w:eastAsia="en-US"/>
              </w:rPr>
            </w:pPr>
            <w:r w:rsidRPr="00B11D8E">
              <w:rPr>
                <w:rFonts w:eastAsia="Times New Roman"/>
                <w:b/>
                <w:szCs w:val="22"/>
                <w:lang w:eastAsia="en-US"/>
              </w:rPr>
              <w:t>Reference documents</w:t>
            </w:r>
            <w:r w:rsidRPr="00D17793">
              <w:t>:</w:t>
            </w:r>
            <w:r w:rsidRPr="00B11D8E">
              <w:rPr>
                <w:rFonts w:eastAsia="Times New Roman"/>
                <w:b/>
                <w:szCs w:val="22"/>
                <w:lang w:eastAsia="en-US"/>
              </w:rPr>
              <w:tab/>
            </w:r>
            <w:r w:rsidRPr="00B11D8E">
              <w:rPr>
                <w:rFonts w:eastAsia="Times New Roman"/>
                <w:szCs w:val="22"/>
                <w:lang w:eastAsia="en-US"/>
              </w:rPr>
              <w:t>Report of the Joint Meeting of the RID Committee of Experts and the Working Party on the Transport of Dangerous Goods on its spring 2017 session, ECE/TRANS/WP.15/AC.1/146, paragraphs 43-47.</w:t>
            </w:r>
          </w:p>
        </w:tc>
      </w:tr>
      <w:tr w:rsidR="00351800" w:rsidTr="004C3D8A">
        <w:trPr>
          <w:cantSplit/>
          <w:jc w:val="center"/>
        </w:trPr>
        <w:tc>
          <w:tcPr>
            <w:tcW w:w="9637" w:type="dxa"/>
            <w:tcBorders>
              <w:top w:val="nil"/>
            </w:tcBorders>
          </w:tcPr>
          <w:p w:rsidR="00351800" w:rsidRDefault="00351800" w:rsidP="00351800">
            <w:pPr>
              <w:suppressAutoHyphens w:val="0"/>
            </w:pPr>
          </w:p>
        </w:tc>
      </w:tr>
    </w:tbl>
    <w:p w:rsidR="005066F8" w:rsidRPr="005066F8" w:rsidRDefault="005066F8" w:rsidP="005066F8">
      <w:pPr>
        <w:pStyle w:val="HChG"/>
        <w:rPr>
          <w:rFonts w:eastAsia="SimSun"/>
        </w:rPr>
      </w:pPr>
      <w:r>
        <w:br w:type="page"/>
      </w:r>
      <w:r w:rsidRPr="005066F8">
        <w:rPr>
          <w:rFonts w:eastAsia="SimSun"/>
        </w:rPr>
        <w:lastRenderedPageBreak/>
        <w:tab/>
      </w:r>
      <w:r w:rsidRPr="005066F8">
        <w:rPr>
          <w:rFonts w:eastAsia="SimSun"/>
        </w:rPr>
        <w:tab/>
        <w:t>Introduction</w:t>
      </w:r>
    </w:p>
    <w:p w:rsidR="005066F8" w:rsidRPr="005066F8" w:rsidRDefault="005066F8" w:rsidP="005066F8">
      <w:pPr>
        <w:pStyle w:val="SingleTxtG"/>
      </w:pPr>
      <w:r w:rsidRPr="005066F8">
        <w:t>1.</w:t>
      </w:r>
      <w:r w:rsidRPr="005066F8">
        <w:tab/>
        <w:t xml:space="preserve">At the last session of the Joint Meeting, INERIS, at the request of the Government of France, introduced a modelling tool to simulate the behaviour of a gas or flammable liquid tank when exposed to fire. </w:t>
      </w:r>
    </w:p>
    <w:p w:rsidR="005066F8" w:rsidRPr="005066F8" w:rsidRDefault="005066F8" w:rsidP="005066F8">
      <w:pPr>
        <w:pStyle w:val="SingleTxtG"/>
      </w:pPr>
      <w:r w:rsidRPr="005066F8">
        <w:t>2.</w:t>
      </w:r>
      <w:r w:rsidRPr="005066F8">
        <w:tab/>
        <w:t xml:space="preserve">Following that presentation, the French delegation invited others to forward to it case studies that they would like to submit for analysis. The information may include experimental or post-accident data to improve the model developed by INERIS, or requests for specific calculations to assist in the consideration of ways to mitigate the BLEVE phenomenon. </w:t>
      </w:r>
    </w:p>
    <w:p w:rsidR="005066F8" w:rsidRPr="005066F8" w:rsidRDefault="005066F8" w:rsidP="005066F8">
      <w:pPr>
        <w:pStyle w:val="SingleTxtG"/>
      </w:pPr>
      <w:r w:rsidRPr="005066F8">
        <w:t>3.</w:t>
      </w:r>
      <w:r w:rsidRPr="005066F8">
        <w:tab/>
        <w:t>France would like to thank those delegations that sent the first elements enabling it to proceed with new calculations.</w:t>
      </w:r>
    </w:p>
    <w:p w:rsidR="005066F8" w:rsidRPr="005066F8" w:rsidRDefault="005066F8" w:rsidP="005066F8">
      <w:pPr>
        <w:pStyle w:val="SingleTxtG"/>
      </w:pPr>
      <w:r w:rsidRPr="005066F8">
        <w:t>4.</w:t>
      </w:r>
      <w:r w:rsidRPr="005066F8">
        <w:tab/>
        <w:t>However, because of the time taken to submit the information, a full simulation programme could not be carried out within a time frame allowing for the transmission of an official document to the Joint Meeting.</w:t>
      </w:r>
    </w:p>
    <w:p w:rsidR="005066F8" w:rsidRPr="005066F8" w:rsidRDefault="005066F8" w:rsidP="005066F8">
      <w:pPr>
        <w:pStyle w:val="SingleTxtG"/>
      </w:pPr>
      <w:r w:rsidRPr="005066F8">
        <w:t>5.</w:t>
      </w:r>
      <w:r w:rsidRPr="005066F8">
        <w:tab/>
        <w:t>This document is intended to provide some of the results that have already been obtained and to announce a more comprehensive programme for further calculations.</w:t>
      </w:r>
    </w:p>
    <w:p w:rsidR="005066F8" w:rsidRPr="005066F8" w:rsidRDefault="005066F8" w:rsidP="005066F8">
      <w:pPr>
        <w:pStyle w:val="SingleTxtG"/>
      </w:pPr>
      <w:r w:rsidRPr="005066F8">
        <w:t>6.</w:t>
      </w:r>
      <w:r w:rsidRPr="005066F8">
        <w:tab/>
        <w:t>Delegations wishing to do so may still send their data for inclusion in this process.</w:t>
      </w:r>
    </w:p>
    <w:p w:rsidR="005066F8" w:rsidRPr="005066F8" w:rsidRDefault="005066F8" w:rsidP="00EA1AC9">
      <w:pPr>
        <w:pStyle w:val="HChG"/>
        <w:rPr>
          <w:rFonts w:eastAsia="SimSun"/>
        </w:rPr>
      </w:pPr>
      <w:r w:rsidRPr="005066F8">
        <w:rPr>
          <w:rFonts w:eastAsia="SimSun"/>
        </w:rPr>
        <w:tab/>
      </w:r>
      <w:r w:rsidRPr="005066F8">
        <w:rPr>
          <w:rFonts w:eastAsia="SimSun"/>
        </w:rPr>
        <w:tab/>
        <w:t>Elements sent by various delegations</w:t>
      </w:r>
    </w:p>
    <w:p w:rsidR="005066F8" w:rsidRPr="005066F8" w:rsidRDefault="005066F8" w:rsidP="005066F8">
      <w:pPr>
        <w:pStyle w:val="SingleTxtG"/>
      </w:pPr>
      <w:r w:rsidRPr="005066F8">
        <w:t>7.</w:t>
      </w:r>
      <w:r w:rsidRPr="005066F8">
        <w:tab/>
        <w:t>The Netherlands and AEGPL sent information.</w:t>
      </w:r>
    </w:p>
    <w:p w:rsidR="005066F8" w:rsidRPr="005066F8" w:rsidRDefault="005066F8" w:rsidP="005066F8">
      <w:pPr>
        <w:pStyle w:val="SingleTxtG"/>
      </w:pPr>
      <w:r w:rsidRPr="005066F8">
        <w:t>8.</w:t>
      </w:r>
      <w:r w:rsidRPr="005066F8">
        <w:tab/>
        <w:t>The delegation of the Netherlands submitted the following four test results.</w:t>
      </w:r>
    </w:p>
    <w:p w:rsidR="00B72833" w:rsidRDefault="00B27E6B" w:rsidP="003B4DF2">
      <w:pPr>
        <w:pStyle w:val="H23G"/>
        <w:ind w:right="0"/>
        <w:jc w:val="center"/>
      </w:pPr>
      <w:r>
        <w:t>Table 1</w:t>
      </w:r>
      <w:r w:rsidR="003B4DF2">
        <w:t xml:space="preserve">: </w:t>
      </w:r>
      <w:r w:rsidR="00B72833" w:rsidRPr="0016284A">
        <w:t>Configurations sent by the delegation of the Netherlands to INERIS</w:t>
      </w:r>
    </w:p>
    <w:tbl>
      <w:tblPr>
        <w:tblStyle w:val="TableGrid"/>
        <w:tblW w:w="9639" w:type="dxa"/>
        <w:tblLook w:val="04A0" w:firstRow="1" w:lastRow="0" w:firstColumn="1" w:lastColumn="0" w:noHBand="0" w:noVBand="1"/>
      </w:tblPr>
      <w:tblGrid>
        <w:gridCol w:w="1828"/>
        <w:gridCol w:w="1940"/>
        <w:gridCol w:w="1966"/>
        <w:gridCol w:w="1940"/>
        <w:gridCol w:w="1965"/>
      </w:tblGrid>
      <w:tr w:rsidR="00FB49F9" w:rsidRPr="00204995" w:rsidTr="003B4DF2">
        <w:tc>
          <w:tcPr>
            <w:tcW w:w="1860" w:type="dxa"/>
            <w:shd w:val="clear" w:color="auto" w:fill="auto"/>
            <w:tcMar>
              <w:left w:w="108" w:type="dxa"/>
            </w:tcMar>
            <w:vAlign w:val="center"/>
          </w:tcPr>
          <w:p w:rsidR="00FB49F9" w:rsidRPr="00204995" w:rsidRDefault="00FB49F9" w:rsidP="00FB49F9">
            <w:pPr>
              <w:spacing w:before="60" w:after="60" w:line="240" w:lineRule="auto"/>
              <w:jc w:val="center"/>
            </w:pPr>
          </w:p>
        </w:tc>
        <w:tc>
          <w:tcPr>
            <w:tcW w:w="3998" w:type="dxa"/>
            <w:gridSpan w:val="2"/>
            <w:shd w:val="clear" w:color="auto" w:fill="auto"/>
            <w:tcMar>
              <w:left w:w="108" w:type="dxa"/>
            </w:tcMar>
            <w:vAlign w:val="bottom"/>
          </w:tcPr>
          <w:p w:rsidR="00FB49F9" w:rsidRPr="00FB49F9" w:rsidRDefault="00FB49F9" w:rsidP="00FB49F9">
            <w:pPr>
              <w:spacing w:before="60" w:after="60" w:line="240" w:lineRule="auto"/>
              <w:jc w:val="center"/>
              <w:rPr>
                <w:b/>
              </w:rPr>
            </w:pPr>
            <w:r w:rsidRPr="00FB49F9">
              <w:rPr>
                <w:b/>
              </w:rPr>
              <w:t>Bonfire test</w:t>
            </w:r>
          </w:p>
        </w:tc>
        <w:tc>
          <w:tcPr>
            <w:tcW w:w="3997" w:type="dxa"/>
            <w:gridSpan w:val="2"/>
            <w:shd w:val="clear" w:color="auto" w:fill="auto"/>
            <w:tcMar>
              <w:left w:w="108" w:type="dxa"/>
            </w:tcMar>
            <w:vAlign w:val="bottom"/>
          </w:tcPr>
          <w:p w:rsidR="00FB49F9" w:rsidRPr="00FB49F9" w:rsidRDefault="00FB49F9" w:rsidP="00FB49F9">
            <w:pPr>
              <w:spacing w:before="60" w:after="60" w:line="240" w:lineRule="auto"/>
              <w:jc w:val="center"/>
              <w:rPr>
                <w:b/>
              </w:rPr>
            </w:pPr>
            <w:r w:rsidRPr="00FB49F9">
              <w:rPr>
                <w:b/>
              </w:rPr>
              <w:t>3 m</w:t>
            </w:r>
            <w:r w:rsidRPr="00FB49F9">
              <w:rPr>
                <w:b/>
                <w:vertAlign w:val="superscript"/>
              </w:rPr>
              <w:t>3</w:t>
            </w:r>
            <w:r w:rsidRPr="00FB49F9">
              <w:rPr>
                <w:b/>
              </w:rPr>
              <w:t xml:space="preserve"> LPG test</w:t>
            </w:r>
          </w:p>
        </w:tc>
      </w:tr>
      <w:tr w:rsidR="00FF5624" w:rsidRPr="00204995" w:rsidTr="0063033F">
        <w:tc>
          <w:tcPr>
            <w:tcW w:w="1860" w:type="dxa"/>
            <w:shd w:val="clear" w:color="auto" w:fill="auto"/>
            <w:tcMar>
              <w:left w:w="108" w:type="dxa"/>
            </w:tcMar>
            <w:vAlign w:val="center"/>
          </w:tcPr>
          <w:p w:rsidR="00FF5624" w:rsidRPr="00FB49F9" w:rsidRDefault="00FF5624" w:rsidP="00FF5624">
            <w:pPr>
              <w:spacing w:before="60" w:after="60" w:line="240" w:lineRule="auto"/>
              <w:jc w:val="center"/>
              <w:rPr>
                <w:b/>
              </w:rPr>
            </w:pPr>
            <w:r w:rsidRPr="00FB49F9">
              <w:rPr>
                <w:b/>
              </w:rPr>
              <w:t>Tank dimensions</w:t>
            </w:r>
          </w:p>
        </w:tc>
        <w:tc>
          <w:tcPr>
            <w:tcW w:w="3998" w:type="dxa"/>
            <w:gridSpan w:val="2"/>
            <w:shd w:val="clear" w:color="auto" w:fill="auto"/>
            <w:tcMar>
              <w:left w:w="108" w:type="dxa"/>
            </w:tcMar>
            <w:vAlign w:val="bottom"/>
          </w:tcPr>
          <w:p w:rsidR="00FF5624" w:rsidRPr="00FF5624" w:rsidRDefault="00FF5624" w:rsidP="00FF5624">
            <w:pPr>
              <w:spacing w:before="60" w:after="60" w:line="240" w:lineRule="auto"/>
              <w:jc w:val="center"/>
            </w:pPr>
            <w:r w:rsidRPr="00FF5624">
              <w:t>Length: 2.6 m</w:t>
            </w:r>
          </w:p>
          <w:p w:rsidR="00FF5624" w:rsidRPr="00FF5624" w:rsidRDefault="00FF5624" w:rsidP="00FF5624">
            <w:pPr>
              <w:spacing w:before="60" w:after="60" w:line="240" w:lineRule="auto"/>
              <w:jc w:val="center"/>
            </w:pPr>
            <w:r w:rsidRPr="00FF5624">
              <w:t>Diameter: 1.25 m</w:t>
            </w:r>
          </w:p>
          <w:p w:rsidR="00FF5624" w:rsidRPr="00FF5624" w:rsidRDefault="00FF5624" w:rsidP="00FF5624">
            <w:pPr>
              <w:spacing w:before="60" w:after="60" w:line="240" w:lineRule="auto"/>
              <w:jc w:val="center"/>
            </w:pPr>
            <w:r w:rsidRPr="00FF5624">
              <w:t>Thickness: 5.1 mm</w:t>
            </w:r>
          </w:p>
        </w:tc>
        <w:tc>
          <w:tcPr>
            <w:tcW w:w="3997" w:type="dxa"/>
            <w:gridSpan w:val="2"/>
            <w:shd w:val="clear" w:color="auto" w:fill="auto"/>
            <w:tcMar>
              <w:left w:w="108" w:type="dxa"/>
            </w:tcMar>
            <w:vAlign w:val="bottom"/>
          </w:tcPr>
          <w:p w:rsidR="00FF5624" w:rsidRPr="00FF5624" w:rsidRDefault="00FF5624" w:rsidP="00FF5624">
            <w:pPr>
              <w:spacing w:before="60" w:after="60" w:line="240" w:lineRule="auto"/>
              <w:jc w:val="center"/>
            </w:pPr>
            <w:r w:rsidRPr="00FF5624">
              <w:t>Length: 2.68 m</w:t>
            </w:r>
          </w:p>
          <w:p w:rsidR="00FF5624" w:rsidRPr="00FF5624" w:rsidRDefault="00FF5624" w:rsidP="00FF5624">
            <w:pPr>
              <w:spacing w:before="60" w:after="60" w:line="240" w:lineRule="auto"/>
              <w:jc w:val="center"/>
            </w:pPr>
            <w:r w:rsidRPr="00FF5624">
              <w:t>Diameter: 1.25 m</w:t>
            </w:r>
          </w:p>
          <w:p w:rsidR="00FF5624" w:rsidRPr="00FF5624" w:rsidRDefault="00FF5624" w:rsidP="00FF5624">
            <w:pPr>
              <w:spacing w:before="60" w:after="60" w:line="240" w:lineRule="auto"/>
              <w:jc w:val="center"/>
            </w:pPr>
            <w:r w:rsidRPr="00FF5624">
              <w:t>Thickness: 5.1 mm</w:t>
            </w:r>
          </w:p>
        </w:tc>
      </w:tr>
      <w:tr w:rsidR="00786F15" w:rsidRPr="00204995" w:rsidTr="003B4DF2">
        <w:tc>
          <w:tcPr>
            <w:tcW w:w="1860" w:type="dxa"/>
            <w:shd w:val="clear" w:color="auto" w:fill="auto"/>
            <w:tcMar>
              <w:left w:w="108" w:type="dxa"/>
            </w:tcMar>
          </w:tcPr>
          <w:p w:rsidR="00786F15" w:rsidRPr="00FB49F9" w:rsidRDefault="00786F15" w:rsidP="00786F15">
            <w:pPr>
              <w:spacing w:before="60" w:after="60" w:line="240" w:lineRule="auto"/>
              <w:jc w:val="center"/>
              <w:rPr>
                <w:b/>
              </w:rPr>
            </w:pPr>
            <w:r w:rsidRPr="00FB49F9">
              <w:rPr>
                <w:b/>
              </w:rPr>
              <w:t>Degree of filling</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80% LPG</w:t>
            </w:r>
          </w:p>
        </w:tc>
        <w:tc>
          <w:tcPr>
            <w:tcW w:w="2013" w:type="dxa"/>
            <w:shd w:val="clear" w:color="auto" w:fill="auto"/>
            <w:tcMar>
              <w:left w:w="108" w:type="dxa"/>
            </w:tcMar>
            <w:vAlign w:val="bottom"/>
          </w:tcPr>
          <w:p w:rsidR="00786F15" w:rsidRPr="00FB49F9" w:rsidRDefault="00786F15" w:rsidP="00786F15">
            <w:pPr>
              <w:spacing w:before="60" w:after="60" w:line="240" w:lineRule="auto"/>
              <w:jc w:val="center"/>
            </w:pPr>
            <w:r w:rsidRPr="00FB49F9">
              <w:t>50% LPG</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80%</w:t>
            </w:r>
          </w:p>
        </w:tc>
        <w:tc>
          <w:tcPr>
            <w:tcW w:w="2012" w:type="dxa"/>
            <w:shd w:val="clear" w:color="auto" w:fill="auto"/>
            <w:tcMar>
              <w:left w:w="108" w:type="dxa"/>
            </w:tcMar>
            <w:vAlign w:val="bottom"/>
          </w:tcPr>
          <w:p w:rsidR="00786F15" w:rsidRPr="00FB49F9" w:rsidRDefault="00786F15" w:rsidP="00786F15">
            <w:pPr>
              <w:spacing w:before="60" w:after="60" w:line="240" w:lineRule="auto"/>
              <w:jc w:val="center"/>
            </w:pPr>
            <w:r w:rsidRPr="00FB49F9">
              <w:t>50%</w:t>
            </w:r>
          </w:p>
        </w:tc>
      </w:tr>
      <w:tr w:rsidR="00786F15" w:rsidRPr="00204995" w:rsidTr="003B4DF2">
        <w:tc>
          <w:tcPr>
            <w:tcW w:w="1860" w:type="dxa"/>
            <w:shd w:val="clear" w:color="auto" w:fill="auto"/>
            <w:tcMar>
              <w:left w:w="108" w:type="dxa"/>
            </w:tcMar>
          </w:tcPr>
          <w:p w:rsidR="00786F15" w:rsidRPr="00FB49F9" w:rsidRDefault="00786F15" w:rsidP="00786F15">
            <w:pPr>
              <w:spacing w:before="60" w:after="60" w:line="240" w:lineRule="auto"/>
              <w:jc w:val="center"/>
              <w:rPr>
                <w:b/>
              </w:rPr>
            </w:pPr>
            <w:r w:rsidRPr="00FB49F9">
              <w:rPr>
                <w:b/>
              </w:rPr>
              <w:t>Valve</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2013"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2012"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r>
      <w:tr w:rsidR="00786F15" w:rsidRPr="00204995" w:rsidTr="003B4DF2">
        <w:tc>
          <w:tcPr>
            <w:tcW w:w="1860" w:type="dxa"/>
            <w:shd w:val="clear" w:color="auto" w:fill="auto"/>
            <w:tcMar>
              <w:left w:w="108" w:type="dxa"/>
            </w:tcMar>
          </w:tcPr>
          <w:p w:rsidR="00786F15" w:rsidRPr="00FB49F9" w:rsidRDefault="00786F15" w:rsidP="00786F15">
            <w:pPr>
              <w:spacing w:before="60" w:after="60" w:line="240" w:lineRule="auto"/>
              <w:jc w:val="center"/>
              <w:rPr>
                <w:b/>
              </w:rPr>
            </w:pPr>
            <w:r w:rsidRPr="00FB49F9">
              <w:rPr>
                <w:b/>
              </w:rPr>
              <w:t>Thermal coating</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2013"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c>
          <w:tcPr>
            <w:tcW w:w="2012" w:type="dxa"/>
            <w:shd w:val="clear" w:color="auto" w:fill="auto"/>
            <w:tcMar>
              <w:left w:w="108" w:type="dxa"/>
            </w:tcMar>
            <w:vAlign w:val="bottom"/>
          </w:tcPr>
          <w:p w:rsidR="00786F15" w:rsidRPr="00FB49F9" w:rsidRDefault="00786F15" w:rsidP="00786F15">
            <w:pPr>
              <w:spacing w:before="60" w:after="60" w:line="240" w:lineRule="auto"/>
              <w:jc w:val="center"/>
            </w:pPr>
            <w:r w:rsidRPr="00FB49F9">
              <w:t>yes</w:t>
            </w:r>
          </w:p>
        </w:tc>
      </w:tr>
      <w:tr w:rsidR="00786F15" w:rsidRPr="00204995" w:rsidTr="0063033F">
        <w:tc>
          <w:tcPr>
            <w:tcW w:w="1860" w:type="dxa"/>
            <w:shd w:val="clear" w:color="auto" w:fill="auto"/>
            <w:tcMar>
              <w:left w:w="108" w:type="dxa"/>
            </w:tcMar>
            <w:vAlign w:val="center"/>
          </w:tcPr>
          <w:p w:rsidR="00786F15" w:rsidRPr="00FB49F9" w:rsidRDefault="00786F15" w:rsidP="00786F15">
            <w:pPr>
              <w:spacing w:before="60" w:after="60" w:line="240" w:lineRule="auto"/>
              <w:jc w:val="center"/>
              <w:rPr>
                <w:b/>
              </w:rPr>
            </w:pPr>
            <w:r w:rsidRPr="00FB49F9">
              <w:rPr>
                <w:b/>
              </w:rPr>
              <w:t>Test results</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Multiple valve openings</w:t>
            </w:r>
          </w:p>
          <w:p w:rsidR="00786F15" w:rsidRPr="00FB49F9" w:rsidRDefault="00786F15" w:rsidP="00786F15">
            <w:pPr>
              <w:spacing w:before="60" w:after="60" w:line="240" w:lineRule="auto"/>
              <w:jc w:val="center"/>
            </w:pPr>
            <w:r w:rsidRPr="00FB49F9">
              <w:t>No explosion during the 98 minutes of the test</w:t>
            </w:r>
          </w:p>
        </w:tc>
        <w:tc>
          <w:tcPr>
            <w:tcW w:w="2013" w:type="dxa"/>
            <w:shd w:val="clear" w:color="auto" w:fill="auto"/>
            <w:tcMar>
              <w:left w:w="108" w:type="dxa"/>
            </w:tcMar>
            <w:vAlign w:val="bottom"/>
          </w:tcPr>
          <w:p w:rsidR="00786F15" w:rsidRPr="00FB49F9" w:rsidRDefault="00786F15" w:rsidP="00786F15">
            <w:pPr>
              <w:spacing w:before="60" w:after="60" w:line="240" w:lineRule="auto"/>
              <w:jc w:val="center"/>
            </w:pPr>
            <w:r w:rsidRPr="00FB49F9">
              <w:t>Multiple valve openings</w:t>
            </w:r>
          </w:p>
          <w:p w:rsidR="00786F15" w:rsidRPr="00FB49F9" w:rsidRDefault="00786F15" w:rsidP="00786F15">
            <w:pPr>
              <w:spacing w:before="60" w:after="60" w:line="240" w:lineRule="auto"/>
              <w:jc w:val="center"/>
            </w:pPr>
            <w:r w:rsidRPr="00FB49F9">
              <w:t>No explosion during the 112 minutes of the test</w:t>
            </w:r>
          </w:p>
        </w:tc>
        <w:tc>
          <w:tcPr>
            <w:tcW w:w="1985" w:type="dxa"/>
            <w:shd w:val="clear" w:color="auto" w:fill="auto"/>
            <w:tcMar>
              <w:left w:w="108" w:type="dxa"/>
            </w:tcMar>
            <w:vAlign w:val="bottom"/>
          </w:tcPr>
          <w:p w:rsidR="00786F15" w:rsidRPr="00FB49F9" w:rsidRDefault="00786F15" w:rsidP="00786F15">
            <w:pPr>
              <w:spacing w:before="60" w:after="60" w:line="240" w:lineRule="auto"/>
              <w:jc w:val="center"/>
            </w:pPr>
            <w:r w:rsidRPr="00FB49F9">
              <w:t>Multiple valve openings</w:t>
            </w:r>
          </w:p>
          <w:p w:rsidR="00786F15" w:rsidRPr="00FB49F9" w:rsidRDefault="00786F15" w:rsidP="00786F15">
            <w:pPr>
              <w:spacing w:before="60" w:after="60" w:line="240" w:lineRule="auto"/>
              <w:jc w:val="center"/>
            </w:pPr>
            <w:r w:rsidRPr="00FB49F9">
              <w:t>No explosion during the 98 minutes of the test</w:t>
            </w:r>
          </w:p>
        </w:tc>
        <w:tc>
          <w:tcPr>
            <w:tcW w:w="2012" w:type="dxa"/>
            <w:shd w:val="clear" w:color="auto" w:fill="auto"/>
            <w:tcMar>
              <w:left w:w="108" w:type="dxa"/>
            </w:tcMar>
            <w:vAlign w:val="bottom"/>
          </w:tcPr>
          <w:p w:rsidR="00786F15" w:rsidRPr="00FB49F9" w:rsidRDefault="00786F15" w:rsidP="00786F15">
            <w:pPr>
              <w:spacing w:before="60" w:after="60" w:line="240" w:lineRule="auto"/>
              <w:jc w:val="center"/>
            </w:pPr>
            <w:r w:rsidRPr="00FB49F9">
              <w:t>Multiple valve openings</w:t>
            </w:r>
          </w:p>
          <w:p w:rsidR="00786F15" w:rsidRPr="00FB49F9" w:rsidRDefault="00786F15" w:rsidP="00786F15">
            <w:pPr>
              <w:spacing w:before="60" w:after="60" w:line="240" w:lineRule="auto"/>
              <w:jc w:val="center"/>
            </w:pPr>
            <w:r w:rsidRPr="00FB49F9">
              <w:t>No explosion during the 112 minutes of the test</w:t>
            </w:r>
          </w:p>
        </w:tc>
      </w:tr>
    </w:tbl>
    <w:p w:rsidR="00B37F7A" w:rsidRPr="00B37F7A" w:rsidRDefault="00B37F7A" w:rsidP="00944AD2">
      <w:pPr>
        <w:pStyle w:val="H23G"/>
        <w:ind w:right="0"/>
        <w:jc w:val="center"/>
      </w:pPr>
      <w:r w:rsidRPr="004C3D8A">
        <w:lastRenderedPageBreak/>
        <w:t>Figure 1</w:t>
      </w:r>
      <w:r w:rsidR="00DA62FA">
        <w:t xml:space="preserve">: </w:t>
      </w:r>
      <w:r w:rsidRPr="00DF15D4">
        <w:t>3m</w:t>
      </w:r>
      <w:r w:rsidRPr="00DF15D4">
        <w:rPr>
          <w:vertAlign w:val="superscript"/>
        </w:rPr>
        <w:t>3</w:t>
      </w:r>
      <w:r w:rsidRPr="00DF15D4">
        <w:t xml:space="preserve"> LPG test, transmitted by the delegation of the Netherlands</w:t>
      </w:r>
    </w:p>
    <w:p w:rsidR="007268F9" w:rsidRDefault="00B37F7A" w:rsidP="00DA62FA">
      <w:pPr>
        <w:jc w:val="center"/>
      </w:pPr>
      <w:r>
        <w:rPr>
          <w:noProof/>
          <w:lang w:val="en-US"/>
        </w:rPr>
        <w:drawing>
          <wp:inline distT="0" distB="0" distL="0" distR="0" wp14:anchorId="535BF97B">
            <wp:extent cx="4680000" cy="1886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886400"/>
                    </a:xfrm>
                    <a:prstGeom prst="rect">
                      <a:avLst/>
                    </a:prstGeom>
                    <a:noFill/>
                  </pic:spPr>
                </pic:pic>
              </a:graphicData>
            </a:graphic>
          </wp:inline>
        </w:drawing>
      </w:r>
    </w:p>
    <w:p w:rsidR="004B589C" w:rsidRPr="00FC037A" w:rsidRDefault="004B589C" w:rsidP="00DA62FA">
      <w:pPr>
        <w:pStyle w:val="SingleTxtG"/>
        <w:keepNext/>
        <w:spacing w:before="240"/>
      </w:pPr>
      <w:r w:rsidRPr="00FC037A">
        <w:t>These confirm the results of other tests, including those carried out by BAM.</w:t>
      </w:r>
    </w:p>
    <w:p w:rsidR="004B589C" w:rsidRPr="004B589C" w:rsidRDefault="004B589C" w:rsidP="004B589C">
      <w:pPr>
        <w:pStyle w:val="SingleTxtG"/>
      </w:pPr>
      <w:r w:rsidRPr="004B589C">
        <w:t>9.</w:t>
      </w:r>
      <w:r w:rsidRPr="004B589C">
        <w:tab/>
        <w:t>AEGPL transmitted two accident scenarios that took place in the United Kingdom.</w:t>
      </w:r>
    </w:p>
    <w:p w:rsidR="004B589C" w:rsidRDefault="007917D0" w:rsidP="00973B90">
      <w:pPr>
        <w:pStyle w:val="H23G"/>
        <w:jc w:val="center"/>
      </w:pPr>
      <w:r>
        <w:t>Table 2</w:t>
      </w:r>
      <w:r w:rsidR="00973B90">
        <w:t xml:space="preserve">: </w:t>
      </w:r>
      <w:r w:rsidR="004B589C" w:rsidRPr="00FC037A">
        <w:t>Data transmitted by AEGPL to INERIS</w:t>
      </w:r>
    </w:p>
    <w:tbl>
      <w:tblPr>
        <w:tblStyle w:val="TableGrid"/>
        <w:tblW w:w="9639" w:type="dxa"/>
        <w:tblLook w:val="04A0" w:firstRow="1" w:lastRow="0" w:firstColumn="1" w:lastColumn="0" w:noHBand="0" w:noVBand="1"/>
      </w:tblPr>
      <w:tblGrid>
        <w:gridCol w:w="2545"/>
        <w:gridCol w:w="3898"/>
        <w:gridCol w:w="3196"/>
      </w:tblGrid>
      <w:tr w:rsidR="00973B90" w:rsidRPr="00064ABB" w:rsidTr="00963C2D">
        <w:tc>
          <w:tcPr>
            <w:tcW w:w="2376" w:type="dxa"/>
            <w:shd w:val="clear" w:color="auto" w:fill="auto"/>
            <w:tcMar>
              <w:left w:w="108" w:type="dxa"/>
            </w:tcMar>
          </w:tcPr>
          <w:p w:rsidR="00973B90" w:rsidRPr="00064ABB" w:rsidRDefault="00973B90" w:rsidP="00663B89">
            <w:pPr>
              <w:spacing w:before="60" w:after="60" w:line="240" w:lineRule="auto"/>
              <w:jc w:val="center"/>
            </w:pPr>
          </w:p>
        </w:tc>
        <w:tc>
          <w:tcPr>
            <w:tcW w:w="3640" w:type="dxa"/>
            <w:shd w:val="clear" w:color="auto" w:fill="auto"/>
            <w:tcMar>
              <w:left w:w="108" w:type="dxa"/>
            </w:tcMar>
          </w:tcPr>
          <w:p w:rsidR="00973B90" w:rsidRPr="00824D85" w:rsidRDefault="009334ED" w:rsidP="00663B89">
            <w:pPr>
              <w:spacing w:before="60" w:after="60" w:line="240" w:lineRule="auto"/>
              <w:jc w:val="center"/>
              <w:rPr>
                <w:b/>
              </w:rPr>
            </w:pPr>
            <w:r w:rsidRPr="00824D85">
              <w:rPr>
                <w:b/>
              </w:rPr>
              <w:t>Accident No. 1</w:t>
            </w:r>
          </w:p>
        </w:tc>
        <w:tc>
          <w:tcPr>
            <w:tcW w:w="2984" w:type="dxa"/>
            <w:shd w:val="clear" w:color="auto" w:fill="auto"/>
            <w:tcMar>
              <w:left w:w="108" w:type="dxa"/>
            </w:tcMar>
          </w:tcPr>
          <w:p w:rsidR="00973B90" w:rsidRPr="00824D85" w:rsidRDefault="009334ED" w:rsidP="00663B89">
            <w:pPr>
              <w:spacing w:before="60" w:after="60" w:line="240" w:lineRule="auto"/>
              <w:jc w:val="center"/>
              <w:rPr>
                <w:b/>
              </w:rPr>
            </w:pPr>
            <w:r w:rsidRPr="00824D85">
              <w:rPr>
                <w:b/>
              </w:rPr>
              <w:t>Accident No. 2</w:t>
            </w:r>
          </w:p>
        </w:tc>
      </w:tr>
      <w:tr w:rsidR="00963C2D" w:rsidRPr="00064ABB" w:rsidTr="00963C2D">
        <w:tc>
          <w:tcPr>
            <w:tcW w:w="2376" w:type="dxa"/>
            <w:shd w:val="clear" w:color="auto" w:fill="auto"/>
            <w:tcMar>
              <w:left w:w="108" w:type="dxa"/>
            </w:tcMar>
            <w:vAlign w:val="center"/>
          </w:tcPr>
          <w:p w:rsidR="00963C2D" w:rsidRPr="00973B90" w:rsidRDefault="00963C2D" w:rsidP="00963C2D">
            <w:pPr>
              <w:spacing w:before="60" w:after="60" w:line="240" w:lineRule="auto"/>
              <w:jc w:val="center"/>
              <w:rPr>
                <w:b/>
              </w:rPr>
            </w:pPr>
            <w:r w:rsidRPr="00973B90">
              <w:rPr>
                <w:b/>
              </w:rPr>
              <w:t>Tank dimensions</w:t>
            </w:r>
          </w:p>
        </w:tc>
        <w:tc>
          <w:tcPr>
            <w:tcW w:w="3640" w:type="dxa"/>
            <w:shd w:val="clear" w:color="auto" w:fill="auto"/>
            <w:tcMar>
              <w:left w:w="108" w:type="dxa"/>
            </w:tcMar>
            <w:vAlign w:val="bottom"/>
          </w:tcPr>
          <w:p w:rsidR="00963C2D" w:rsidRPr="00973B90" w:rsidRDefault="00963C2D" w:rsidP="00963C2D">
            <w:pPr>
              <w:spacing w:before="60" w:after="60" w:line="240" w:lineRule="auto"/>
              <w:jc w:val="center"/>
            </w:pPr>
            <w:r w:rsidRPr="00973B90">
              <w:t>Length: 5.345 m</w:t>
            </w:r>
          </w:p>
          <w:p w:rsidR="00963C2D" w:rsidRPr="00973B90" w:rsidRDefault="00963C2D" w:rsidP="00963C2D">
            <w:pPr>
              <w:spacing w:before="60" w:after="60" w:line="240" w:lineRule="auto"/>
              <w:jc w:val="center"/>
            </w:pPr>
            <w:r w:rsidRPr="00973B90">
              <w:t>Outer diameter: 2.077 m</w:t>
            </w:r>
          </w:p>
          <w:p w:rsidR="00963C2D" w:rsidRPr="00973B90" w:rsidRDefault="00963C2D" w:rsidP="00963C2D">
            <w:pPr>
              <w:spacing w:before="60" w:after="60" w:line="240" w:lineRule="auto"/>
              <w:jc w:val="center"/>
            </w:pPr>
            <w:r w:rsidRPr="00973B90">
              <w:t>Convex ended, 8.3 mm thickness</w:t>
            </w:r>
          </w:p>
        </w:tc>
        <w:tc>
          <w:tcPr>
            <w:tcW w:w="2984" w:type="dxa"/>
            <w:shd w:val="clear" w:color="auto" w:fill="auto"/>
            <w:tcMar>
              <w:left w:w="108" w:type="dxa"/>
            </w:tcMar>
            <w:vAlign w:val="bottom"/>
          </w:tcPr>
          <w:p w:rsidR="00963C2D" w:rsidRPr="00973B90" w:rsidRDefault="00963C2D" w:rsidP="00963C2D">
            <w:pPr>
              <w:spacing w:before="60" w:after="60" w:line="240" w:lineRule="auto"/>
              <w:jc w:val="center"/>
            </w:pPr>
            <w:r w:rsidRPr="00973B90">
              <w:t>Length: 5.36 m</w:t>
            </w:r>
          </w:p>
          <w:p w:rsidR="00963C2D" w:rsidRPr="00973B90" w:rsidRDefault="00963C2D" w:rsidP="00963C2D">
            <w:pPr>
              <w:spacing w:before="60" w:after="60" w:line="240" w:lineRule="auto"/>
              <w:jc w:val="center"/>
            </w:pPr>
            <w:r w:rsidRPr="00973B90">
              <w:t>Outer diameter: 2.22 m</w:t>
            </w:r>
          </w:p>
          <w:p w:rsidR="00963C2D" w:rsidRPr="00973B90" w:rsidRDefault="00963C2D" w:rsidP="00963C2D">
            <w:pPr>
              <w:spacing w:before="60" w:after="60" w:line="240" w:lineRule="auto"/>
              <w:jc w:val="center"/>
            </w:pPr>
            <w:r w:rsidRPr="00973B90">
              <w:t>Convex ended, 8 mm thickness</w:t>
            </w:r>
          </w:p>
        </w:tc>
      </w:tr>
      <w:tr w:rsidR="00963C2D" w:rsidRPr="00064ABB" w:rsidTr="00963C2D">
        <w:tc>
          <w:tcPr>
            <w:tcW w:w="2376" w:type="dxa"/>
            <w:shd w:val="clear" w:color="auto" w:fill="auto"/>
            <w:tcMar>
              <w:left w:w="108" w:type="dxa"/>
            </w:tcMar>
            <w:vAlign w:val="center"/>
          </w:tcPr>
          <w:p w:rsidR="00963C2D" w:rsidRPr="00973B90" w:rsidRDefault="00963C2D" w:rsidP="00963C2D">
            <w:pPr>
              <w:spacing w:before="60" w:after="60" w:line="240" w:lineRule="auto"/>
              <w:jc w:val="center"/>
              <w:rPr>
                <w:b/>
              </w:rPr>
            </w:pPr>
            <w:r w:rsidRPr="00973B90">
              <w:rPr>
                <w:b/>
              </w:rPr>
              <w:t>Degree of filling</w:t>
            </w:r>
          </w:p>
        </w:tc>
        <w:tc>
          <w:tcPr>
            <w:tcW w:w="3640" w:type="dxa"/>
            <w:shd w:val="clear" w:color="auto" w:fill="auto"/>
            <w:tcMar>
              <w:left w:w="108" w:type="dxa"/>
            </w:tcMar>
            <w:vAlign w:val="bottom"/>
          </w:tcPr>
          <w:p w:rsidR="00963C2D" w:rsidRPr="00973B90" w:rsidRDefault="00963C2D" w:rsidP="00963C2D">
            <w:pPr>
              <w:spacing w:before="60" w:after="60" w:line="240" w:lineRule="auto"/>
              <w:jc w:val="center"/>
            </w:pPr>
            <w:r w:rsidRPr="00973B90">
              <w:t>Propane 85%</w:t>
            </w:r>
          </w:p>
        </w:tc>
        <w:tc>
          <w:tcPr>
            <w:tcW w:w="2984" w:type="dxa"/>
            <w:shd w:val="clear" w:color="auto" w:fill="auto"/>
            <w:tcMar>
              <w:left w:w="108" w:type="dxa"/>
            </w:tcMar>
            <w:vAlign w:val="bottom"/>
          </w:tcPr>
          <w:p w:rsidR="00963C2D" w:rsidRPr="00973B90" w:rsidRDefault="00963C2D" w:rsidP="00963C2D">
            <w:pPr>
              <w:spacing w:before="60" w:after="60" w:line="240" w:lineRule="auto"/>
              <w:jc w:val="center"/>
            </w:pPr>
            <w:r w:rsidRPr="00973B90">
              <w:t>Propane 85%</w:t>
            </w:r>
          </w:p>
        </w:tc>
      </w:tr>
      <w:tr w:rsidR="00963C2D" w:rsidRPr="00064ABB" w:rsidTr="00963C2D">
        <w:tc>
          <w:tcPr>
            <w:tcW w:w="2376" w:type="dxa"/>
            <w:shd w:val="clear" w:color="auto" w:fill="auto"/>
            <w:tcMar>
              <w:left w:w="108" w:type="dxa"/>
            </w:tcMar>
            <w:vAlign w:val="center"/>
          </w:tcPr>
          <w:p w:rsidR="00963C2D" w:rsidRPr="00973B90" w:rsidRDefault="00963C2D" w:rsidP="00963C2D">
            <w:pPr>
              <w:spacing w:before="60" w:after="60" w:line="240" w:lineRule="auto"/>
              <w:jc w:val="center"/>
              <w:rPr>
                <w:b/>
              </w:rPr>
            </w:pPr>
            <w:r w:rsidRPr="00973B90">
              <w:rPr>
                <w:b/>
              </w:rPr>
              <w:t>Valve</w:t>
            </w:r>
          </w:p>
        </w:tc>
        <w:tc>
          <w:tcPr>
            <w:tcW w:w="3640" w:type="dxa"/>
            <w:shd w:val="clear" w:color="auto" w:fill="auto"/>
            <w:tcMar>
              <w:left w:w="108" w:type="dxa"/>
            </w:tcMar>
            <w:vAlign w:val="bottom"/>
          </w:tcPr>
          <w:p w:rsidR="00963C2D" w:rsidRPr="00973B90" w:rsidRDefault="00963C2D" w:rsidP="00963C2D">
            <w:pPr>
              <w:spacing w:before="60" w:after="60" w:line="240" w:lineRule="auto"/>
              <w:jc w:val="center"/>
            </w:pPr>
            <w:r w:rsidRPr="00973B90">
              <w:t>yes</w:t>
            </w:r>
          </w:p>
        </w:tc>
        <w:tc>
          <w:tcPr>
            <w:tcW w:w="2984" w:type="dxa"/>
            <w:shd w:val="clear" w:color="auto" w:fill="auto"/>
            <w:tcMar>
              <w:left w:w="108" w:type="dxa"/>
            </w:tcMar>
            <w:vAlign w:val="bottom"/>
          </w:tcPr>
          <w:p w:rsidR="00963C2D" w:rsidRPr="00973B90" w:rsidRDefault="00963C2D" w:rsidP="00963C2D">
            <w:pPr>
              <w:spacing w:before="60" w:after="60" w:line="240" w:lineRule="auto"/>
              <w:jc w:val="center"/>
            </w:pPr>
            <w:r w:rsidRPr="00973B90">
              <w:t>yes</w:t>
            </w:r>
          </w:p>
        </w:tc>
      </w:tr>
      <w:tr w:rsidR="00963C2D" w:rsidRPr="00064ABB" w:rsidTr="00963C2D">
        <w:tc>
          <w:tcPr>
            <w:tcW w:w="2376" w:type="dxa"/>
            <w:shd w:val="clear" w:color="auto" w:fill="auto"/>
            <w:tcMar>
              <w:left w:w="108" w:type="dxa"/>
            </w:tcMar>
            <w:vAlign w:val="center"/>
          </w:tcPr>
          <w:p w:rsidR="00963C2D" w:rsidRPr="00973B90" w:rsidRDefault="00963C2D" w:rsidP="00963C2D">
            <w:pPr>
              <w:spacing w:before="60" w:after="60" w:line="240" w:lineRule="auto"/>
              <w:jc w:val="center"/>
              <w:rPr>
                <w:b/>
              </w:rPr>
            </w:pPr>
            <w:r w:rsidRPr="00973B90">
              <w:rPr>
                <w:b/>
              </w:rPr>
              <w:t>Thermal coating</w:t>
            </w:r>
          </w:p>
        </w:tc>
        <w:tc>
          <w:tcPr>
            <w:tcW w:w="3640" w:type="dxa"/>
            <w:shd w:val="clear" w:color="auto" w:fill="auto"/>
            <w:tcMar>
              <w:left w:w="108" w:type="dxa"/>
            </w:tcMar>
            <w:vAlign w:val="bottom"/>
          </w:tcPr>
          <w:p w:rsidR="00963C2D" w:rsidRPr="00973B90" w:rsidRDefault="00963C2D" w:rsidP="00963C2D">
            <w:pPr>
              <w:spacing w:before="60" w:after="60" w:line="240" w:lineRule="auto"/>
              <w:jc w:val="center"/>
            </w:pPr>
            <w:r w:rsidRPr="00973B90">
              <w:t>No thermal coating</w:t>
            </w:r>
          </w:p>
        </w:tc>
        <w:tc>
          <w:tcPr>
            <w:tcW w:w="2984" w:type="dxa"/>
            <w:shd w:val="clear" w:color="auto" w:fill="auto"/>
            <w:tcMar>
              <w:left w:w="108" w:type="dxa"/>
            </w:tcMar>
            <w:vAlign w:val="bottom"/>
          </w:tcPr>
          <w:p w:rsidR="00963C2D" w:rsidRPr="00973B90" w:rsidRDefault="00963C2D" w:rsidP="00963C2D">
            <w:pPr>
              <w:spacing w:before="60" w:after="60" w:line="240" w:lineRule="auto"/>
              <w:jc w:val="center"/>
            </w:pPr>
            <w:r w:rsidRPr="00973B90">
              <w:t>No thermal coating</w:t>
            </w:r>
          </w:p>
        </w:tc>
      </w:tr>
      <w:tr w:rsidR="00963C2D" w:rsidRPr="00064ABB" w:rsidTr="00963C2D">
        <w:tc>
          <w:tcPr>
            <w:tcW w:w="2376" w:type="dxa"/>
            <w:shd w:val="clear" w:color="auto" w:fill="auto"/>
            <w:tcMar>
              <w:left w:w="108" w:type="dxa"/>
            </w:tcMar>
            <w:vAlign w:val="center"/>
          </w:tcPr>
          <w:p w:rsidR="00963C2D" w:rsidRPr="00973B90" w:rsidRDefault="00963C2D" w:rsidP="00963C2D">
            <w:pPr>
              <w:spacing w:before="60" w:after="60" w:line="240" w:lineRule="auto"/>
              <w:jc w:val="center"/>
              <w:rPr>
                <w:b/>
              </w:rPr>
            </w:pPr>
            <w:r w:rsidRPr="00973B90">
              <w:rPr>
                <w:b/>
              </w:rPr>
              <w:t>Consequences of the accident</w:t>
            </w:r>
          </w:p>
        </w:tc>
        <w:tc>
          <w:tcPr>
            <w:tcW w:w="3640" w:type="dxa"/>
            <w:shd w:val="clear" w:color="auto" w:fill="auto"/>
            <w:tcMar>
              <w:left w:w="108" w:type="dxa"/>
            </w:tcMar>
            <w:vAlign w:val="bottom"/>
          </w:tcPr>
          <w:p w:rsidR="00963C2D" w:rsidRPr="00973B90" w:rsidRDefault="00963C2D" w:rsidP="00963C2D">
            <w:pPr>
              <w:spacing w:before="60" w:after="60" w:line="240" w:lineRule="auto"/>
              <w:jc w:val="center"/>
            </w:pPr>
            <w:r w:rsidRPr="00973B90">
              <w:t>Opening of the valve after 30 minutes</w:t>
            </w:r>
          </w:p>
          <w:p w:rsidR="00963C2D" w:rsidRPr="00973B90" w:rsidRDefault="00963C2D" w:rsidP="00963C2D">
            <w:pPr>
              <w:spacing w:before="60" w:after="60" w:line="240" w:lineRule="auto"/>
              <w:jc w:val="center"/>
            </w:pPr>
            <w:r w:rsidRPr="00973B90">
              <w:t>No explosion</w:t>
            </w:r>
          </w:p>
        </w:tc>
        <w:tc>
          <w:tcPr>
            <w:tcW w:w="2984" w:type="dxa"/>
            <w:shd w:val="clear" w:color="auto" w:fill="auto"/>
            <w:tcMar>
              <w:left w:w="108" w:type="dxa"/>
            </w:tcMar>
            <w:vAlign w:val="bottom"/>
          </w:tcPr>
          <w:p w:rsidR="00963C2D" w:rsidRPr="00973B90" w:rsidRDefault="00963C2D" w:rsidP="00963C2D">
            <w:pPr>
              <w:spacing w:before="60" w:after="60" w:line="240" w:lineRule="auto"/>
              <w:jc w:val="center"/>
            </w:pPr>
            <w:r w:rsidRPr="00973B90">
              <w:t>Opening of the valve</w:t>
            </w:r>
          </w:p>
          <w:p w:rsidR="00963C2D" w:rsidRPr="00973B90" w:rsidRDefault="00963C2D" w:rsidP="00963C2D">
            <w:pPr>
              <w:spacing w:before="60" w:after="60" w:line="240" w:lineRule="auto"/>
              <w:jc w:val="center"/>
            </w:pPr>
            <w:r w:rsidRPr="00973B90">
              <w:t>No explosion</w:t>
            </w:r>
          </w:p>
        </w:tc>
      </w:tr>
    </w:tbl>
    <w:p w:rsidR="00074E40" w:rsidRPr="00074E40" w:rsidRDefault="00D2669B" w:rsidP="00401F75">
      <w:pPr>
        <w:pStyle w:val="H23G"/>
        <w:ind w:right="0"/>
        <w:jc w:val="center"/>
      </w:pPr>
      <w:r w:rsidRPr="00007DAB">
        <w:rPr>
          <w:noProof/>
          <w:lang w:val="en-US"/>
        </w:rPr>
        <w:drawing>
          <wp:anchor distT="0" distB="0" distL="114300" distR="114300" simplePos="0" relativeHeight="251658240" behindDoc="1" locked="0" layoutInCell="1" allowOverlap="1">
            <wp:simplePos x="0" y="0"/>
            <wp:positionH relativeFrom="column">
              <wp:posOffset>1367361</wp:posOffset>
            </wp:positionH>
            <wp:positionV relativeFrom="paragraph">
              <wp:posOffset>381000</wp:posOffset>
            </wp:positionV>
            <wp:extent cx="3553200" cy="2239200"/>
            <wp:effectExtent l="0" t="0" r="9525"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200" cy="2239200"/>
                    </a:xfrm>
                    <a:prstGeom prst="rect">
                      <a:avLst/>
                    </a:prstGeom>
                    <a:noFill/>
                  </pic:spPr>
                </pic:pic>
              </a:graphicData>
            </a:graphic>
            <wp14:sizeRelH relativeFrom="margin">
              <wp14:pctWidth>0</wp14:pctWidth>
            </wp14:sizeRelH>
            <wp14:sizeRelV relativeFrom="margin">
              <wp14:pctHeight>0</wp14:pctHeight>
            </wp14:sizeRelV>
          </wp:anchor>
        </w:drawing>
      </w:r>
      <w:r w:rsidR="00074E40" w:rsidRPr="00074E40">
        <w:t>Figure 2</w:t>
      </w:r>
      <w:r w:rsidR="00963C2D">
        <w:t xml:space="preserve">: </w:t>
      </w:r>
      <w:r w:rsidR="00074E40" w:rsidRPr="00F20FCD">
        <w:t>Photograph taken a</w:t>
      </w:r>
      <w:r>
        <w:t>t accident No. 2, sent by AEGPL</w:t>
      </w:r>
    </w:p>
    <w:p w:rsidR="004B589C" w:rsidRDefault="004B589C" w:rsidP="00D2669B">
      <w:pPr>
        <w:pStyle w:val="SingleTxtG"/>
        <w:ind w:left="0" w:right="0"/>
        <w:jc w:val="center"/>
      </w:pPr>
    </w:p>
    <w:p w:rsidR="00014145" w:rsidRPr="00014145" w:rsidRDefault="00014145" w:rsidP="00014145">
      <w:pPr>
        <w:pStyle w:val="HChG"/>
        <w:rPr>
          <w:rFonts w:eastAsia="SimSun"/>
        </w:rPr>
      </w:pPr>
      <w:r>
        <w:rPr>
          <w:rFonts w:eastAsia="SimSun"/>
        </w:rPr>
        <w:tab/>
      </w:r>
      <w:r>
        <w:rPr>
          <w:rFonts w:eastAsia="SimSun"/>
        </w:rPr>
        <w:tab/>
      </w:r>
      <w:r w:rsidRPr="00014145">
        <w:rPr>
          <w:rFonts w:eastAsia="SimSun"/>
        </w:rPr>
        <w:t>Configurations to consider for BLEVE mitigation</w:t>
      </w:r>
    </w:p>
    <w:p w:rsidR="00014145" w:rsidRPr="00014145" w:rsidRDefault="00014145" w:rsidP="00014145">
      <w:pPr>
        <w:pStyle w:val="SingleTxtG"/>
      </w:pPr>
      <w:r w:rsidRPr="00014145">
        <w:t>10.</w:t>
      </w:r>
      <w:r w:rsidRPr="00014145">
        <w:tab/>
        <w:t>The initial modelling results presented at the March 2017 session showed that for a number of configurations, valves alone fail to provide protection of the tank from fire for a period of 60 minutes (for example, for a 30 m</w:t>
      </w:r>
      <w:r w:rsidRPr="00DB249A">
        <w:rPr>
          <w:vertAlign w:val="superscript"/>
        </w:rPr>
        <w:t>3</w:t>
      </w:r>
      <w:r w:rsidRPr="00014145">
        <w:t xml:space="preserve"> tank subjected to an engulfing fire, etc.).</w:t>
      </w:r>
    </w:p>
    <w:p w:rsidR="00014145" w:rsidRPr="00014145" w:rsidRDefault="00014145" w:rsidP="00014145">
      <w:pPr>
        <w:pStyle w:val="SingleTxtG"/>
      </w:pPr>
      <w:r w:rsidRPr="00014145">
        <w:lastRenderedPageBreak/>
        <w:t xml:space="preserve">On the other hand, for certain specific cases, such as that of fire on the lower side of the tank, with a degree of filling of more than 50%, the calculations show that the valve can slow or even eliminate the BLEVE phenomenon. </w:t>
      </w:r>
    </w:p>
    <w:p w:rsidR="00014145" w:rsidRPr="00014145" w:rsidRDefault="00014145" w:rsidP="00014145">
      <w:pPr>
        <w:pStyle w:val="SingleTxtG"/>
      </w:pPr>
      <w:r w:rsidRPr="00014145">
        <w:t>11.</w:t>
      </w:r>
      <w:r w:rsidRPr="00014145">
        <w:tab/>
        <w:t>INERIS is currently studying the fire resistance of a number of tank configurations, combining all the elements listed below, in order to build upon these initial findings:</w:t>
      </w:r>
    </w:p>
    <w:p w:rsidR="00014145" w:rsidRPr="00014145" w:rsidRDefault="00014145" w:rsidP="00FD20C5">
      <w:pPr>
        <w:pStyle w:val="Bullet1G"/>
        <w:rPr>
          <w:rFonts w:eastAsia="SimSun"/>
        </w:rPr>
      </w:pPr>
      <w:r w:rsidRPr="00014145">
        <w:rPr>
          <w:rFonts w:eastAsia="SimSun"/>
        </w:rPr>
        <w:t>Tanks of various dimensions (30 m</w:t>
      </w:r>
      <w:r w:rsidR="00DB249A" w:rsidRPr="00DB249A">
        <w:rPr>
          <w:vertAlign w:val="superscript"/>
        </w:rPr>
        <w:t>3</w:t>
      </w:r>
      <w:r w:rsidRPr="00014145">
        <w:rPr>
          <w:rFonts w:eastAsia="SimSun"/>
        </w:rPr>
        <w:t xml:space="preserve"> and 60 m</w:t>
      </w:r>
      <w:r w:rsidR="00DB249A" w:rsidRPr="00DB249A">
        <w:rPr>
          <w:vertAlign w:val="superscript"/>
        </w:rPr>
        <w:t>3</w:t>
      </w:r>
      <w:r w:rsidRPr="00014145">
        <w:rPr>
          <w:rFonts w:eastAsia="SimSun"/>
        </w:rPr>
        <w:t>);</w:t>
      </w:r>
    </w:p>
    <w:p w:rsidR="00014145" w:rsidRPr="00014145" w:rsidRDefault="00014145" w:rsidP="00FD20C5">
      <w:pPr>
        <w:pStyle w:val="Bullet1G"/>
        <w:rPr>
          <w:rFonts w:eastAsia="SimSun"/>
        </w:rPr>
      </w:pPr>
      <w:r w:rsidRPr="00014145">
        <w:rPr>
          <w:rFonts w:eastAsia="SimSun"/>
        </w:rPr>
        <w:t>Fires with different characteristics: tank engulfed by fire; fire only on the lower side of the tank; torch fire on both the upper and lower parts of the tank;</w:t>
      </w:r>
    </w:p>
    <w:p w:rsidR="00014145" w:rsidRPr="00014145" w:rsidRDefault="00014145" w:rsidP="00FD20C5">
      <w:pPr>
        <w:pStyle w:val="Bullet1G"/>
        <w:rPr>
          <w:rFonts w:eastAsia="SimSun"/>
        </w:rPr>
      </w:pPr>
      <w:r w:rsidRPr="00014145">
        <w:rPr>
          <w:rFonts w:eastAsia="SimSun"/>
        </w:rPr>
        <w:t>Different degrees of filling (50% and 85%);</w:t>
      </w:r>
    </w:p>
    <w:p w:rsidR="00014145" w:rsidRPr="00014145" w:rsidRDefault="00014145" w:rsidP="00FD20C5">
      <w:pPr>
        <w:pStyle w:val="Bullet1G"/>
        <w:rPr>
          <w:rFonts w:eastAsia="SimSun"/>
        </w:rPr>
      </w:pPr>
      <w:r w:rsidRPr="00014145">
        <w:rPr>
          <w:rFonts w:eastAsia="SimSun"/>
        </w:rPr>
        <w:t>Types of valves (valves activated by pressure and by temperature);</w:t>
      </w:r>
    </w:p>
    <w:p w:rsidR="00014145" w:rsidRPr="00014145" w:rsidRDefault="00014145" w:rsidP="00FD20C5">
      <w:pPr>
        <w:pStyle w:val="Bullet1G"/>
        <w:rPr>
          <w:rFonts w:eastAsia="SimSun"/>
        </w:rPr>
      </w:pPr>
      <w:r w:rsidRPr="00014145">
        <w:rPr>
          <w:rFonts w:eastAsia="SimSun"/>
        </w:rPr>
        <w:t xml:space="preserve">Presence or absence of a thermal insulation coating; </w:t>
      </w:r>
    </w:p>
    <w:p w:rsidR="00014145" w:rsidRPr="00014145" w:rsidRDefault="00014145" w:rsidP="00FD20C5">
      <w:pPr>
        <w:pStyle w:val="Bullet1G"/>
        <w:rPr>
          <w:rFonts w:eastAsia="SimSun"/>
        </w:rPr>
      </w:pPr>
      <w:r w:rsidRPr="00014145">
        <w:rPr>
          <w:rFonts w:eastAsia="SimSun"/>
        </w:rPr>
        <w:t>The fact that the insulation coating does not cover the entire tank (owing to wear).</w:t>
      </w:r>
    </w:p>
    <w:p w:rsidR="00014145" w:rsidRPr="00014145" w:rsidRDefault="00014145" w:rsidP="00014145">
      <w:pPr>
        <w:pStyle w:val="SingleTxtG"/>
      </w:pPr>
      <w:r w:rsidRPr="00014145">
        <w:t>12.</w:t>
      </w:r>
      <w:r w:rsidRPr="00014145">
        <w:tab/>
        <w:t>The vast majority of the configurations presented above will be calculated by September and will be covered by a more compr</w:t>
      </w:r>
      <w:r w:rsidR="00F87F14">
        <w:t xml:space="preserve">ehensive report, submitted as </w:t>
      </w:r>
      <w:r w:rsidRPr="00014145">
        <w:t>an information document.</w:t>
      </w:r>
    </w:p>
    <w:p w:rsidR="00014145" w:rsidRPr="00014145" w:rsidRDefault="00014145" w:rsidP="00014145">
      <w:pPr>
        <w:pStyle w:val="SingleTxtG"/>
      </w:pPr>
      <w:r w:rsidRPr="00014145">
        <w:t>13.</w:t>
      </w:r>
      <w:r w:rsidRPr="00014145">
        <w:tab/>
        <w:t>The calculations should make it possible to determine what protection systems are effective, as well as to what degree. The examples given below show, for example, that valves may not necessarily be effective in all fires, and specifically in the most violent ones, but that they can in some cases prevent explosions, as shown by the accident scenarios transmitted by AEGPL.</w:t>
      </w:r>
    </w:p>
    <w:p w:rsidR="00014145" w:rsidRPr="00014145" w:rsidRDefault="00014145" w:rsidP="00014145">
      <w:pPr>
        <w:pStyle w:val="SingleTxtG"/>
      </w:pPr>
      <w:r w:rsidRPr="00014145">
        <w:t>14.</w:t>
      </w:r>
      <w:r w:rsidRPr="00014145">
        <w:tab/>
        <w:t>If the effectiveness levels of the various devices are overlayed with the various scenarios, this will give the Joint Meeting some criteria for taking decisions.</w:t>
      </w:r>
    </w:p>
    <w:p w:rsidR="00014145" w:rsidRPr="00014145" w:rsidRDefault="00014145" w:rsidP="00FD20C5">
      <w:pPr>
        <w:pStyle w:val="HChG"/>
        <w:rPr>
          <w:rFonts w:eastAsia="SimSun"/>
        </w:rPr>
      </w:pPr>
      <w:r w:rsidRPr="00014145">
        <w:rPr>
          <w:rFonts w:eastAsia="SimSun"/>
        </w:rPr>
        <w:tab/>
      </w:r>
      <w:r w:rsidRPr="00014145">
        <w:rPr>
          <w:rFonts w:eastAsia="SimSun"/>
        </w:rPr>
        <w:tab/>
        <w:t>Two examples of results already calculated by INERIS</w:t>
      </w:r>
    </w:p>
    <w:p w:rsidR="00014145" w:rsidRPr="00014145" w:rsidRDefault="00014145" w:rsidP="00014145">
      <w:pPr>
        <w:pStyle w:val="SingleTxtG"/>
      </w:pPr>
      <w:r w:rsidRPr="00014145">
        <w:t>For example, INERIS dealt with two cases whose results are shown below with curves comparing the tanks</w:t>
      </w:r>
      <w:r w:rsidR="00DE260D">
        <w:t>’</w:t>
      </w:r>
      <w:r w:rsidRPr="00014145">
        <w:t xml:space="preserve"> steel resistance (stress limit, in blue) with the actually applied stress (in red):</w:t>
      </w:r>
    </w:p>
    <w:p w:rsidR="00014145" w:rsidRPr="00014145" w:rsidRDefault="00014145" w:rsidP="00FD20C5">
      <w:pPr>
        <w:pStyle w:val="H1G"/>
        <w:rPr>
          <w:rFonts w:eastAsia="SimSun"/>
        </w:rPr>
      </w:pPr>
      <w:r w:rsidRPr="00014145">
        <w:rPr>
          <w:rFonts w:eastAsia="SimSun"/>
        </w:rPr>
        <w:tab/>
      </w:r>
      <w:r w:rsidRPr="00014145">
        <w:rPr>
          <w:rFonts w:eastAsia="SimSun"/>
        </w:rPr>
        <w:tab/>
        <w:t>Case No. 1</w:t>
      </w:r>
    </w:p>
    <w:p w:rsidR="00014145" w:rsidRPr="00014145" w:rsidRDefault="00014145" w:rsidP="00014145">
      <w:pPr>
        <w:pStyle w:val="SingleTxtG"/>
      </w:pPr>
      <w:r w:rsidRPr="00014145">
        <w:t>The first case concerns a 30 m</w:t>
      </w:r>
      <w:r w:rsidR="00DB249A" w:rsidRPr="00DB249A">
        <w:rPr>
          <w:vertAlign w:val="superscript"/>
        </w:rPr>
        <w:t>3</w:t>
      </w:r>
      <w:r w:rsidRPr="00014145">
        <w:t xml:space="preserve"> tank filled to 50% and protected by a valve set to release at 17 bar, at any temperature of the steel, and at 9 bar if the steel temperature exceeded 150° C. </w:t>
      </w:r>
    </w:p>
    <w:p w:rsidR="00014145" w:rsidRPr="00014145" w:rsidRDefault="00014145" w:rsidP="00014145">
      <w:pPr>
        <w:pStyle w:val="SingleTxtG"/>
      </w:pPr>
      <w:r w:rsidRPr="00014145">
        <w:t>This notional valve was imagined in order to address the problem raised during the last session: in some cases, tanks ruptured before the valves opened because the pressure setting was too high.</w:t>
      </w:r>
    </w:p>
    <w:p w:rsidR="00014145" w:rsidRDefault="00014145" w:rsidP="00014145">
      <w:pPr>
        <w:pStyle w:val="SingleTxtG"/>
      </w:pPr>
      <w:r w:rsidRPr="00014145">
        <w:t>In this model, the tank is fully engulfed in the fire. The results show that the valve makes it possible to stabilize the pressure in the jacket of the tank. However, the weakening of the steel leads to a rupture in the jacket. The opening of the valve does not limit the temperature increase of the steel.</w:t>
      </w:r>
    </w:p>
    <w:p w:rsidR="00014145" w:rsidRPr="00192239" w:rsidRDefault="00192239" w:rsidP="00983AC0">
      <w:pPr>
        <w:pStyle w:val="H23G"/>
        <w:ind w:right="0"/>
        <w:jc w:val="center"/>
      </w:pPr>
      <w:r>
        <w:lastRenderedPageBreak/>
        <w:t>Figure 3</w:t>
      </w:r>
      <w:r w:rsidR="00DB249A">
        <w:t xml:space="preserve">: </w:t>
      </w:r>
      <w:r w:rsidR="00014145" w:rsidRPr="00192239">
        <w:t xml:space="preserve">Applied stress from pressure increase (in red) and limit stress of the </w:t>
      </w:r>
      <w:r w:rsidR="00DB249A">
        <w:br/>
      </w:r>
      <w:r w:rsidR="00014145" w:rsidRPr="00192239">
        <w:t>tank</w:t>
      </w:r>
      <w:r w:rsidR="00DE260D">
        <w:t>’</w:t>
      </w:r>
      <w:r w:rsidR="00014145" w:rsidRPr="00192239">
        <w:t>s steel (in blue), over time</w:t>
      </w:r>
    </w:p>
    <w:p w:rsidR="00014145" w:rsidRDefault="006E2632" w:rsidP="002214C7">
      <w:pPr>
        <w:pStyle w:val="SingleTxtG"/>
        <w:keepNext/>
      </w:pPr>
      <w:r>
        <w:rPr>
          <w:noProof/>
          <w:lang w:val="en-US" w:eastAsia="en-US"/>
        </w:rPr>
        <w:drawing>
          <wp:inline distT="0" distB="0" distL="0" distR="0" wp14:anchorId="63440C87">
            <wp:extent cx="4843661" cy="292855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706" cy="2944299"/>
                    </a:xfrm>
                    <a:prstGeom prst="rect">
                      <a:avLst/>
                    </a:prstGeom>
                    <a:noFill/>
                  </pic:spPr>
                </pic:pic>
              </a:graphicData>
            </a:graphic>
          </wp:inline>
        </w:drawing>
      </w:r>
    </w:p>
    <w:p w:rsidR="00B946E3" w:rsidRPr="00B946E3" w:rsidRDefault="00B946E3" w:rsidP="00501BAA">
      <w:pPr>
        <w:pStyle w:val="H1G"/>
        <w:rPr>
          <w:rFonts w:eastAsia="SimSun"/>
        </w:rPr>
      </w:pPr>
      <w:r w:rsidRPr="00B946E3">
        <w:rPr>
          <w:rFonts w:eastAsia="SimSun"/>
        </w:rPr>
        <w:tab/>
      </w:r>
      <w:r w:rsidRPr="00B946E3">
        <w:rPr>
          <w:rFonts w:eastAsia="SimSun"/>
        </w:rPr>
        <w:tab/>
        <w:t>Case No. 2</w:t>
      </w:r>
    </w:p>
    <w:p w:rsidR="00B946E3" w:rsidRPr="00B946E3" w:rsidRDefault="00B946E3" w:rsidP="00B946E3">
      <w:pPr>
        <w:pStyle w:val="SingleTxtG"/>
      </w:pPr>
      <w:r w:rsidRPr="00B946E3">
        <w:t>The second case concerns a 30 m</w:t>
      </w:r>
      <w:r w:rsidRPr="001F2262">
        <w:rPr>
          <w:vertAlign w:val="superscript"/>
        </w:rPr>
        <w:t>3</w:t>
      </w:r>
      <w:r w:rsidRPr="00B946E3">
        <w:t xml:space="preserve"> tank filled to 85% and protected by a valve set to 17 bar at any temperature of the steel. The tank is subjected to a pool fire, only on its lower face.</w:t>
      </w:r>
    </w:p>
    <w:p w:rsidR="00B946E3" w:rsidRPr="00B946E3" w:rsidRDefault="00A40223" w:rsidP="00A40223">
      <w:pPr>
        <w:pStyle w:val="H23G"/>
        <w:ind w:right="0"/>
        <w:jc w:val="center"/>
      </w:pPr>
      <w:r>
        <w:rPr>
          <w:noProof/>
          <w:lang w:val="en-US"/>
        </w:rPr>
        <w:drawing>
          <wp:anchor distT="0" distB="0" distL="114300" distR="114300" simplePos="0" relativeHeight="251659264" behindDoc="0" locked="0" layoutInCell="1" allowOverlap="1">
            <wp:simplePos x="0" y="0"/>
            <wp:positionH relativeFrom="column">
              <wp:posOffset>2046931</wp:posOffset>
            </wp:positionH>
            <wp:positionV relativeFrom="paragraph">
              <wp:posOffset>307421</wp:posOffset>
            </wp:positionV>
            <wp:extent cx="2188800" cy="1767600"/>
            <wp:effectExtent l="0" t="0" r="254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00" cy="1767600"/>
                    </a:xfrm>
                    <a:prstGeom prst="rect">
                      <a:avLst/>
                    </a:prstGeom>
                    <a:noFill/>
                  </pic:spPr>
                </pic:pic>
              </a:graphicData>
            </a:graphic>
            <wp14:sizeRelH relativeFrom="margin">
              <wp14:pctWidth>0</wp14:pctWidth>
            </wp14:sizeRelH>
            <wp14:sizeRelV relativeFrom="margin">
              <wp14:pctHeight>0</wp14:pctHeight>
            </wp14:sizeRelV>
          </wp:anchor>
        </w:drawing>
      </w:r>
      <w:r w:rsidR="00501BAA">
        <w:t>Figure 4</w:t>
      </w:r>
      <w:r w:rsidR="00FA78E8">
        <w:t xml:space="preserve">: </w:t>
      </w:r>
      <w:r w:rsidR="00B946E3" w:rsidRPr="00501BAA">
        <w:t>Illustration of the fire for the second case study</w:t>
      </w:r>
    </w:p>
    <w:p w:rsidR="00501BAA" w:rsidRPr="00501BAA" w:rsidRDefault="00501BAA" w:rsidP="00A40223">
      <w:pPr>
        <w:pStyle w:val="SingleTxtG"/>
        <w:spacing w:before="240"/>
      </w:pPr>
      <w:r w:rsidRPr="00501BAA">
        <w:t>The results show that the tank is capable of withstanding a fire for more than 60 minutes. This reflects the following dual phenomenon: the opening of the valve limits the pressure rise once it reaches 16 bar; at the same time, the maximum temperature on the external jacket is very limited (&lt; 170° C), as the area of the jacket that is not in contact with the gas is not directly affected by the flame (degree of filling of 85%, with fire only in the lower part).</w:t>
      </w:r>
    </w:p>
    <w:p w:rsidR="00501BAA" w:rsidRPr="0022244F" w:rsidRDefault="0022244F" w:rsidP="004C324B">
      <w:pPr>
        <w:pStyle w:val="H23G"/>
        <w:ind w:right="0"/>
        <w:jc w:val="center"/>
      </w:pPr>
      <w:r>
        <w:lastRenderedPageBreak/>
        <w:t>Figure 5</w:t>
      </w:r>
      <w:r w:rsidR="004C324B">
        <w:t xml:space="preserve">: </w:t>
      </w:r>
      <w:r w:rsidR="00501BAA" w:rsidRPr="0022244F">
        <w:t xml:space="preserve">Applied stress from pressure increase (in red) and limit stress </w:t>
      </w:r>
      <w:r w:rsidR="004C324B">
        <w:br/>
      </w:r>
      <w:r w:rsidR="00501BAA" w:rsidRPr="0022244F">
        <w:t>of the tank</w:t>
      </w:r>
      <w:r w:rsidR="00DE260D">
        <w:t>’</w:t>
      </w:r>
      <w:r w:rsidR="00501BAA" w:rsidRPr="0022244F">
        <w:t>s steel (in blue), over time</w:t>
      </w:r>
      <w:bookmarkStart w:id="1" w:name="_GoBack1"/>
      <w:bookmarkEnd w:id="1"/>
    </w:p>
    <w:p w:rsidR="00501BAA" w:rsidRDefault="00D23E14" w:rsidP="0022244F">
      <w:pPr>
        <w:pStyle w:val="SingleTxtG"/>
        <w:keepNext/>
      </w:pPr>
      <w:r>
        <w:rPr>
          <w:noProof/>
          <w:lang w:val="en-US" w:eastAsia="en-US"/>
        </w:rPr>
        <w:drawing>
          <wp:inline distT="0" distB="0" distL="0" distR="0" wp14:anchorId="401823F8">
            <wp:extent cx="4680000" cy="27864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2786400"/>
                    </a:xfrm>
                    <a:prstGeom prst="rect">
                      <a:avLst/>
                    </a:prstGeom>
                    <a:noFill/>
                  </pic:spPr>
                </pic:pic>
              </a:graphicData>
            </a:graphic>
          </wp:inline>
        </w:drawing>
      </w:r>
    </w:p>
    <w:p w:rsidR="00292553" w:rsidRPr="00292553" w:rsidRDefault="00292553" w:rsidP="00292553">
      <w:pPr>
        <w:spacing w:before="240"/>
        <w:jc w:val="center"/>
        <w:rPr>
          <w:u w:val="single"/>
        </w:rPr>
      </w:pPr>
      <w:r>
        <w:rPr>
          <w:u w:val="single"/>
        </w:rPr>
        <w:tab/>
      </w:r>
      <w:r>
        <w:rPr>
          <w:u w:val="single"/>
        </w:rPr>
        <w:tab/>
      </w:r>
      <w:r>
        <w:rPr>
          <w:u w:val="single"/>
        </w:rPr>
        <w:tab/>
      </w:r>
    </w:p>
    <w:sectPr w:rsidR="00292553" w:rsidRPr="00292553" w:rsidSect="000611A4">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9A" w:rsidRPr="00FB1744" w:rsidRDefault="004A269A" w:rsidP="00FB1744">
      <w:pPr>
        <w:pStyle w:val="Footer"/>
      </w:pPr>
    </w:p>
  </w:endnote>
  <w:endnote w:type="continuationSeparator" w:id="0">
    <w:p w:rsidR="004A269A" w:rsidRPr="00FB1744" w:rsidRDefault="004A269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A4" w:rsidRPr="000611A4" w:rsidRDefault="000611A4" w:rsidP="000611A4">
    <w:pPr>
      <w:pStyle w:val="Footer"/>
      <w:tabs>
        <w:tab w:val="right" w:pos="9598"/>
      </w:tabs>
    </w:pPr>
    <w:r w:rsidRPr="000611A4">
      <w:rPr>
        <w:b/>
        <w:sz w:val="18"/>
      </w:rPr>
      <w:fldChar w:fldCharType="begin"/>
    </w:r>
    <w:r w:rsidRPr="000611A4">
      <w:rPr>
        <w:b/>
        <w:sz w:val="18"/>
      </w:rPr>
      <w:instrText xml:space="preserve"> PAGE  \* MERGEFORMAT </w:instrText>
    </w:r>
    <w:r w:rsidRPr="000611A4">
      <w:rPr>
        <w:b/>
        <w:sz w:val="18"/>
      </w:rPr>
      <w:fldChar w:fldCharType="separate"/>
    </w:r>
    <w:r w:rsidR="00430EEB">
      <w:rPr>
        <w:b/>
        <w:noProof/>
        <w:sz w:val="18"/>
      </w:rPr>
      <w:t>2</w:t>
    </w:r>
    <w:r w:rsidRPr="000611A4">
      <w:rPr>
        <w:b/>
        <w:sz w:val="18"/>
      </w:rPr>
      <w:fldChar w:fldCharType="end"/>
    </w:r>
    <w:r>
      <w:rPr>
        <w:sz w:val="18"/>
      </w:rPr>
      <w:tab/>
    </w:r>
    <w:r>
      <w:t>GE.17-11054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A4" w:rsidRPr="000611A4" w:rsidRDefault="000611A4" w:rsidP="000611A4">
    <w:pPr>
      <w:pStyle w:val="Footer"/>
      <w:tabs>
        <w:tab w:val="right" w:pos="9598"/>
      </w:tabs>
      <w:rPr>
        <w:b/>
        <w:sz w:val="18"/>
      </w:rPr>
    </w:pPr>
    <w:r>
      <w:t>GE.17-11054</w:t>
    </w:r>
    <w:r>
      <w:tab/>
    </w:r>
    <w:r w:rsidRPr="000611A4">
      <w:rPr>
        <w:b/>
        <w:sz w:val="18"/>
      </w:rPr>
      <w:fldChar w:fldCharType="begin"/>
    </w:r>
    <w:r w:rsidRPr="000611A4">
      <w:rPr>
        <w:b/>
        <w:sz w:val="18"/>
      </w:rPr>
      <w:instrText xml:space="preserve"> PAGE  \* MERGEFORMAT </w:instrText>
    </w:r>
    <w:r w:rsidRPr="000611A4">
      <w:rPr>
        <w:b/>
        <w:sz w:val="18"/>
      </w:rPr>
      <w:fldChar w:fldCharType="separate"/>
    </w:r>
    <w:r w:rsidR="00430EEB">
      <w:rPr>
        <w:b/>
        <w:noProof/>
        <w:sz w:val="18"/>
      </w:rPr>
      <w:t>3</w:t>
    </w:r>
    <w:r w:rsidRPr="000611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A4" w:rsidRDefault="000611A4" w:rsidP="000611A4">
    <w:r>
      <w:t>GE.17-11054  (E)</w:t>
    </w:r>
    <w:r w:rsidR="00830CBD">
      <w:t xml:space="preserve">    100717  040817</w:t>
    </w:r>
  </w:p>
  <w:p w:rsidR="000611A4" w:rsidRPr="000611A4" w:rsidRDefault="000611A4" w:rsidP="000611A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7/4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4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9A" w:rsidRPr="00FB1744" w:rsidRDefault="004A269A" w:rsidP="00FB1744">
      <w:pPr>
        <w:tabs>
          <w:tab w:val="right" w:pos="2155"/>
        </w:tabs>
        <w:spacing w:after="80" w:line="240" w:lineRule="auto"/>
        <w:ind w:left="680"/>
      </w:pPr>
      <w:r>
        <w:rPr>
          <w:u w:val="single"/>
        </w:rPr>
        <w:tab/>
      </w:r>
    </w:p>
  </w:footnote>
  <w:footnote w:type="continuationSeparator" w:id="0">
    <w:p w:rsidR="004A269A" w:rsidRPr="00FB1744" w:rsidRDefault="004A269A" w:rsidP="00FB1744">
      <w:pPr>
        <w:tabs>
          <w:tab w:val="right" w:pos="2155"/>
        </w:tabs>
        <w:spacing w:after="80" w:line="240" w:lineRule="auto"/>
        <w:ind w:left="680"/>
      </w:pPr>
      <w:r>
        <w:rPr>
          <w:u w:val="single"/>
        </w:rPr>
        <w:tab/>
      </w:r>
    </w:p>
  </w:footnote>
  <w:footnote w:id="1">
    <w:p w:rsidR="001A121B" w:rsidRPr="001A121B" w:rsidRDefault="001A121B">
      <w:pPr>
        <w:pStyle w:val="FootnoteText"/>
      </w:pPr>
      <w:r>
        <w:rPr>
          <w:rStyle w:val="FootnoteReference"/>
        </w:rPr>
        <w:tab/>
      </w:r>
      <w:r w:rsidRPr="001A121B">
        <w:rPr>
          <w:rStyle w:val="FootnoteReference"/>
          <w:sz w:val="20"/>
          <w:vertAlign w:val="baseline"/>
        </w:rPr>
        <w:t>*</w:t>
      </w:r>
      <w:r>
        <w:rPr>
          <w:rStyle w:val="FootnoteReference"/>
          <w:sz w:val="20"/>
          <w:vertAlign w:val="baseline"/>
        </w:rPr>
        <w:tab/>
      </w:r>
      <w:r w:rsidR="009915EF" w:rsidRPr="009915EF">
        <w:t>In accordance with the programme of work of the Inland Transport Committee for 2016-2017 (ECE/TRANS/2016/28/Add.1 (9.2)).</w:t>
      </w:r>
    </w:p>
  </w:footnote>
  <w:footnote w:id="2">
    <w:p w:rsidR="001A121B" w:rsidRPr="009915EF" w:rsidRDefault="001A121B" w:rsidP="009915EF">
      <w:pPr>
        <w:pStyle w:val="FootnoteText"/>
      </w:pPr>
      <w:r>
        <w:rPr>
          <w:rStyle w:val="FootnoteReference"/>
        </w:rPr>
        <w:tab/>
      </w:r>
      <w:r w:rsidRPr="001A121B">
        <w:rPr>
          <w:rStyle w:val="FootnoteReference"/>
          <w:sz w:val="20"/>
          <w:vertAlign w:val="baseline"/>
        </w:rPr>
        <w:t>**</w:t>
      </w:r>
      <w:r>
        <w:rPr>
          <w:rStyle w:val="FootnoteReference"/>
          <w:sz w:val="20"/>
          <w:vertAlign w:val="baseline"/>
        </w:rPr>
        <w:tab/>
      </w:r>
      <w:r w:rsidR="009915EF" w:rsidRPr="00351800">
        <w:t>Circulated by the Intergovernmental Organisation for International Carriage by Rail (OTIF) under the symbol OTIF/RID/RC/2016/42.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A4" w:rsidRPr="000611A4" w:rsidRDefault="000611A4" w:rsidP="000611A4">
    <w:pPr>
      <w:pStyle w:val="Header"/>
    </w:pPr>
    <w:r w:rsidRPr="000611A4">
      <w:t>ECE/TRANS/WP.15/AC.1/2017/42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A4" w:rsidRPr="000611A4" w:rsidRDefault="000611A4" w:rsidP="000611A4">
    <w:pPr>
      <w:pStyle w:val="Header"/>
      <w:jc w:val="right"/>
    </w:pPr>
    <w:r w:rsidRPr="000611A4">
      <w:t>ECE/TRANS/WP.15/AC.1/2017/42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83B18"/>
    <w:multiLevelType w:val="hybridMultilevel"/>
    <w:tmpl w:val="8E0862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1F4BB2"/>
    <w:multiLevelType w:val="hybridMultilevel"/>
    <w:tmpl w:val="597EA3A2"/>
    <w:lvl w:ilvl="0" w:tplc="05BECE2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9A"/>
    <w:rsid w:val="0000211E"/>
    <w:rsid w:val="00007DAB"/>
    <w:rsid w:val="00014145"/>
    <w:rsid w:val="000154DF"/>
    <w:rsid w:val="00046E92"/>
    <w:rsid w:val="000611A4"/>
    <w:rsid w:val="00067237"/>
    <w:rsid w:val="00074E40"/>
    <w:rsid w:val="000811B2"/>
    <w:rsid w:val="000D1B89"/>
    <w:rsid w:val="001170DC"/>
    <w:rsid w:val="0014276E"/>
    <w:rsid w:val="0016284A"/>
    <w:rsid w:val="00186389"/>
    <w:rsid w:val="00192239"/>
    <w:rsid w:val="001A121B"/>
    <w:rsid w:val="001F2262"/>
    <w:rsid w:val="002214C7"/>
    <w:rsid w:val="0022244F"/>
    <w:rsid w:val="00247E2C"/>
    <w:rsid w:val="00292553"/>
    <w:rsid w:val="002D6C53"/>
    <w:rsid w:val="002F5595"/>
    <w:rsid w:val="00334F6A"/>
    <w:rsid w:val="00342AC8"/>
    <w:rsid w:val="00351800"/>
    <w:rsid w:val="00354013"/>
    <w:rsid w:val="003828D5"/>
    <w:rsid w:val="003B4550"/>
    <w:rsid w:val="003B4DF2"/>
    <w:rsid w:val="003F1C79"/>
    <w:rsid w:val="00401F75"/>
    <w:rsid w:val="00430EEB"/>
    <w:rsid w:val="00442E36"/>
    <w:rsid w:val="00461253"/>
    <w:rsid w:val="004A269A"/>
    <w:rsid w:val="004B589C"/>
    <w:rsid w:val="004C324B"/>
    <w:rsid w:val="004C3D8A"/>
    <w:rsid w:val="00501BAA"/>
    <w:rsid w:val="005042C2"/>
    <w:rsid w:val="005066F8"/>
    <w:rsid w:val="005275EA"/>
    <w:rsid w:val="00530C79"/>
    <w:rsid w:val="0056599A"/>
    <w:rsid w:val="00571496"/>
    <w:rsid w:val="00587690"/>
    <w:rsid w:val="005C3C59"/>
    <w:rsid w:val="00610489"/>
    <w:rsid w:val="0063033F"/>
    <w:rsid w:val="00671529"/>
    <w:rsid w:val="006E2632"/>
    <w:rsid w:val="00717266"/>
    <w:rsid w:val="00721545"/>
    <w:rsid w:val="007268F9"/>
    <w:rsid w:val="00786F15"/>
    <w:rsid w:val="007917D0"/>
    <w:rsid w:val="007C52B0"/>
    <w:rsid w:val="00824D85"/>
    <w:rsid w:val="00830CBD"/>
    <w:rsid w:val="00875AA2"/>
    <w:rsid w:val="008E5B88"/>
    <w:rsid w:val="008E7E68"/>
    <w:rsid w:val="009334ED"/>
    <w:rsid w:val="009411B4"/>
    <w:rsid w:val="00944AD2"/>
    <w:rsid w:val="00963C2D"/>
    <w:rsid w:val="00966EE6"/>
    <w:rsid w:val="00973B90"/>
    <w:rsid w:val="00983AC0"/>
    <w:rsid w:val="009915EF"/>
    <w:rsid w:val="009A233D"/>
    <w:rsid w:val="009D0139"/>
    <w:rsid w:val="009F5704"/>
    <w:rsid w:val="009F5CDC"/>
    <w:rsid w:val="00A11C64"/>
    <w:rsid w:val="00A40223"/>
    <w:rsid w:val="00A670A2"/>
    <w:rsid w:val="00A775CF"/>
    <w:rsid w:val="00A824F1"/>
    <w:rsid w:val="00AA6197"/>
    <w:rsid w:val="00AB3C7E"/>
    <w:rsid w:val="00B06045"/>
    <w:rsid w:val="00B11D8E"/>
    <w:rsid w:val="00B27E6B"/>
    <w:rsid w:val="00B37F7A"/>
    <w:rsid w:val="00B72833"/>
    <w:rsid w:val="00B946E3"/>
    <w:rsid w:val="00C35A27"/>
    <w:rsid w:val="00CA37EC"/>
    <w:rsid w:val="00CA5C87"/>
    <w:rsid w:val="00CF4FE1"/>
    <w:rsid w:val="00CF5553"/>
    <w:rsid w:val="00D17793"/>
    <w:rsid w:val="00D23E14"/>
    <w:rsid w:val="00D2669B"/>
    <w:rsid w:val="00DA62FA"/>
    <w:rsid w:val="00DA6580"/>
    <w:rsid w:val="00DB249A"/>
    <w:rsid w:val="00DD38C1"/>
    <w:rsid w:val="00DD53D7"/>
    <w:rsid w:val="00DE260D"/>
    <w:rsid w:val="00DF15D4"/>
    <w:rsid w:val="00E0017F"/>
    <w:rsid w:val="00E02C2B"/>
    <w:rsid w:val="00E4386A"/>
    <w:rsid w:val="00EA1AC9"/>
    <w:rsid w:val="00EB32EC"/>
    <w:rsid w:val="00ED6C48"/>
    <w:rsid w:val="00F20FCD"/>
    <w:rsid w:val="00F65F5D"/>
    <w:rsid w:val="00F86A3A"/>
    <w:rsid w:val="00F87F14"/>
    <w:rsid w:val="00FA78E8"/>
    <w:rsid w:val="00FB1744"/>
    <w:rsid w:val="00FB49F9"/>
    <w:rsid w:val="00FC037A"/>
    <w:rsid w:val="00FC04AB"/>
    <w:rsid w:val="00FD20C5"/>
    <w:rsid w:val="00FF56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66046E-356F-4F6B-B900-BAF8F755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9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uiPriority w:val="99"/>
    <w:rsid w:val="0016284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037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E526-3A40-40CF-95F7-E246A2D0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1711054</vt:lpstr>
    </vt:vector>
  </TitlesOfParts>
  <Company>DCM</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1711054</dc:title>
  <dc:subject>ECE/TRANS/WP.15/AC.1/2017/42</dc:subject>
  <dc:creator>Moses OKELLO</dc:creator>
  <cp:keywords/>
  <dc:description/>
  <cp:lastModifiedBy>Christine Barrio-Champeau</cp:lastModifiedBy>
  <cp:revision>2</cp:revision>
  <cp:lastPrinted>2017-08-04T12:08:00Z</cp:lastPrinted>
  <dcterms:created xsi:type="dcterms:W3CDTF">2017-08-04T14:37:00Z</dcterms:created>
  <dcterms:modified xsi:type="dcterms:W3CDTF">2017-08-04T14:37:00Z</dcterms:modified>
</cp:coreProperties>
</file>