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264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264B5" w:rsidP="005264B5">
            <w:pPr>
              <w:jc w:val="right"/>
            </w:pPr>
            <w:r w:rsidRPr="005264B5">
              <w:rPr>
                <w:sz w:val="40"/>
              </w:rPr>
              <w:t>ECE</w:t>
            </w:r>
            <w:r>
              <w:t>/TRANS/WP.15/AC.1/2017/37</w:t>
            </w:r>
          </w:p>
        </w:tc>
      </w:tr>
      <w:tr w:rsidR="002D5AAC" w:rsidRPr="009E076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264B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264B5" w:rsidRDefault="005264B5" w:rsidP="005264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June 2017</w:t>
            </w:r>
          </w:p>
          <w:p w:rsidR="005264B5" w:rsidRDefault="005264B5" w:rsidP="005264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264B5" w:rsidRPr="008D53B6" w:rsidRDefault="005264B5" w:rsidP="005264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264B5" w:rsidRPr="008D3E66" w:rsidRDefault="005264B5" w:rsidP="005264B5">
      <w:pPr>
        <w:spacing w:before="120"/>
        <w:rPr>
          <w:sz w:val="28"/>
          <w:szCs w:val="28"/>
        </w:rPr>
      </w:pPr>
      <w:r w:rsidRPr="000E7C70">
        <w:rPr>
          <w:sz w:val="28"/>
          <w:szCs w:val="28"/>
        </w:rPr>
        <w:t>Комитет по внутреннему транспорту</w:t>
      </w:r>
    </w:p>
    <w:p w:rsidR="005264B5" w:rsidRPr="000E7C70" w:rsidRDefault="005264B5" w:rsidP="005264B5">
      <w:pPr>
        <w:spacing w:before="120" w:after="120"/>
        <w:rPr>
          <w:b/>
          <w:sz w:val="24"/>
          <w:szCs w:val="24"/>
        </w:rPr>
      </w:pPr>
      <w:r w:rsidRPr="000E7C70">
        <w:rPr>
          <w:b/>
          <w:sz w:val="24"/>
          <w:szCs w:val="24"/>
        </w:rPr>
        <w:t>Рабочая группа по перевозкам опасных грузов</w:t>
      </w:r>
    </w:p>
    <w:p w:rsidR="005264B5" w:rsidRPr="000E7C70" w:rsidRDefault="005264B5" w:rsidP="005264B5">
      <w:pPr>
        <w:rPr>
          <w:b/>
        </w:rPr>
      </w:pPr>
      <w:r w:rsidRPr="000E7C70">
        <w:rPr>
          <w:b/>
        </w:rPr>
        <w:t>Совместное совещание Комиссии экспертов МПОГ</w:t>
      </w:r>
      <w:r>
        <w:rPr>
          <w:b/>
        </w:rPr>
        <w:t xml:space="preserve"> </w:t>
      </w:r>
    </w:p>
    <w:p w:rsidR="005264B5" w:rsidRPr="000E7C70" w:rsidRDefault="009E0765" w:rsidP="005264B5">
      <w:pPr>
        <w:rPr>
          <w:b/>
        </w:rPr>
      </w:pPr>
      <w:r>
        <w:rPr>
          <w:b/>
        </w:rPr>
        <w:t xml:space="preserve">и </w:t>
      </w:r>
      <w:r w:rsidR="005264B5">
        <w:rPr>
          <w:b/>
        </w:rPr>
        <w:t>Рабочей группы</w:t>
      </w:r>
      <w:r w:rsidR="005264B5" w:rsidRPr="000E7C70">
        <w:rPr>
          <w:b/>
        </w:rPr>
        <w:t xml:space="preserve"> по перевозкам опасных грузов</w:t>
      </w:r>
    </w:p>
    <w:p w:rsidR="005264B5" w:rsidRPr="000E7C70" w:rsidRDefault="005264B5" w:rsidP="005264B5">
      <w:r w:rsidRPr="000E7C70">
        <w:t>Женева, 19–29 сентября 2017 года</w:t>
      </w:r>
    </w:p>
    <w:p w:rsidR="005264B5" w:rsidRPr="000E7C70" w:rsidRDefault="005264B5" w:rsidP="005264B5">
      <w:r w:rsidRPr="000E7C70">
        <w:t>Пункт 5 b) предварительной повестки дня</w:t>
      </w:r>
    </w:p>
    <w:p w:rsidR="005264B5" w:rsidRPr="000E7C70" w:rsidRDefault="005264B5" w:rsidP="005264B5">
      <w:pPr>
        <w:rPr>
          <w:b/>
          <w:bCs/>
        </w:rPr>
      </w:pPr>
      <w:r w:rsidRPr="000E7C70">
        <w:rPr>
          <w:b/>
        </w:rPr>
        <w:t>Предложения о внесении поправок в МПОГ/ДОПОГ/ВОПОГ:</w:t>
      </w:r>
    </w:p>
    <w:p w:rsidR="00E12C5F" w:rsidRPr="009E0765" w:rsidRDefault="005264B5" w:rsidP="005264B5">
      <w:pPr>
        <w:rPr>
          <w:b/>
        </w:rPr>
      </w:pPr>
      <w:r w:rsidRPr="000E7C70">
        <w:rPr>
          <w:b/>
        </w:rPr>
        <w:t>новые предложения</w:t>
      </w:r>
    </w:p>
    <w:p w:rsidR="005264B5" w:rsidRPr="00623EC4" w:rsidRDefault="005264B5" w:rsidP="005264B5">
      <w:pPr>
        <w:pStyle w:val="HChGR"/>
      </w:pPr>
      <w:r>
        <w:tab/>
      </w:r>
      <w:r>
        <w:tab/>
        <w:t>Пункт 1.1.3.6.3 – пояснение слов «масса брутто»</w:t>
      </w:r>
    </w:p>
    <w:p w:rsidR="005264B5" w:rsidRDefault="005264B5" w:rsidP="005264B5">
      <w:pPr>
        <w:pStyle w:val="H1GR"/>
        <w:rPr>
          <w:lang w:val="en-US"/>
        </w:rPr>
      </w:pPr>
      <w:r>
        <w:tab/>
      </w:r>
      <w:r>
        <w:tab/>
        <w:t xml:space="preserve">Передано </w:t>
      </w:r>
      <w:r w:rsidRPr="005264B5">
        <w:t>правительством</w:t>
      </w:r>
      <w:r>
        <w:t xml:space="preserve"> Австрии</w:t>
      </w:r>
      <w:r w:rsidRPr="005264B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>
        <w:rPr>
          <w:lang w:val="en-US"/>
        </w:rPr>
        <w:t xml:space="preserve"> </w:t>
      </w:r>
      <w:r w:rsidRPr="005264B5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7C224E" w:rsidRPr="007C224E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7C224E" w:rsidRPr="007C224E" w:rsidRDefault="007C224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C224E">
              <w:rPr>
                <w:rFonts w:cs="Times New Roman"/>
              </w:rPr>
              <w:tab/>
            </w:r>
            <w:r w:rsidRPr="007C224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C224E" w:rsidRPr="007C224E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C224E" w:rsidRPr="009E0765" w:rsidRDefault="007C224E" w:rsidP="007C224E">
            <w:pPr>
              <w:pStyle w:val="SingleTxtGR"/>
              <w:tabs>
                <w:tab w:val="clear" w:pos="1701"/>
                <w:tab w:val="clear" w:pos="2268"/>
                <w:tab w:val="clear" w:pos="2835"/>
              </w:tabs>
              <w:ind w:left="3402" w:hanging="2268"/>
            </w:pPr>
            <w:r w:rsidRPr="007C224E">
              <w:rPr>
                <w:b/>
              </w:rPr>
              <w:t>Краткое резюме</w:t>
            </w:r>
            <w:r w:rsidRPr="007C224E">
              <w:t>:</w:t>
            </w:r>
            <w:r w:rsidRPr="007C224E">
              <w:tab/>
              <w:t>Цель настоящего предложения состоит в том, чтобы пояснить значение слов «для изделий – массу брутто</w:t>
            </w:r>
            <w:r w:rsidR="009E0765">
              <w:t>» в пункте 1.1.3.6.3 МПОГ/ДОПОГ</w:t>
            </w:r>
          </w:p>
        </w:tc>
      </w:tr>
      <w:tr w:rsidR="007C224E" w:rsidRPr="007C224E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C224E" w:rsidRPr="007C224E" w:rsidRDefault="007C224E" w:rsidP="007C224E">
            <w:pPr>
              <w:pStyle w:val="SingleTxtGR"/>
              <w:tabs>
                <w:tab w:val="clear" w:pos="1701"/>
                <w:tab w:val="clear" w:pos="2268"/>
                <w:tab w:val="clear" w:pos="2835"/>
              </w:tabs>
              <w:ind w:left="3402" w:hanging="2268"/>
            </w:pPr>
            <w:r w:rsidRPr="007C224E">
              <w:rPr>
                <w:b/>
              </w:rPr>
              <w:t>Предлагаемые меры</w:t>
            </w:r>
            <w:r w:rsidRPr="007C224E">
              <w:t>:</w:t>
            </w:r>
            <w:r w:rsidRPr="007C224E">
              <w:tab/>
              <w:t>Толкование и возможное изменение пункта 1.1.3.6.3 МПОГ/ДОПОГ</w:t>
            </w:r>
          </w:p>
        </w:tc>
      </w:tr>
      <w:tr w:rsidR="007C224E" w:rsidRPr="007C224E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7C224E" w:rsidRPr="007C224E" w:rsidRDefault="007C224E" w:rsidP="00850215">
            <w:pPr>
              <w:rPr>
                <w:rFonts w:cs="Times New Roman"/>
              </w:rPr>
            </w:pPr>
          </w:p>
        </w:tc>
      </w:tr>
    </w:tbl>
    <w:p w:rsidR="005264B5" w:rsidRPr="007C224E" w:rsidRDefault="005264B5" w:rsidP="005264B5">
      <w:pPr>
        <w:pStyle w:val="SingleTxtGR"/>
      </w:pPr>
    </w:p>
    <w:p w:rsidR="007C224E" w:rsidRPr="00623EC4" w:rsidRDefault="007C224E" w:rsidP="007C224E">
      <w:pPr>
        <w:pStyle w:val="HChGR"/>
      </w:pPr>
      <w:r w:rsidRPr="007C224E">
        <w:br w:type="page"/>
      </w:r>
      <w:r>
        <w:lastRenderedPageBreak/>
        <w:tab/>
      </w:r>
      <w:r>
        <w:tab/>
        <w:t>Введение</w:t>
      </w:r>
    </w:p>
    <w:p w:rsidR="007C224E" w:rsidRPr="007C224E" w:rsidRDefault="007C224E" w:rsidP="007C224E">
      <w:pPr>
        <w:pStyle w:val="SingleTxtGR"/>
        <w:rPr>
          <w:rFonts w:eastAsia="Calibri"/>
        </w:rPr>
      </w:pPr>
      <w:r w:rsidRPr="007C224E">
        <w:t>1.</w:t>
      </w:r>
      <w:r w:rsidRPr="007C224E">
        <w:tab/>
        <w:t>После таблицы в пункте 1.1.3.6.3 МПОГ/ДОПОГ говорится, что слова «максимальное общее количество на транспортную единицу» в таблице «означают:</w:t>
      </w:r>
    </w:p>
    <w:p w:rsidR="007C224E" w:rsidRPr="007C224E" w:rsidRDefault="007C224E" w:rsidP="007C224E">
      <w:pPr>
        <w:pStyle w:val="SingleTxtGR"/>
        <w:rPr>
          <w:rFonts w:eastAsia="Calibri"/>
        </w:rPr>
      </w:pPr>
      <w:r w:rsidRPr="007C224E">
        <w:tab/>
      </w:r>
      <w:r w:rsidRPr="007C224E">
        <w:tab/>
      </w:r>
      <w:r w:rsidR="00AB6851" w:rsidRPr="00AB6851">
        <w:t>–</w:t>
      </w:r>
      <w:r w:rsidRPr="007C224E">
        <w:tab/>
        <w:t xml:space="preserve">для изделий – массу </w:t>
      </w:r>
      <w:r w:rsidRPr="000D5DBA">
        <w:rPr>
          <w:u w:val="single"/>
        </w:rPr>
        <w:t>брутто</w:t>
      </w:r>
      <w:r w:rsidRPr="007C224E">
        <w:t xml:space="preserve"> в килограммах (для изделий класса 1 – массу нетто взрывчатого вещества в килограммах;</w:t>
      </w:r>
    </w:p>
    <w:p w:rsidR="007C224E" w:rsidRPr="007C224E" w:rsidRDefault="007C224E" w:rsidP="007C224E">
      <w:pPr>
        <w:pStyle w:val="SingleTxtGR"/>
        <w:rPr>
          <w:rFonts w:eastAsia="Calibri"/>
        </w:rPr>
      </w:pPr>
      <w:r w:rsidRPr="007C224E">
        <w:t xml:space="preserve">для опасных грузов в механизмах и оборудовании, упомянутых в настоящем приложении, – общее </w:t>
      </w:r>
      <w:r w:rsidRPr="000D5DBA">
        <w:rPr>
          <w:u w:val="single"/>
        </w:rPr>
        <w:t>количество содержащихся в них опасных грузов</w:t>
      </w:r>
      <w:r w:rsidRPr="007C224E">
        <w:t xml:space="preserve"> в килограммах или литрах в зависимости от конкретного случая);</w:t>
      </w:r>
    </w:p>
    <w:p w:rsidR="007C224E" w:rsidRPr="007C224E" w:rsidRDefault="007C224E" w:rsidP="007C224E">
      <w:pPr>
        <w:pStyle w:val="SingleTxtGR"/>
        <w:rPr>
          <w:rFonts w:eastAsia="Calibri"/>
        </w:rPr>
      </w:pPr>
      <w:r w:rsidRPr="007C224E">
        <w:tab/>
      </w:r>
      <w:r w:rsidRPr="007C224E">
        <w:tab/>
      </w:r>
      <w:r w:rsidR="00AB6851" w:rsidRPr="00AB6851">
        <w:t>–</w:t>
      </w:r>
      <w:r w:rsidRPr="007C224E">
        <w:tab/>
        <w:t xml:space="preserve">для твердых веществ, сжиженных газов, охлажденных сжиженных газов и растворенных газов – массу </w:t>
      </w:r>
      <w:r w:rsidRPr="000D5DBA">
        <w:rPr>
          <w:u w:val="single"/>
        </w:rPr>
        <w:t>нетто</w:t>
      </w:r>
      <w:r w:rsidRPr="007C224E">
        <w:t xml:space="preserve"> в килограммах;</w:t>
      </w:r>
    </w:p>
    <w:p w:rsidR="007C224E" w:rsidRPr="007C224E" w:rsidRDefault="00871AC7" w:rsidP="007C224E">
      <w:pPr>
        <w:pStyle w:val="SingleTxtGR"/>
        <w:rPr>
          <w:rFonts w:eastAsia="Calibri"/>
        </w:rPr>
      </w:pPr>
      <w:r>
        <w:tab/>
      </w:r>
      <w:r>
        <w:tab/>
      </w:r>
      <w:r w:rsidRPr="00871AC7">
        <w:t>–</w:t>
      </w:r>
      <w:r w:rsidR="007C224E" w:rsidRPr="007C224E">
        <w:tab/>
        <w:t xml:space="preserve">для жидкостей – общее </w:t>
      </w:r>
      <w:r w:rsidR="007C224E" w:rsidRPr="000D5DBA">
        <w:rPr>
          <w:u w:val="single"/>
        </w:rPr>
        <w:t>количество содержащихся опасных грузов</w:t>
      </w:r>
      <w:r w:rsidR="007C224E" w:rsidRPr="007C224E">
        <w:t xml:space="preserve"> в литрах;</w:t>
      </w:r>
    </w:p>
    <w:p w:rsidR="007C224E" w:rsidRPr="007C224E" w:rsidRDefault="007C224E" w:rsidP="007C224E">
      <w:pPr>
        <w:pStyle w:val="SingleTxtGR"/>
        <w:rPr>
          <w:rFonts w:eastAsia="Calibri"/>
        </w:rPr>
      </w:pPr>
      <w:r w:rsidRPr="007C224E">
        <w:tab/>
      </w:r>
      <w:r w:rsidRPr="007C224E">
        <w:tab/>
      </w:r>
      <w:r w:rsidR="00871AC7" w:rsidRPr="00871AC7">
        <w:t>–</w:t>
      </w:r>
      <w:r w:rsidRPr="007C224E">
        <w:tab/>
        <w:t xml:space="preserve">для сжатых газов, адсорбированных газов и химических продуктов под давлением – номинальную </w:t>
      </w:r>
      <w:r w:rsidRPr="00871AC7">
        <w:rPr>
          <w:u w:val="single"/>
        </w:rPr>
        <w:t>вместимость сосудов</w:t>
      </w:r>
      <w:r w:rsidRPr="007C224E">
        <w:t xml:space="preserve"> по воде в литрах».</w:t>
      </w:r>
    </w:p>
    <w:p w:rsidR="007C224E" w:rsidRPr="007C224E" w:rsidRDefault="007C224E" w:rsidP="007C224E">
      <w:pPr>
        <w:pStyle w:val="SingleTxtGR"/>
        <w:rPr>
          <w:rFonts w:eastAsia="Calibri"/>
        </w:rPr>
      </w:pPr>
      <w:r w:rsidRPr="007C224E">
        <w:t>2.</w:t>
      </w:r>
      <w:r w:rsidRPr="007C224E">
        <w:tab/>
        <w:t>Масса брутто вообще и в МПОГ и ДОПОГ в частности означает сумму массы нетто и массы тары (см. например, определения «упаковки» в сочетании с определением «массы упаковки» или «максимально допустимой массы брутто» в главах 1.2 и 6.7).</w:t>
      </w:r>
    </w:p>
    <w:p w:rsidR="007C224E" w:rsidRPr="007C224E" w:rsidRDefault="007C224E" w:rsidP="007C224E">
      <w:pPr>
        <w:pStyle w:val="SingleTxtGR"/>
        <w:rPr>
          <w:rFonts w:eastAsia="Calibri"/>
        </w:rPr>
      </w:pPr>
      <w:r w:rsidRPr="007C224E">
        <w:t>3.</w:t>
      </w:r>
      <w:r w:rsidRPr="007C224E">
        <w:tab/>
        <w:t>В пункте 1.1.3.6.3 в большинстве случаев масса тары не учитывается. Масса брутто имеет значение только в случае изделий (которые не относятся к классу 1 и к механизмам или оборудованию).</w:t>
      </w:r>
    </w:p>
    <w:p w:rsidR="007C224E" w:rsidRPr="007C224E" w:rsidRDefault="007C224E" w:rsidP="007C224E">
      <w:pPr>
        <w:pStyle w:val="SingleTxtGR"/>
        <w:rPr>
          <w:rFonts w:eastAsia="Calibri"/>
        </w:rPr>
      </w:pPr>
      <w:r w:rsidRPr="007C224E">
        <w:t>4.</w:t>
      </w:r>
      <w:r w:rsidRPr="007C224E">
        <w:tab/>
        <w:t>Это приводит к такому понимаю, будто имеется в виду не верный технический термин «масса брутто», а общая масса только самого изделия как масса опасных грузов и средства их удержания (см. также СП 636 b), P 903 2), P</w:t>
      </w:r>
      <w:r w:rsidR="00820CAA">
        <w:rPr>
          <w:lang w:val="en-US"/>
        </w:rPr>
        <w:t> </w:t>
      </w:r>
      <w:r w:rsidRPr="007C224E">
        <w:t>909</w:t>
      </w:r>
      <w:r w:rsidR="00820CAA">
        <w:rPr>
          <w:lang w:val="en-US"/>
        </w:rPr>
        <w:t> </w:t>
      </w:r>
      <w:r w:rsidRPr="007C224E">
        <w:t xml:space="preserve">4)). </w:t>
      </w:r>
    </w:p>
    <w:p w:rsidR="007C224E" w:rsidRPr="007C224E" w:rsidRDefault="007C224E" w:rsidP="007C224E">
      <w:pPr>
        <w:pStyle w:val="SingleTxtGR"/>
        <w:rPr>
          <w:rFonts w:eastAsia="Calibri"/>
        </w:rPr>
      </w:pPr>
      <w:r w:rsidRPr="007C224E">
        <w:t>5.</w:t>
      </w:r>
      <w:r w:rsidRPr="007C224E">
        <w:tab/>
        <w:t>Австрия обращается к Совместному совещанию с вопросом относительно цели использования термина «масса брутто» в пункте 1.1.3.6.3 и предлагает два варианта более точной формулировки.</w:t>
      </w:r>
    </w:p>
    <w:p w:rsidR="007C224E" w:rsidRPr="00123E98" w:rsidRDefault="007C224E" w:rsidP="007C224E">
      <w:pPr>
        <w:pStyle w:val="HChGR"/>
        <w:rPr>
          <w:rFonts w:eastAsia="Calibri"/>
        </w:rPr>
      </w:pPr>
      <w:r>
        <w:tab/>
      </w:r>
      <w:r>
        <w:tab/>
      </w:r>
      <w:r w:rsidRPr="00123E98">
        <w:t>Предложения</w:t>
      </w:r>
    </w:p>
    <w:p w:rsidR="007C224E" w:rsidRPr="00623EC4" w:rsidRDefault="007C224E" w:rsidP="007C224E">
      <w:pPr>
        <w:spacing w:after="120"/>
        <w:ind w:left="1134" w:right="1134"/>
        <w:jc w:val="both"/>
        <w:rPr>
          <w:rFonts w:eastAsia="Calibri"/>
        </w:rPr>
      </w:pPr>
      <w:r>
        <w:t>6.</w:t>
      </w:r>
      <w:r>
        <w:tab/>
        <w:t>Вариант 1 (с учетом тары)</w:t>
      </w:r>
    </w:p>
    <w:p w:rsidR="007C224E" w:rsidRPr="00623EC4" w:rsidRDefault="007C224E" w:rsidP="007C224E">
      <w:pPr>
        <w:spacing w:after="120"/>
        <w:ind w:left="1134" w:right="1134"/>
        <w:jc w:val="both"/>
        <w:rPr>
          <w:rFonts w:eastAsia="Calibri"/>
        </w:rPr>
      </w:pPr>
      <w:r>
        <w:t>Включить в пункт 1.1.3.6.3 МПОГ/ДОПОГ после слов «массу брутто в килограммах»:</w:t>
      </w:r>
    </w:p>
    <w:p w:rsidR="007C224E" w:rsidRPr="00623EC4" w:rsidRDefault="007C224E" w:rsidP="007C224E">
      <w:pPr>
        <w:spacing w:after="120"/>
        <w:ind w:left="1134" w:right="1134"/>
        <w:jc w:val="both"/>
        <w:rPr>
          <w:rFonts w:eastAsia="Calibri"/>
        </w:rPr>
      </w:pPr>
      <w:r>
        <w:t>«изделий и их тары».</w:t>
      </w:r>
    </w:p>
    <w:p w:rsidR="007C224E" w:rsidRPr="00623EC4" w:rsidRDefault="007C224E" w:rsidP="007C224E">
      <w:pPr>
        <w:spacing w:after="120"/>
        <w:ind w:left="1134" w:right="1134"/>
        <w:jc w:val="both"/>
        <w:rPr>
          <w:rFonts w:eastAsia="Calibri"/>
        </w:rPr>
      </w:pPr>
      <w:r>
        <w:t>7.</w:t>
      </w:r>
      <w:r>
        <w:tab/>
        <w:t>Вариант 2 (без учета тары)</w:t>
      </w:r>
    </w:p>
    <w:p w:rsidR="007C224E" w:rsidRPr="00623EC4" w:rsidRDefault="007C224E" w:rsidP="007C224E">
      <w:pPr>
        <w:spacing w:after="120"/>
        <w:ind w:left="1134" w:right="1134"/>
        <w:jc w:val="both"/>
        <w:rPr>
          <w:rFonts w:eastAsia="Calibri"/>
        </w:rPr>
      </w:pPr>
      <w:r>
        <w:t>Заменить слова «массу брутто в килограммах» в пункте 1.1.3.6.3 МПОГ/</w:t>
      </w:r>
      <w:r w:rsidR="00820CAA" w:rsidRPr="00820CAA">
        <w:br/>
      </w:r>
      <w:r>
        <w:t>ДОПОГ следующими словами:</w:t>
      </w:r>
    </w:p>
    <w:p w:rsidR="005264B5" w:rsidRPr="007C224E" w:rsidRDefault="007C224E" w:rsidP="007C224E">
      <w:pPr>
        <w:pStyle w:val="SingleTxtGR"/>
      </w:pPr>
      <w:r>
        <w:t>«общую массу в килограммах изделий без их тары и транспортно-загрузочных приспособлений».</w:t>
      </w:r>
    </w:p>
    <w:p w:rsidR="005264B5" w:rsidRPr="000D5DBA" w:rsidRDefault="000D5DBA" w:rsidP="000D5DB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64B5" w:rsidRPr="000D5DBA" w:rsidSect="005264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31" w:rsidRPr="00A312BC" w:rsidRDefault="00651331" w:rsidP="00A312BC"/>
  </w:endnote>
  <w:endnote w:type="continuationSeparator" w:id="0">
    <w:p w:rsidR="00651331" w:rsidRPr="00A312BC" w:rsidRDefault="0065133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B5" w:rsidRPr="005264B5" w:rsidRDefault="005264B5">
    <w:pPr>
      <w:pStyle w:val="Footer"/>
    </w:pPr>
    <w:r w:rsidRPr="005264B5">
      <w:rPr>
        <w:b/>
        <w:sz w:val="18"/>
      </w:rPr>
      <w:fldChar w:fldCharType="begin"/>
    </w:r>
    <w:r w:rsidRPr="005264B5">
      <w:rPr>
        <w:b/>
        <w:sz w:val="18"/>
      </w:rPr>
      <w:instrText xml:space="preserve"> PAGE  \* MERGEFORMAT </w:instrText>
    </w:r>
    <w:r w:rsidRPr="005264B5">
      <w:rPr>
        <w:b/>
        <w:sz w:val="18"/>
      </w:rPr>
      <w:fldChar w:fldCharType="separate"/>
    </w:r>
    <w:r w:rsidR="003C232E">
      <w:rPr>
        <w:b/>
        <w:noProof/>
        <w:sz w:val="18"/>
      </w:rPr>
      <w:t>2</w:t>
    </w:r>
    <w:r w:rsidRPr="005264B5">
      <w:rPr>
        <w:b/>
        <w:sz w:val="18"/>
      </w:rPr>
      <w:fldChar w:fldCharType="end"/>
    </w:r>
    <w:r>
      <w:rPr>
        <w:b/>
        <w:sz w:val="18"/>
      </w:rPr>
      <w:tab/>
    </w:r>
    <w:r>
      <w:t>GE.17-10915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B5" w:rsidRPr="005264B5" w:rsidRDefault="005264B5" w:rsidP="005264B5">
    <w:pPr>
      <w:pStyle w:val="Footer"/>
      <w:tabs>
        <w:tab w:val="clear" w:pos="9639"/>
        <w:tab w:val="right" w:pos="9638"/>
      </w:tabs>
      <w:rPr>
        <w:b/>
        <w:sz w:val="18"/>
      </w:rPr>
    </w:pPr>
    <w:r>
      <w:t>GE.17-10915</w:t>
    </w:r>
    <w:r>
      <w:tab/>
    </w:r>
    <w:r w:rsidRPr="005264B5">
      <w:rPr>
        <w:b/>
        <w:sz w:val="18"/>
      </w:rPr>
      <w:fldChar w:fldCharType="begin"/>
    </w:r>
    <w:r w:rsidRPr="005264B5">
      <w:rPr>
        <w:b/>
        <w:sz w:val="18"/>
      </w:rPr>
      <w:instrText xml:space="preserve"> PAGE  \* MERGEFORMAT </w:instrText>
    </w:r>
    <w:r w:rsidRPr="005264B5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5264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264B5" w:rsidRDefault="005264B5" w:rsidP="005264B5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917141B" wp14:editId="256B1D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17-10915  (R)</w:t>
    </w:r>
    <w:r w:rsidR="00FC459A">
      <w:rPr>
        <w:lang w:val="en-US"/>
      </w:rPr>
      <w:t xml:space="preserve">  250717  250717</w:t>
    </w:r>
    <w:r>
      <w:br/>
    </w:r>
    <w:r w:rsidRPr="005264B5">
      <w:rPr>
        <w:rFonts w:ascii="C39T30Lfz" w:hAnsi="C39T30Lfz"/>
        <w:spacing w:val="0"/>
        <w:w w:val="100"/>
        <w:sz w:val="56"/>
      </w:rPr>
      <w:t></w:t>
    </w:r>
    <w:r w:rsidRPr="005264B5">
      <w:rPr>
        <w:rFonts w:ascii="C39T30Lfz" w:hAnsi="C39T30Lfz"/>
        <w:spacing w:val="0"/>
        <w:w w:val="100"/>
        <w:sz w:val="56"/>
      </w:rPr>
      <w:t></w:t>
    </w:r>
    <w:r w:rsidRPr="005264B5">
      <w:rPr>
        <w:rFonts w:ascii="C39T30Lfz" w:hAnsi="C39T30Lfz"/>
        <w:spacing w:val="0"/>
        <w:w w:val="100"/>
        <w:sz w:val="56"/>
      </w:rPr>
      <w:t></w:t>
    </w:r>
    <w:r w:rsidRPr="005264B5">
      <w:rPr>
        <w:rFonts w:ascii="C39T30Lfz" w:hAnsi="C39T30Lfz"/>
        <w:spacing w:val="0"/>
        <w:w w:val="100"/>
        <w:sz w:val="56"/>
      </w:rPr>
      <w:t></w:t>
    </w:r>
    <w:r w:rsidRPr="005264B5">
      <w:rPr>
        <w:rFonts w:ascii="C39T30Lfz" w:hAnsi="C39T30Lfz"/>
        <w:spacing w:val="0"/>
        <w:w w:val="100"/>
        <w:sz w:val="56"/>
      </w:rPr>
      <w:t></w:t>
    </w:r>
    <w:r w:rsidRPr="005264B5">
      <w:rPr>
        <w:rFonts w:ascii="C39T30Lfz" w:hAnsi="C39T30Lfz"/>
        <w:spacing w:val="0"/>
        <w:w w:val="100"/>
        <w:sz w:val="56"/>
      </w:rPr>
      <w:t></w:t>
    </w:r>
    <w:r w:rsidRPr="005264B5">
      <w:rPr>
        <w:rFonts w:ascii="C39T30Lfz" w:hAnsi="C39T30Lfz"/>
        <w:spacing w:val="0"/>
        <w:w w:val="100"/>
        <w:sz w:val="56"/>
      </w:rPr>
      <w:t></w:t>
    </w:r>
    <w:r w:rsidRPr="005264B5">
      <w:rPr>
        <w:rFonts w:ascii="C39T30Lfz" w:hAnsi="C39T30Lfz"/>
        <w:spacing w:val="0"/>
        <w:w w:val="100"/>
        <w:sz w:val="56"/>
      </w:rPr>
      <w:t></w:t>
    </w:r>
    <w:r w:rsidRPr="005264B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 wp14:anchorId="195ACBCD" wp14:editId="4B4935D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15/AC.1/2017/3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3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31" w:rsidRPr="001075E9" w:rsidRDefault="0065133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1331" w:rsidRDefault="0065133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264B5" w:rsidRPr="005264B5" w:rsidRDefault="005264B5">
      <w:pPr>
        <w:pStyle w:val="FootnoteText"/>
        <w:rPr>
          <w:sz w:val="20"/>
          <w:lang w:val="ru-RU"/>
        </w:rPr>
      </w:pPr>
      <w:r>
        <w:tab/>
      </w:r>
      <w:r w:rsidRPr="005264B5">
        <w:rPr>
          <w:rStyle w:val="FootnoteReference"/>
          <w:sz w:val="20"/>
          <w:vertAlign w:val="baseline"/>
          <w:lang w:val="ru-RU"/>
        </w:rPr>
        <w:t>*</w:t>
      </w:r>
      <w:r w:rsidRPr="005264B5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FC459A" w:rsidRPr="00FC459A">
        <w:rPr>
          <w:lang w:val="ru-RU"/>
        </w:rPr>
        <w:br/>
      </w:r>
      <w:r>
        <w:rPr>
          <w:lang w:val="ru-RU"/>
        </w:rPr>
        <w:t>на 2016–2017 годы (ECE/TRANS/2016/28/Add.1 (9.2)).</w:t>
      </w:r>
    </w:p>
  </w:footnote>
  <w:footnote w:id="2">
    <w:p w:rsidR="005264B5" w:rsidRPr="00623EC4" w:rsidRDefault="005264B5" w:rsidP="005264B5">
      <w:pPr>
        <w:pStyle w:val="FootnoteText"/>
        <w:rPr>
          <w:lang w:val="ru-RU"/>
        </w:rPr>
      </w:pPr>
      <w:r w:rsidRPr="00FC459A">
        <w:rPr>
          <w:lang w:val="ru-RU"/>
        </w:rPr>
        <w:tab/>
      </w:r>
      <w:r>
        <w:rPr>
          <w:lang w:val="ru-RU"/>
        </w:rPr>
        <w:t>**</w:t>
      </w:r>
      <w:r>
        <w:rPr>
          <w:lang w:val="ru-RU"/>
        </w:rP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OTIF/RID/RC/2017/37.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B5" w:rsidRPr="005264B5" w:rsidRDefault="00A07774">
    <w:pPr>
      <w:pStyle w:val="Header"/>
    </w:pPr>
    <w:fldSimple w:instr=" TITLE  \* MERGEFORMAT ">
      <w:r>
        <w:t>ECE/TRANS/WP.15/AC.1/2017/37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B5" w:rsidRPr="005264B5" w:rsidRDefault="00A07774" w:rsidP="005264B5">
    <w:pPr>
      <w:pStyle w:val="Header"/>
      <w:jc w:val="right"/>
    </w:pPr>
    <w:fldSimple w:instr=" TITLE  \* MERGEFORMAT ">
      <w:r>
        <w:t>ECE/TRANS/WP.15/AC.1/2017/37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31"/>
    <w:rsid w:val="00014FA9"/>
    <w:rsid w:val="00033EE1"/>
    <w:rsid w:val="00042B72"/>
    <w:rsid w:val="000558BD"/>
    <w:rsid w:val="000919AF"/>
    <w:rsid w:val="000B57E7"/>
    <w:rsid w:val="000B6373"/>
    <w:rsid w:val="000D5DBA"/>
    <w:rsid w:val="000E4E5B"/>
    <w:rsid w:val="000F09DF"/>
    <w:rsid w:val="000F61B2"/>
    <w:rsid w:val="001075E9"/>
    <w:rsid w:val="001261EF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232E"/>
    <w:rsid w:val="003E0B37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4B5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5133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224E"/>
    <w:rsid w:val="00806737"/>
    <w:rsid w:val="00820CAA"/>
    <w:rsid w:val="00825F8D"/>
    <w:rsid w:val="00834B71"/>
    <w:rsid w:val="0086445C"/>
    <w:rsid w:val="00871AC7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E0765"/>
    <w:rsid w:val="00A07774"/>
    <w:rsid w:val="00A14DA8"/>
    <w:rsid w:val="00A312BC"/>
    <w:rsid w:val="00A84021"/>
    <w:rsid w:val="00A84D35"/>
    <w:rsid w:val="00A917B3"/>
    <w:rsid w:val="00AB4B51"/>
    <w:rsid w:val="00AB6851"/>
    <w:rsid w:val="00B10CC7"/>
    <w:rsid w:val="00B36DF7"/>
    <w:rsid w:val="00B539E7"/>
    <w:rsid w:val="00B62458"/>
    <w:rsid w:val="00BB0E49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459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0DF160A-AB1F-4439-A11D-80D13E45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5264B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styleId="BlockText">
    <w:name w:val="Block Text"/>
    <w:basedOn w:val="Normal"/>
    <w:semiHidden/>
    <w:rsid w:val="005264B5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ChGChar">
    <w:name w:val="_ H _Ch_G Char"/>
    <w:link w:val="HChG"/>
    <w:rsid w:val="005264B5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ECE/TRANS/WP.15/AC.1/2017/37</vt:lpstr>
      <vt:lpstr>ECE/TRANS/WP.15/AC.1/2017/37</vt:lpstr>
      <vt:lpstr>A/</vt:lpstr>
    </vt:vector>
  </TitlesOfParts>
  <Company>DCM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ECE/TRANS/WP.15/AC.1/2017/37</dc:title>
  <dc:subject/>
  <dc:creator>Prokoudina S.</dc:creator>
  <cp:keywords/>
  <cp:lastModifiedBy>Christine Barrio-Champeau</cp:lastModifiedBy>
  <cp:revision>2</cp:revision>
  <cp:lastPrinted>2017-07-25T14:35:00Z</cp:lastPrinted>
  <dcterms:created xsi:type="dcterms:W3CDTF">2017-08-02T08:05:00Z</dcterms:created>
  <dcterms:modified xsi:type="dcterms:W3CDTF">2017-08-02T08:05:00Z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