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B44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B4499" w:rsidP="006B4499">
            <w:pPr>
              <w:jc w:val="right"/>
            </w:pPr>
            <w:r w:rsidRPr="006B4499">
              <w:rPr>
                <w:sz w:val="40"/>
              </w:rPr>
              <w:t>ECE</w:t>
            </w:r>
            <w:r>
              <w:t>/TRANS/WP.15/AC.1/2017/26</w:t>
            </w:r>
          </w:p>
        </w:tc>
      </w:tr>
      <w:tr w:rsidR="002D5AAC" w:rsidRPr="006B449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B44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B4499" w:rsidRDefault="006B4499" w:rsidP="006B44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6B4499" w:rsidRDefault="006B4499" w:rsidP="006B44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B4499" w:rsidRPr="008D53B6" w:rsidRDefault="006B4499" w:rsidP="006B44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4499" w:rsidRPr="006B4499" w:rsidRDefault="006B4499" w:rsidP="006B4499">
      <w:pPr>
        <w:spacing w:before="120"/>
        <w:rPr>
          <w:sz w:val="28"/>
          <w:szCs w:val="28"/>
        </w:rPr>
      </w:pPr>
      <w:r w:rsidRPr="006B4499">
        <w:rPr>
          <w:sz w:val="28"/>
          <w:szCs w:val="28"/>
        </w:rPr>
        <w:t>Комитет по внутреннему транспорту</w:t>
      </w:r>
    </w:p>
    <w:p w:rsidR="006B4499" w:rsidRPr="006B4499" w:rsidRDefault="006B4499" w:rsidP="006B4499">
      <w:pPr>
        <w:spacing w:before="120"/>
        <w:rPr>
          <w:b/>
          <w:sz w:val="24"/>
          <w:szCs w:val="24"/>
        </w:rPr>
      </w:pPr>
      <w:r w:rsidRPr="006B4499">
        <w:rPr>
          <w:b/>
          <w:sz w:val="24"/>
          <w:szCs w:val="24"/>
        </w:rPr>
        <w:t>Рабочая группа по перевозкам опасных грузов</w:t>
      </w:r>
    </w:p>
    <w:p w:rsidR="006B4499" w:rsidRPr="006B4499" w:rsidRDefault="006B4499" w:rsidP="00D325F3">
      <w:pPr>
        <w:spacing w:before="120"/>
        <w:rPr>
          <w:b/>
        </w:rPr>
      </w:pPr>
      <w:r w:rsidRPr="006B4499">
        <w:rPr>
          <w:b/>
        </w:rPr>
        <w:t>Совместное совещание Комиссии экспертов МПОГ</w:t>
      </w:r>
      <w:r w:rsidR="00D325F3" w:rsidRPr="00D325F3">
        <w:rPr>
          <w:b/>
        </w:rPr>
        <w:br/>
      </w:r>
      <w:r w:rsidRPr="006B4499">
        <w:rPr>
          <w:b/>
        </w:rPr>
        <w:t>и</w:t>
      </w:r>
      <w:r w:rsidR="00D325F3" w:rsidRPr="00D325F3">
        <w:rPr>
          <w:b/>
        </w:rPr>
        <w:t xml:space="preserve"> </w:t>
      </w:r>
      <w:r w:rsidRPr="006B4499">
        <w:rPr>
          <w:b/>
        </w:rPr>
        <w:t>Рабочей группы по перевозкам опасных грузов</w:t>
      </w:r>
    </w:p>
    <w:p w:rsidR="006B4499" w:rsidRPr="006B4499" w:rsidRDefault="006B4499" w:rsidP="006B4499">
      <w:r w:rsidRPr="006B4499">
        <w:t>Женева, 19–29 сентября 2017 года</w:t>
      </w:r>
    </w:p>
    <w:p w:rsidR="006B4499" w:rsidRPr="006B4499" w:rsidRDefault="006B4499" w:rsidP="006B4499">
      <w:r w:rsidRPr="006B4499">
        <w:t>Пункт 4 предварительной повестки дня</w:t>
      </w:r>
    </w:p>
    <w:p w:rsidR="006B4499" w:rsidRPr="006B4499" w:rsidRDefault="006B4499" w:rsidP="006B4499">
      <w:pPr>
        <w:rPr>
          <w:b/>
        </w:rPr>
      </w:pPr>
      <w:r w:rsidRPr="006B4499">
        <w:rPr>
          <w:b/>
        </w:rPr>
        <w:t xml:space="preserve">Согласование с Рекомендациями Организации </w:t>
      </w:r>
      <w:r w:rsidR="00D325F3" w:rsidRPr="00D325F3">
        <w:rPr>
          <w:b/>
        </w:rPr>
        <w:br/>
      </w:r>
      <w:r w:rsidRPr="006B4499">
        <w:rPr>
          <w:b/>
        </w:rPr>
        <w:t>Объединенных Наций по перевозке опасных грузов</w:t>
      </w:r>
    </w:p>
    <w:p w:rsidR="006B4499" w:rsidRPr="006B4499" w:rsidRDefault="006B4499" w:rsidP="00992697">
      <w:pPr>
        <w:pStyle w:val="HChGR"/>
      </w:pPr>
      <w:r w:rsidRPr="006B4499">
        <w:tab/>
      </w:r>
      <w:r w:rsidRPr="006B4499">
        <w:tab/>
        <w:t>Докла</w:t>
      </w:r>
      <w:r w:rsidR="00D325F3">
        <w:t>д Специальной рабочей группы по</w:t>
      </w:r>
      <w:r w:rsidR="00D325F3">
        <w:rPr>
          <w:lang w:val="en-US"/>
        </w:rPr>
        <w:t> </w:t>
      </w:r>
      <w:r w:rsidR="00D325F3">
        <w:t>согласованию МПОГ/ДОПОГ/ВОПОГ с</w:t>
      </w:r>
      <w:r w:rsidR="00D325F3">
        <w:rPr>
          <w:lang w:val="en-US"/>
        </w:rPr>
        <w:t> </w:t>
      </w:r>
      <w:r w:rsidRPr="006B4499">
        <w:t>Рекомендациями Организации Объединенных Наций по перевозке опасных грузов</w:t>
      </w:r>
    </w:p>
    <w:p w:rsidR="006B4499" w:rsidRPr="006B4499" w:rsidRDefault="006B4499" w:rsidP="00D325F3">
      <w:pPr>
        <w:pStyle w:val="H1GR"/>
        <w:rPr>
          <w:vertAlign w:val="superscript"/>
        </w:rPr>
      </w:pPr>
      <w:r w:rsidRPr="006B4499">
        <w:tab/>
      </w:r>
      <w:r w:rsidRPr="006B4499">
        <w:tab/>
        <w:t>Записка секретариата</w:t>
      </w:r>
      <w:r w:rsidR="00AD4899" w:rsidRPr="00BB71A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D4899" w:rsidRPr="00BB71A8">
        <w:rPr>
          <w:b w:val="0"/>
          <w:sz w:val="20"/>
          <w:lang w:val="en-US"/>
        </w:rPr>
        <w:t xml:space="preserve"> </w:t>
      </w:r>
      <w:r w:rsidR="00AD4899" w:rsidRPr="00BB71A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:rsidR="006B4499" w:rsidRPr="006B4499" w:rsidRDefault="006B4499" w:rsidP="00D325F3">
      <w:pPr>
        <w:pStyle w:val="HChGR"/>
      </w:pPr>
      <w:r w:rsidRPr="006B4499">
        <w:tab/>
        <w:t>I.</w:t>
      </w:r>
      <w:r w:rsidRPr="006B4499">
        <w:tab/>
        <w:t>Общие сведения</w:t>
      </w:r>
    </w:p>
    <w:p w:rsidR="006B4499" w:rsidRPr="006B4499" w:rsidRDefault="006B4499" w:rsidP="006B4499">
      <w:pPr>
        <w:pStyle w:val="SingleTxtGR"/>
      </w:pPr>
      <w:r w:rsidRPr="006B4499">
        <w:t>1.</w:t>
      </w:r>
      <w:r w:rsidRPr="006B4499">
        <w:tab/>
        <w:t>Сессия Специальной рабочей группы по согласованию МПОГ/ДОПОГ/</w:t>
      </w:r>
      <w:r w:rsidR="00AF058C">
        <w:br/>
      </w:r>
      <w:r w:rsidRPr="006B4499">
        <w:t>ВОПОГ с Рекомендациями Организации Объединенных Наций по перевозке опасных грузов состоялась в Женеве 25–27 апреля 2017 года под председательством г-на К. Пфоваделя (Франция).</w:t>
      </w:r>
    </w:p>
    <w:p w:rsidR="006B4499" w:rsidRPr="006B4499" w:rsidRDefault="006B4499" w:rsidP="006B4499">
      <w:pPr>
        <w:pStyle w:val="SingleTxtGR"/>
      </w:pPr>
      <w:r w:rsidRPr="006B4499">
        <w:t>2.</w:t>
      </w:r>
      <w:r w:rsidRPr="006B4499">
        <w:tab/>
        <w:t>В работе сессии приняли участие представители Бельгии, Германии, Испании, Нидерландов, Румынии, Соединенного Королевства, Франции, Швейцарии, Швеции, Центральной комиссии судоходства по Рейну (ЦКСР) и Межправительственной организации по международным железнодорожным перевозкам (ОТИФ).</w:t>
      </w:r>
    </w:p>
    <w:p w:rsidR="006B4499" w:rsidRPr="006B4499" w:rsidRDefault="006B4499" w:rsidP="006B4499">
      <w:pPr>
        <w:pStyle w:val="SingleTxtGR"/>
      </w:pPr>
      <w:r w:rsidRPr="006B4499">
        <w:t>3.</w:t>
      </w:r>
      <w:r w:rsidRPr="006B4499">
        <w:tab/>
        <w:t>Сессия проводилась на английском языке без устного перевода. Подготовленная секретариатом нижеследующая документация, включая повестку дня, была опубликована в качестве неофициальных документов, размещенных на веб-сайте Отдела устойчивого транспорта ЕЭК ООН:</w:t>
      </w:r>
    </w:p>
    <w:p w:rsidR="006B4499" w:rsidRPr="006B4499" w:rsidRDefault="006B4499" w:rsidP="009B5C29">
      <w:pPr>
        <w:pStyle w:val="SingleTxtGR"/>
        <w:pageBreakBefore/>
        <w:tabs>
          <w:tab w:val="left" w:pos="5390"/>
        </w:tabs>
        <w:ind w:left="5375" w:hanging="4241"/>
      </w:pPr>
      <w:r w:rsidRPr="006B4499">
        <w:lastRenderedPageBreak/>
        <w:t>ECE/TRANS/WP.15/AC.1/HAR/2017/1/Rev.1</w:t>
      </w:r>
      <w:r w:rsidR="00BB71A8" w:rsidRPr="00BB71A8">
        <w:tab/>
      </w:r>
      <w:r w:rsidRPr="006B4499">
        <w:t>Согласование с Типовыми правилами Организации Объединенных Наций по перевозке опасных грузов (секретариат)</w:t>
      </w:r>
    </w:p>
    <w:p w:rsidR="006B4499" w:rsidRPr="006B4499" w:rsidRDefault="006B4499" w:rsidP="006F3278">
      <w:pPr>
        <w:pStyle w:val="SingleTxtGR"/>
        <w:tabs>
          <w:tab w:val="left" w:pos="5390"/>
        </w:tabs>
        <w:ind w:left="5376" w:hanging="4242"/>
      </w:pPr>
      <w:r w:rsidRPr="006B4499">
        <w:t>ECE/TRANS/WP.15/AC.1/HAR/2017/2</w:t>
      </w:r>
      <w:r w:rsidRPr="006B4499">
        <w:tab/>
        <w:t xml:space="preserve">Использование терминов </w:t>
      </w:r>
      <w:r w:rsidR="00C01D66">
        <w:t>«</w:t>
      </w:r>
      <w:r w:rsidRPr="006F3278">
        <w:t>risk</w:t>
      </w:r>
      <w:r w:rsidR="00C01D66">
        <w:t>»</w:t>
      </w:r>
      <w:r w:rsidRPr="006B4499">
        <w:t xml:space="preserve"> и </w:t>
      </w:r>
      <w:r w:rsidR="00C01D66">
        <w:t>«</w:t>
      </w:r>
      <w:r w:rsidRPr="006F3278">
        <w:t>hazard</w:t>
      </w:r>
      <w:r w:rsidR="00C01D66">
        <w:t>»</w:t>
      </w:r>
      <w:r w:rsidRPr="006B4499">
        <w:t xml:space="preserve"> (опа</w:t>
      </w:r>
      <w:r w:rsidR="006F3278">
        <w:rPr>
          <w:lang w:val="en-US"/>
        </w:rPr>
        <w:t>c</w:t>
      </w:r>
      <w:r w:rsidR="006F3278">
        <w:t>ность</w:t>
      </w:r>
      <w:r w:rsidRPr="006B4499">
        <w:t>) (секретари</w:t>
      </w:r>
      <w:r w:rsidR="006F3278">
        <w:t>ат)</w:t>
      </w:r>
      <w:r w:rsidRPr="006B4499">
        <w:t xml:space="preserve"> </w:t>
      </w:r>
    </w:p>
    <w:p w:rsidR="006B4499" w:rsidRPr="006B4499" w:rsidRDefault="006B4499" w:rsidP="006F3278">
      <w:pPr>
        <w:pStyle w:val="SingleTxtGR"/>
        <w:tabs>
          <w:tab w:val="left" w:pos="5390"/>
        </w:tabs>
        <w:ind w:left="5376" w:hanging="4242"/>
      </w:pPr>
      <w:r w:rsidRPr="006B4499">
        <w:t xml:space="preserve">ECE/TRANS/WP.15/AC.1/HAR/2017/3 </w:t>
      </w:r>
      <w:r w:rsidRPr="006B4499">
        <w:tab/>
      </w:r>
      <w:r w:rsidRPr="006B4499">
        <w:tab/>
        <w:t>Замечания секретариата ОТИФ</w:t>
      </w:r>
    </w:p>
    <w:p w:rsidR="006B4499" w:rsidRPr="006B4499" w:rsidRDefault="006B4499" w:rsidP="006B4499">
      <w:pPr>
        <w:pStyle w:val="SingleTxtGR"/>
      </w:pPr>
      <w:r w:rsidRPr="006B4499">
        <w:t>4.</w:t>
      </w:r>
      <w:r w:rsidRPr="006B4499">
        <w:tab/>
        <w:t>Базовыми документами были 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Организации Объединенных Наций и приложения к нему, распространенные секретариатом в качестве документов ST/SG/AC.10/44 и Add.1-3.</w:t>
      </w:r>
    </w:p>
    <w:p w:rsidR="006B4499" w:rsidRPr="006B4499" w:rsidRDefault="006B4499" w:rsidP="006B4499">
      <w:pPr>
        <w:pStyle w:val="SingleTxtGR"/>
      </w:pPr>
      <w:r w:rsidRPr="006B4499">
        <w:t>5.</w:t>
      </w:r>
      <w:r w:rsidRPr="006B4499">
        <w:tab/>
        <w:t>Специальная рабочая группа утвердила подготовленную секретариатом предварительную повестку дня (ECE/TRANS/WP.15/AC.1/HAR/8).</w:t>
      </w:r>
    </w:p>
    <w:p w:rsidR="006B4499" w:rsidRPr="006B4499" w:rsidRDefault="006B4499" w:rsidP="00D325F3">
      <w:pPr>
        <w:pStyle w:val="HChGR"/>
      </w:pPr>
      <w:r w:rsidRPr="006B4499">
        <w:tab/>
        <w:t>II.</w:t>
      </w:r>
      <w:r w:rsidRPr="006B4499">
        <w:tab/>
      </w:r>
      <w:r w:rsidR="00D325F3">
        <w:t>Согласование МПОГ/ДОПОГ/ВОПОГ с</w:t>
      </w:r>
      <w:r w:rsidR="00D325F3">
        <w:rPr>
          <w:lang w:val="en-US"/>
        </w:rPr>
        <w:t> </w:t>
      </w:r>
      <w:r w:rsidRPr="006B4499">
        <w:t>Рекомендациями Организации Объединенных Наций по перевозке опасных грузов, Типовые правила</w:t>
      </w:r>
    </w:p>
    <w:p w:rsidR="006B4499" w:rsidRPr="006B4499" w:rsidRDefault="006B4499" w:rsidP="006B4499">
      <w:pPr>
        <w:pStyle w:val="SingleTxtGR"/>
      </w:pPr>
      <w:r w:rsidRPr="006B4499">
        <w:t>6.</w:t>
      </w:r>
      <w:r w:rsidRPr="006B4499">
        <w:tab/>
        <w:t>Проекты поправок к МПОГ/ДОПОГ/ВОПОГ, предложенные Специальной рабочей группой, содержатся в добавлении к настоящему докладу (ECE/</w:t>
      </w:r>
      <w:r w:rsidR="00D81DC3">
        <w:br/>
      </w:r>
      <w:r w:rsidRPr="006B4499">
        <w:t>TRANS/WP.15/AC.1/2017/26/Add.1). Рабочая группа решила, что изложенные ниже замечания должны быть доведены до сведения Совместного совещания, и некоторые тексты были заключены в квадратные скобки в ожидании принятия решений по ним Совместным совещанием.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Примечание к разделу 1.10.3</w:t>
      </w:r>
    </w:p>
    <w:p w:rsidR="006B4499" w:rsidRPr="006B4499" w:rsidRDefault="006B4499" w:rsidP="006B4499">
      <w:pPr>
        <w:pStyle w:val="SingleTxtGR"/>
      </w:pPr>
      <w:r w:rsidRPr="006B4499">
        <w:t>7.</w:t>
      </w:r>
      <w:r w:rsidRPr="006B4499">
        <w:tab/>
        <w:t>Рабочая группа предложила Совместному совещанию решить, существует ли необходимость в первом предложении ПРИМЕЧАНИЯ, включенного в пункт 1.4.3.2.1 Типовых правил, принимая во внимание, что пункт 1 статьи 4 ДОПОГ и ВОПОГ и статья 3 добавления C к КОТИФ уже предусматривают право Договаривающихся сторон ДОПОГ и ВОПОГ и Договаривающихся государств МПОГ регламентировать или воспрещать по причинам, иным, чем безопасность в пути, ввоз на свою территорию опасных грузов.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Классификация веществ в качестве коррозионных</w:t>
      </w:r>
    </w:p>
    <w:p w:rsidR="006B4499" w:rsidRPr="006B4499" w:rsidRDefault="006B4499" w:rsidP="006B4499">
      <w:pPr>
        <w:pStyle w:val="SingleTxtGR"/>
      </w:pPr>
      <w:r w:rsidRPr="006B4499">
        <w:t>8.</w:t>
      </w:r>
      <w:r w:rsidRPr="006B4499">
        <w:tab/>
        <w:t>Рабочая группа отметила, что действующие положения пункта 2.2.8.1.1 ДОПОГ/МПОГ/ВОПОГ отличаются от положений Типовых правил в том смысле, что название класса 8 в соответствии с ДОПОГ/МПОГ/ВОПОГ охватывает также другие вещества,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взвеси. Поэтому Совместному совещанию предлагается принять решение о том, следует ли сохранить это различие или это последнее предложение пункта 2.2.8.1.1 должно быть исключено. В этой связи внимание обращается на пункт 2.2.8.1.4.3, где указано, что распределение веществ, перечисленных в таблице А главы 3.2, по группам упаковки осуществляется с учетом таких дополнительных факторов, как способность вступать в реакцию с водой, включая образование опасных продуктов разложения.</w:t>
      </w:r>
    </w:p>
    <w:p w:rsidR="006B4499" w:rsidRPr="006B4499" w:rsidRDefault="006B4499" w:rsidP="009B5C29">
      <w:pPr>
        <w:pStyle w:val="SingleTxtGR"/>
        <w:pageBreakBefore/>
      </w:pPr>
      <w:r w:rsidRPr="006B4499">
        <w:lastRenderedPageBreak/>
        <w:t>9.</w:t>
      </w:r>
      <w:r w:rsidRPr="006B4499">
        <w:tab/>
        <w:t>Рабочая группа отметила, что, согласно пункту 2.2.8.1.9, вещества, растворы и смеси, которые не отнесены к категории 1 в отношении разъедания кожи или коррозионного воздействия на металл в соот</w:t>
      </w:r>
      <w:r w:rsidR="00AB665A">
        <w:t>ветствии с Регламентом </w:t>
      </w:r>
      <w:r w:rsidRPr="006B4499">
        <w:t>(ЕС) № 1272/2008, могут рассматриваться как вещества, не принадлежащие к классу 8. С учетом приведения критериев отнесения веществ к классу 8 в соответствие с критериями СГС, которые должны были быть отражены в Регламенте (ЕС) № 1272/2008, Рабочая группа подняла вопрос о том, сохраняет ли данный пункт свою актуальность, и предложила ЕСФХП рассмотреть возможность его исключения.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Литиевые батареи, установленные в грузовых транспортных единицах</w:t>
      </w:r>
    </w:p>
    <w:p w:rsidR="006B4499" w:rsidRPr="006B4499" w:rsidRDefault="006B4499" w:rsidP="006B4499">
      <w:pPr>
        <w:pStyle w:val="SingleTxtGR"/>
      </w:pPr>
      <w:r w:rsidRPr="006B4499">
        <w:t>10.</w:t>
      </w:r>
      <w:r w:rsidRPr="006B4499">
        <w:tab/>
        <w:t>Рабочая группа сочла целесообразным включить в пункт 2.2.9.1.7 примечание со ссылкой на специальное положение 389 главы 3.3, поскольку в данном специальном положении разъясняется сфера охвата позиции под № ООН 3536. Этот вопрос можно было бы довести до сведения Подкомитета экспертов по перевозке опасных грузов Организации Объединенных Наций, так как такое примечание было бы целесообразно включить также и в Типовые правила.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Удобрения на основе нитрата аммония</w:t>
      </w:r>
    </w:p>
    <w:p w:rsidR="006B4499" w:rsidRPr="006B4499" w:rsidRDefault="006B4499" w:rsidP="006B4499">
      <w:pPr>
        <w:pStyle w:val="SingleTxtGR"/>
      </w:pPr>
      <w:r w:rsidRPr="006B4499">
        <w:t>11.</w:t>
      </w:r>
      <w:r w:rsidRPr="006B4499">
        <w:tab/>
        <w:t>Рабочая группа отметила, что все положения, касающиеся классификации удобрений на основе нитрата аммония, были перенесены в новый раздел 39 Руководства по испытаниям и критериям (см. документ ST/SG/AC.10/44/Add.2 Организации Объединенных Наций). В этой связи более нет необходимости в подробном описании состава позиции под № ООН 2067 в специальном положении 307 и состава позиции под № ООН 2071 в ее названии.</w:t>
      </w:r>
    </w:p>
    <w:p w:rsidR="006B4499" w:rsidRPr="006B4499" w:rsidRDefault="006B4499" w:rsidP="006B4499">
      <w:pPr>
        <w:pStyle w:val="SingleTxtGR"/>
      </w:pPr>
      <w:r w:rsidRPr="006B4499">
        <w:t>12.</w:t>
      </w:r>
      <w:r w:rsidRPr="006B4499">
        <w:tab/>
        <w:t>Тринадцатый абзац пункта 2.2.51.2.2, касающийся удобрений на основе нитрата аммония, не допускаемых к перевозке, более не может содержать ссылку на специальное положение 307, поскольку в данном специальном положении более не указывается максимальное содержание нитрата аммония и горюч</w:t>
      </w:r>
      <w:r w:rsidR="00AB665A">
        <w:t>их веществ. Представитель Швеции</w:t>
      </w:r>
      <w:r w:rsidRPr="006B4499">
        <w:t xml:space="preserve"> предложил новую формулировку этого (тринадцатого) абзаца, в которой указывается состав удобрений, не допускаемых к перевозке. Консенсуса по предложенной формулировке достигнуто не было, в связи с чем Рабочая группа представляет Совместному совещанию на рассмотрение два варианта. Первый вариант предполагает указание состава удобрений, не допускаемых к перевозке, но в другой формулировке. Во втором варианте абзац содержит в себе ссылку на раздел 39 Руководства по испытаниям и критериям, поскольку производители удобрений будут на регулярной основе обращаться к данному разделу при классификации своих продуктов.</w:t>
      </w:r>
    </w:p>
    <w:p w:rsidR="006B4499" w:rsidRPr="006B4499" w:rsidRDefault="00D325F3" w:rsidP="00D325F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6B4499" w:rsidRPr="006B4499">
        <w:t>Специальное положение 188, пункт с)</w:t>
      </w:r>
    </w:p>
    <w:p w:rsidR="006B4499" w:rsidRPr="006B4499" w:rsidRDefault="006B4499" w:rsidP="006B4499">
      <w:pPr>
        <w:pStyle w:val="SingleTxtGR"/>
      </w:pPr>
      <w:r w:rsidRPr="006B4499">
        <w:t>13.</w:t>
      </w:r>
      <w:r w:rsidRPr="006B4499">
        <w:tab/>
        <w:t>Рабочая группа считает, что в специальном положении 188 c) должно содержаться требование об обязательном соблюдении положений новых подпунктов f) и g) пункта 2.2.9.1.7 в качестве условия действия изъятий в отношении литиевых элементов и батарей, и предложила изменить соответствующим образом специальное положение 188 и довести эту информацию до сведения Подкомитета экспертов по перевозке опасных грузов Организации Объединенных Наций.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Перевозка систем удержания топливного газа</w:t>
      </w:r>
    </w:p>
    <w:p w:rsidR="006B4499" w:rsidRPr="006B4499" w:rsidRDefault="006B4499" w:rsidP="006B4499">
      <w:pPr>
        <w:pStyle w:val="SingleTxtGR"/>
      </w:pPr>
      <w:r w:rsidRPr="006B4499">
        <w:t>14.</w:t>
      </w:r>
      <w:r w:rsidRPr="006B4499">
        <w:tab/>
        <w:t xml:space="preserve">Рабочая группа отметила, что новое специальное положение 392 заменит действующее специальное положение 660 МПОГ/ДОПОГ/ВОПОГ, и поэтому, по ее мнению, оно должно быть указано в позициях под всеми номерами ООН, </w:t>
      </w:r>
      <w:r w:rsidRPr="006B4499">
        <w:lastRenderedPageBreak/>
        <w:t>где в настоящее время указано специальное полож</w:t>
      </w:r>
      <w:r w:rsidR="00AB665A">
        <w:t>ение 660, включая № ООН </w:t>
      </w:r>
      <w:r w:rsidRPr="006B4499">
        <w:t xml:space="preserve">1972 (метан охлажденный жидкий или газ природный охлажденный жидкий), которому не назначено специальное положение 392 в Типовых правилах </w:t>
      </w:r>
      <w:r w:rsidRPr="006B4499">
        <w:rPr>
          <w:iCs/>
        </w:rPr>
        <w:t>Организации Объединенных Наций.</w:t>
      </w:r>
      <w:r w:rsidRPr="006B4499">
        <w:t xml:space="preserve"> Рабочая группа также отметила, что в Правила</w:t>
      </w:r>
      <w:r w:rsidR="006F3278">
        <w:t> № </w:t>
      </w:r>
      <w:r w:rsidRPr="006B4499">
        <w:t>110 ЕЭК были внесены поправки, обеспечившие охват транспортных средств, в силовых установках которых используется сжиженный природный газ (СПГ), и пришла к выводу, что в таблицу в пункте а) специального положения 392 должны быть внесены соответствующие изменения. Это также следует довести до сведения Подкомитета экспертов по перевозке опасных грузов Организации Объединенных Наций.</w:t>
      </w:r>
    </w:p>
    <w:p w:rsidR="006B4499" w:rsidRPr="006B4499" w:rsidRDefault="006B4499" w:rsidP="006B4499">
      <w:pPr>
        <w:pStyle w:val="SingleTxtGR"/>
      </w:pPr>
      <w:r w:rsidRPr="006B4499">
        <w:t>15.</w:t>
      </w:r>
      <w:r w:rsidRPr="006B4499">
        <w:tab/>
        <w:t>Совместному совещанию предлагается рассмотреть вопрос о том, можно ли исключить пункт f) специального положения 392, предусматривающий, что при перевозке системы удержания топливного газа должны быть заполнены не более чем на 20% их номинального коэффициента наполнения или номинального рабочего давления, поскольку действующее специальное положение 660 не содержит такого требования.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Комплекты химических веществ и комплекты первой помощи (№ ООН 3316)</w:t>
      </w:r>
    </w:p>
    <w:p w:rsidR="006B4499" w:rsidRPr="006B4499" w:rsidRDefault="006B4499" w:rsidP="006B4499">
      <w:pPr>
        <w:pStyle w:val="SingleTxtGR"/>
      </w:pPr>
      <w:r w:rsidRPr="006B4499">
        <w:t>16.</w:t>
      </w:r>
      <w:r w:rsidRPr="006B4499">
        <w:tab/>
        <w:t xml:space="preserve">В связи с поправками к специальному положению 251, касающемуся определения групп упаковки для комплектов химических веществ и комплектов первой помощи, Рабочая группа заявила, что, по ее мнению, должно быть принято дополнительное специальное положение 671, которое применялось бы именно в рамках </w:t>
      </w:r>
      <w:r w:rsidR="00AB665A">
        <w:t>М</w:t>
      </w:r>
      <w:r w:rsidRPr="006B4499">
        <w:t xml:space="preserve">ПОГ/ДОПОГ/ВОПОГ и было бы назначено позиции под </w:t>
      </w:r>
      <w:r w:rsidR="006F3278">
        <w:t>№ </w:t>
      </w:r>
      <w:r w:rsidRPr="006B4499">
        <w:t xml:space="preserve">ООН 3316 для определения транспортной категории. Поскольку консенсус по поводу того, к какой транспортной категории должны быть отнесены такие комплекты, достигнут не был, были разработаны два варианта. Первый вариант предполагает отнесение комплектов, содержащих только вещества и изделия транспортной категории 3, к категории 3, а комплектов, содержащих вещества или изделия категорий 0, 1 или 2, </w:t>
      </w:r>
      <w:r w:rsidR="00AB665A">
        <w:t>–</w:t>
      </w:r>
      <w:r w:rsidRPr="006B4499">
        <w:t xml:space="preserve"> к транспортной категории 2. Второй вариант предполагает отнесение комплектов к наименьшей из транспортных категорий, к которым отнесены содержащиеся в них вещества или изделия. Совместному совещанию предлагается выбрать один из предложенных вариантов.</w:t>
      </w:r>
    </w:p>
    <w:p w:rsidR="006B4499" w:rsidRPr="006B4499" w:rsidRDefault="006B4499" w:rsidP="006B4499">
      <w:pPr>
        <w:pStyle w:val="SingleTxtGR"/>
      </w:pPr>
      <w:r w:rsidRPr="006B4499">
        <w:t>17.</w:t>
      </w:r>
      <w:r w:rsidRPr="006B4499">
        <w:tab/>
        <w:t>Рабочая группа постановила, что комплектам должен быть назначен код туннеля</w:t>
      </w:r>
      <w:r w:rsidR="00BA3E1E">
        <w:t> </w:t>
      </w:r>
      <w:r w:rsidRPr="006B4499">
        <w:t>Е, хотя ряд участников заявили, что комплектам вовсе не следует назначать кода туннеля, так как, по их мнению, в реальности в расчете на одну транспортную единицу общий объем опасных веществ, содержащихся в этих комплектах, весьма незначителен.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Специальное положение 387 (литиевые батареи в соответствии с новым пунктом 2.2.9.1.7 f)</w:t>
      </w:r>
    </w:p>
    <w:p w:rsidR="006B4499" w:rsidRPr="006B4499" w:rsidRDefault="006B4499" w:rsidP="006B4499">
      <w:pPr>
        <w:pStyle w:val="SingleTxtGR"/>
      </w:pPr>
      <w:r w:rsidRPr="006B4499">
        <w:t>18.</w:t>
      </w:r>
      <w:r w:rsidRPr="006B4499">
        <w:tab/>
        <w:t>Рабочая группа считает, что в пункты а) и b) специального положения 188 следует включить ПРИМЕЧАНИЕ, с тем чтобы обратить внимание на закрепленные в специальном положении 387 требования к содержанию литиевых батарей и ограничения по емкости в соответствии с пунктом 2.2.9.1.7 f). Было бы целесообразным включить такое примечание и в Типовые правила.</w:t>
      </w:r>
    </w:p>
    <w:p w:rsidR="006B4499" w:rsidRPr="006B4499" w:rsidRDefault="006B4499" w:rsidP="00D325F3">
      <w:pPr>
        <w:pStyle w:val="H1GR"/>
      </w:pPr>
      <w:r w:rsidRPr="006B4499">
        <w:tab/>
      </w:r>
      <w:r w:rsidRPr="006B4499">
        <w:tab/>
        <w:t>Новые положения, касающиеся перевозки изделий, содержащих опасные грузы, не указанные конкретно</w:t>
      </w:r>
    </w:p>
    <w:p w:rsidR="006B4499" w:rsidRPr="006B4499" w:rsidRDefault="006B4499" w:rsidP="006B4499">
      <w:pPr>
        <w:pStyle w:val="SingleTxtGR"/>
      </w:pPr>
      <w:r w:rsidRPr="006B4499">
        <w:t>19.</w:t>
      </w:r>
      <w:r w:rsidRPr="006B4499">
        <w:tab/>
        <w:t xml:space="preserve">Рабочая группа сочла, что новый раздел 2.1.5 (2.0.5 Типовых правил) целесообразнее обозначить как </w:t>
      </w:r>
      <w:r w:rsidR="00C01D66">
        <w:t>«</w:t>
      </w:r>
      <w:r w:rsidRPr="006B4499">
        <w:t>классификация</w:t>
      </w:r>
      <w:r w:rsidR="00C01D66">
        <w:t>»</w:t>
      </w:r>
      <w:r w:rsidRPr="006B4499">
        <w:t xml:space="preserve">, а не </w:t>
      </w:r>
      <w:r w:rsidR="00C01D66">
        <w:t>«</w:t>
      </w:r>
      <w:r w:rsidRPr="006B4499">
        <w:t>перевозка</w:t>
      </w:r>
      <w:r w:rsidR="00C01D66">
        <w:t>»</w:t>
      </w:r>
      <w:r w:rsidRPr="006B4499">
        <w:t>.</w:t>
      </w:r>
    </w:p>
    <w:p w:rsidR="006B4499" w:rsidRPr="006B4499" w:rsidRDefault="006B4499" w:rsidP="006B4499">
      <w:pPr>
        <w:pStyle w:val="SingleTxtGR"/>
      </w:pPr>
      <w:r w:rsidRPr="006B4499">
        <w:lastRenderedPageBreak/>
        <w:t>20.</w:t>
      </w:r>
      <w:r w:rsidRPr="006B4499">
        <w:tab/>
        <w:t>Рабочая группа отметила, что, согласно ПРИМЕЧАНИЮ под заголовком раздела 2.0.5 Типовых правил, изделия, содержащие опасные грузы в пределах разрешенных ограниченных количеств, указанных в колонке 7а таблицы А главы 3.2 ДОПОГ/МПОГ/ВОПОГ, могут перевозиться под № ООН 3363 в соответствии с условиями, указан</w:t>
      </w:r>
      <w:r w:rsidR="008B4F2E">
        <w:t>н</w:t>
      </w:r>
      <w:r w:rsidRPr="006B4499">
        <w:t xml:space="preserve">ыми в специальном положении 301 Типовых правил, в качестве </w:t>
      </w:r>
      <w:r w:rsidR="00C01D66">
        <w:t>«</w:t>
      </w:r>
      <w:r w:rsidRPr="006B4499">
        <w:t>опасных грузов в машинах</w:t>
      </w:r>
      <w:r w:rsidR="00C01D66">
        <w:t>»</w:t>
      </w:r>
      <w:r w:rsidRPr="006B4499">
        <w:t xml:space="preserve"> или </w:t>
      </w:r>
      <w:r w:rsidR="00C01D66">
        <w:t>«</w:t>
      </w:r>
      <w:r w:rsidRPr="006B4499">
        <w:t>опасных грузов в приборах</w:t>
      </w:r>
      <w:r w:rsidR="00C01D66">
        <w:t>»</w:t>
      </w:r>
      <w:r w:rsidRPr="006B4499">
        <w:t xml:space="preserve">. Однако такие машины и приборы в настоящее время не подпадают под действие требований МПОГ/ДОПОГ/ВОПОГ, поскольку в их отношении действуют закрепленные в пункте 1.1.3.1 b) изъятия, что предусмотрено последним предложением специального положения 301 Типовых правил, согласно которому компетентный орган может освобождать от применения настоящего положения машины или приборы, которые в противном случае перевозились бы в </w:t>
      </w:r>
      <w:r w:rsidR="00C01D66">
        <w:br/>
      </w:r>
      <w:r w:rsidRPr="006B4499">
        <w:t xml:space="preserve">соответствии с позицией под № ООН 3363. Представитель Германии выразил мнение, согласно которому надлежащее отгрузочное наименование позиции под № ООН 3363 следует изменить таким образом, чтобы оно охватывало также и </w:t>
      </w:r>
      <w:r w:rsidR="00C01D66">
        <w:t>«</w:t>
      </w:r>
      <w:r w:rsidRPr="006B4499">
        <w:t>опасные грузы в устройствах</w:t>
      </w:r>
      <w:r w:rsidR="00C01D66">
        <w:t>»</w:t>
      </w:r>
      <w:r w:rsidRPr="006B4499">
        <w:t xml:space="preserve"> в соответствии с новым пунктом 2.1.5.1, где для новых позиций </w:t>
      </w:r>
      <w:r w:rsidR="00C01D66">
        <w:t>«</w:t>
      </w:r>
      <w:r w:rsidRPr="006B4499">
        <w:t>изделие</w:t>
      </w:r>
      <w:r w:rsidR="00C01D66">
        <w:t>»</w:t>
      </w:r>
      <w:r w:rsidRPr="006B4499">
        <w:t xml:space="preserve"> определяется как </w:t>
      </w:r>
      <w:r w:rsidR="00C01D66">
        <w:t>«</w:t>
      </w:r>
      <w:r w:rsidRPr="006B4499">
        <w:t>машины, приборы или иные устройства</w:t>
      </w:r>
      <w:r w:rsidR="00C01D66">
        <w:t>»</w:t>
      </w:r>
      <w:r w:rsidRPr="006B4499">
        <w:t>. Однако Рабочая группа сочла, что ему следует сначала поставить этот вопрос в Подкомитете экспертов по перевозке опасных грузов Организации Объединенных Наций.</w:t>
      </w:r>
    </w:p>
    <w:p w:rsidR="006B4499" w:rsidRPr="006B4499" w:rsidRDefault="006B4499" w:rsidP="006B4499">
      <w:pPr>
        <w:pStyle w:val="SingleTxtGR"/>
      </w:pPr>
      <w:r w:rsidRPr="006B4499">
        <w:t>21.</w:t>
      </w:r>
      <w:r w:rsidRPr="006B4499">
        <w:tab/>
        <w:t xml:space="preserve">Рабочая группа пришла к выводу, что, поскольку в Перечень опасных грузов были включены новые позиции для изделий, содержащих опасные грузы, н.у.к., следует регламентировать перевозку грузов </w:t>
      </w:r>
      <w:r w:rsidR="00C01D66">
        <w:t>под № ООН 3363. Пункт </w:t>
      </w:r>
      <w:r w:rsidRPr="006B4499">
        <w:t>1.1.3.1 b) можно исключить, при этом изъятие может остаться в силе, будучи закреплено в специальном положении 672, при условии соблюдения минимальных требований к упаковке. Возможны несколько вариантов: например, включение позиции со всеми требованиями Типовых правил, в частности инструкции по упаковке P907; или включение позиции, содержащей в себе только специальное положение 672 без каких-либо других требований; или включение позиции, где были бы приведены все требования в соответствии с Типовыми правилами и предлагаемым специальным положением 672, что может вводить в заблуждение, поскольку соблюдение инструкции по упаковке P907 будет предполагать соблюдение закрепленных в специальном положении 672 условий изъятия.</w:t>
      </w:r>
    </w:p>
    <w:p w:rsidR="006B4499" w:rsidRPr="006B4499" w:rsidRDefault="006B4499" w:rsidP="006B4499">
      <w:pPr>
        <w:pStyle w:val="SingleTxtGR"/>
      </w:pPr>
      <w:r w:rsidRPr="006B4499">
        <w:t>22.</w:t>
      </w:r>
      <w:r w:rsidRPr="006B4499">
        <w:tab/>
        <w:t>Все возможные положения, касающиеся № ООН 3363, включая проект переходного положения об исключении пункта 1.1.3.1 b), были заключены в квадратные скобки в ожидании решения по ним Совместного совещания.</w:t>
      </w:r>
    </w:p>
    <w:p w:rsidR="006B4499" w:rsidRPr="006B4499" w:rsidRDefault="006B4499" w:rsidP="006B4499">
      <w:pPr>
        <w:pStyle w:val="SingleTxtGR"/>
      </w:pPr>
      <w:r w:rsidRPr="006B4499">
        <w:t>23.</w:t>
      </w:r>
      <w:r w:rsidRPr="006B4499">
        <w:tab/>
        <w:t>В связи с новыми позициями для изд</w:t>
      </w:r>
      <w:r w:rsidR="00AB665A">
        <w:t>елий, содержащих опасные грузы, </w:t>
      </w:r>
      <w:r w:rsidRPr="006B4499">
        <w:t>н.у.к. (№</w:t>
      </w:r>
      <w:r w:rsidR="00AB665A">
        <w:t xml:space="preserve"> ООН 3537–</w:t>
      </w:r>
      <w:r w:rsidRPr="006B4499">
        <w:t xml:space="preserve">3548), Рабочая группа отметила, что Соединенное Королевство привело примеры таких изделий в неофициальном документе INF.17, представленном на сорок девятой сессии Подкомитета экспертов по перевозке опасных грузов Организации Объединенных Наций. Согласно пункту 5.2.2.1.12, дополнительные виды опасности, не отраженные в надлежащем отгрузочном наименовании, могут быть назначены любой из этих позиций, в связи с чем в таблице A главы 3.2 могут быть не отражены некоторые сведения или требования к перевозке, зависящие от дополнительных видов опасности. В колонке 3b Рабочая группа предлагает указать классификационный код, отражающий только те виды опасности, которые указаны в колонке 2, а также наименование и описание. В колонку 5 (знаки опасности) Рабочая группа предлагает включить текст </w:t>
      </w:r>
      <w:r w:rsidR="00C01D66">
        <w:t>«</w:t>
      </w:r>
      <w:r w:rsidRPr="006B4499">
        <w:t>см. пункт 5.2.2.1.12</w:t>
      </w:r>
      <w:r w:rsidR="00C01D66">
        <w:t>»</w:t>
      </w:r>
      <w:r w:rsidRPr="006B4499">
        <w:t>.</w:t>
      </w:r>
    </w:p>
    <w:p w:rsidR="006B4499" w:rsidRPr="006B4499" w:rsidRDefault="006B4499" w:rsidP="006B4499">
      <w:pPr>
        <w:pStyle w:val="SingleTxtGR"/>
      </w:pPr>
      <w:r w:rsidRPr="006B4499">
        <w:t>24.</w:t>
      </w:r>
      <w:r w:rsidRPr="006B4499">
        <w:tab/>
        <w:t>В колонке 15 Рабочая группа предлагает</w:t>
      </w:r>
      <w:r w:rsidR="00AB665A">
        <w:t xml:space="preserve"> указать транспортную категорию </w:t>
      </w:r>
      <w:r w:rsidRPr="006B4499">
        <w:t>4 и код туннеля Е. В таком случае ссылка в МПОГ на специальное положение 673 будет дана только для отражения изъятий, предусмотренных подразделом 1.1.3.6 ДОПОГ/ВОПОГ (в отношении требований глав 1.10 и 5.3, разде</w:t>
      </w:r>
      <w:r w:rsidR="00AB665A">
        <w:t>ла </w:t>
      </w:r>
      <w:r w:rsidRPr="006B4499">
        <w:t>5.4.3 и главы 7.2).</w:t>
      </w:r>
    </w:p>
    <w:p w:rsidR="006B4499" w:rsidRPr="006B4499" w:rsidRDefault="006B4499" w:rsidP="009B5C29">
      <w:pPr>
        <w:pStyle w:val="SingleTxtGR"/>
        <w:pageBreakBefore/>
      </w:pPr>
      <w:r w:rsidRPr="006B4499">
        <w:lastRenderedPageBreak/>
        <w:t>25.</w:t>
      </w:r>
      <w:r w:rsidRPr="006B4499">
        <w:tab/>
        <w:t>Нет необходимости в указании в колонке 20 идентификационного номера опасности. То же относится к колонке 20 МПОГ, так как идентификационный номер опасности необходимо будет определять в зависимости от дополнительной опасности, которая не отражена в надлежащем отгрузочном наименовании.</w:t>
      </w:r>
    </w:p>
    <w:p w:rsidR="006B4499" w:rsidRPr="006B4499" w:rsidRDefault="006B4499" w:rsidP="006B4499">
      <w:pPr>
        <w:pStyle w:val="SingleTxtGR"/>
      </w:pPr>
      <w:r w:rsidRPr="006B4499">
        <w:t>26.</w:t>
      </w:r>
      <w:r w:rsidRPr="006B4499">
        <w:tab/>
        <w:t>Отметив, что изделия, о которых идет речь, могут содержать литиевые батареи, Рабочая группа пришла к выводу, что было бы целесообразно назначить им специальное положение 667 МПОГ/ДОПОГ/ВОПОГ.</w:t>
      </w:r>
    </w:p>
    <w:p w:rsidR="006B4499" w:rsidRPr="006B4499" w:rsidRDefault="006B4499" w:rsidP="006B4499">
      <w:pPr>
        <w:pStyle w:val="SingleTxtGR"/>
      </w:pPr>
      <w:r w:rsidRPr="006B4499">
        <w:t>27.</w:t>
      </w:r>
      <w:r w:rsidRPr="006B4499">
        <w:tab/>
        <w:t>Рабочая группа заключила, что специальное положение 391 Типовых правил, требующее утверждения условий перевозки компетентным органом в тех случаях, когда изделия содержат опасные грузы, представляющие определенные виды опасности, такие как ингаляционная токсичность, не применимо к внутренним перевозкам.</w:t>
      </w:r>
    </w:p>
    <w:p w:rsidR="006B4499" w:rsidRPr="006B4499" w:rsidRDefault="006B4499" w:rsidP="006B4499">
      <w:pPr>
        <w:pStyle w:val="SingleTxtGR"/>
      </w:pPr>
      <w:r w:rsidRPr="006B4499">
        <w:t>28.</w:t>
      </w:r>
      <w:r w:rsidRPr="006B4499">
        <w:tab/>
        <w:t>В колонку 19 МПОГ было включено заключенное в скобки специальное положение CE3. По вопросу о колонке 18 Рабочая группа пришла к выводу, что назначение специальных положений будет зависеть от содержащихся в изделиях опасных грузов и что назначение таки</w:t>
      </w:r>
      <w:r w:rsidR="00AB665A">
        <w:t>м изделиям конкретных положений </w:t>
      </w:r>
      <w:r w:rsidRPr="006B4499">
        <w:t>CV/CW может оказаться излишним, если только не поступит конкретных предложений. Сотрудник секретариата предположил, что в данном случае могут быть применимы положения CV/CW 13 и CV/CW 28.</w:t>
      </w:r>
    </w:p>
    <w:p w:rsidR="006B4499" w:rsidRPr="006B4499" w:rsidRDefault="00AD4899" w:rsidP="00AD489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B4499" w:rsidRPr="006B4499">
        <w:t>Поправки к инструкциям по упаковке P200 (3) е) и P206 (3) подраздела 4.1.4.1</w:t>
      </w:r>
    </w:p>
    <w:p w:rsidR="006B4499" w:rsidRPr="006B4499" w:rsidRDefault="006B4499" w:rsidP="006B4499">
      <w:pPr>
        <w:pStyle w:val="SingleTxtGR"/>
      </w:pPr>
      <w:r w:rsidRPr="006B4499">
        <w:t>29.</w:t>
      </w:r>
      <w:r w:rsidRPr="006B4499">
        <w:tab/>
        <w:t>Рабочая группа отметила, что существующая редакция инструкций по упаковке Р200 (3) (e) и P206 (3) подраздела 4.1.4.1 МПОГ/ДОПОГ верна и что изменения требуется внести только в соответствующие тексты Типовых правил. Кроме того, секретариату необходимо внест</w:t>
      </w:r>
      <w:r w:rsidR="00AB665A">
        <w:t>и исправления в поправку к P206 </w:t>
      </w:r>
      <w:r w:rsidRPr="006B4499">
        <w:t>(3), текст которой представлен в документе ST/SG/AC.10/44/Add.1.</w:t>
      </w:r>
    </w:p>
    <w:p w:rsidR="006B4499" w:rsidRPr="006B4499" w:rsidRDefault="006B4499" w:rsidP="00AD4899">
      <w:pPr>
        <w:pStyle w:val="H1GR"/>
      </w:pPr>
      <w:r w:rsidRPr="006B4499">
        <w:tab/>
      </w:r>
      <w:r w:rsidRPr="006B4499">
        <w:tab/>
        <w:t>Инструкции по упаковке P907, P911, LP905 и LP906</w:t>
      </w:r>
    </w:p>
    <w:p w:rsidR="006B4499" w:rsidRPr="006B4499" w:rsidRDefault="006B4499" w:rsidP="006B4499">
      <w:pPr>
        <w:pStyle w:val="SingleTxtGR"/>
      </w:pPr>
      <w:r w:rsidRPr="006B4499">
        <w:t>30.</w:t>
      </w:r>
      <w:r w:rsidRPr="006B4499">
        <w:tab/>
        <w:t xml:space="preserve">Рабочая группа предложила редакционные поправки, которые должны быть доведены до сведения Подкомитета экспертов по перевозке опасных грузов Организации Объединенных Наций. Аналогичные изменения могут также касаться инструкций по упаковке LP903 и LP904. Ряд участников просили разъяснить толкование пункта (1) a) инструкции LP905, в частности пояснить, что понимается под </w:t>
      </w:r>
      <w:r w:rsidR="00C01D66">
        <w:t>«</w:t>
      </w:r>
      <w:r w:rsidRPr="006B4499">
        <w:t>батареями различных размеров, формы или массы</w:t>
      </w:r>
      <w:r w:rsidR="00C01D66">
        <w:t>»</w:t>
      </w:r>
      <w:r w:rsidRPr="006B4499">
        <w:t>, поскольку на практике крупногабаритная тара не проходит испытание с упакованной в нее батареей.</w:t>
      </w:r>
    </w:p>
    <w:p w:rsidR="006B4499" w:rsidRPr="006B4499" w:rsidRDefault="006B4499" w:rsidP="00AD4899">
      <w:pPr>
        <w:pStyle w:val="H1GR"/>
      </w:pPr>
      <w:r w:rsidRPr="006B4499">
        <w:tab/>
      </w:r>
      <w:r w:rsidRPr="006B4499">
        <w:tab/>
        <w:t>Размещение информационных табло на грузовых транспортных единицах, содержащих литиевые батареи</w:t>
      </w:r>
    </w:p>
    <w:p w:rsidR="006B4499" w:rsidRPr="006B4499" w:rsidRDefault="006B4499" w:rsidP="006B4499">
      <w:pPr>
        <w:pStyle w:val="SingleTxtGR"/>
      </w:pPr>
      <w:r w:rsidRPr="006B4499">
        <w:t>31.</w:t>
      </w:r>
      <w:r w:rsidRPr="006B4499">
        <w:tab/>
        <w:t>Было отмечено, что</w:t>
      </w:r>
      <w:r w:rsidR="00AB665A">
        <w:t>,</w:t>
      </w:r>
      <w:r w:rsidRPr="006B4499">
        <w:t xml:space="preserve"> согласно МКМПОГ, МПОГ, ДОПОГ и ВОПОГ, информационное табло, которое должно быть размещено на грузовых транспортных единицах, содержащих литиевые батареи, отнесенные к № ООН 3090, 3091, 3480 и 3481, должно соответствовать знаку опасности образца № 9, а не № 9А, однако этот факт не был доведен до сведения Подкомитета Организации Объединенных Наций. Типовые правила не содержат четкой формулировки и могут быть истолкованы так, как будто информационное табло должно соответствовать образцу № 9А. На это следует обратить внимание Подкомитета Организации Объединенных Наций. </w:t>
      </w:r>
      <w:r w:rsidR="00992697" w:rsidRPr="006B4499">
        <w:t>Специальное положение 389</w:t>
      </w:r>
      <w:r w:rsidR="00992697">
        <w:t>,</w:t>
      </w:r>
      <w:r w:rsidR="00992697" w:rsidRPr="006B4499">
        <w:t xml:space="preserve"> </w:t>
      </w:r>
      <w:r w:rsidR="00992697">
        <w:t>н</w:t>
      </w:r>
      <w:r w:rsidRPr="006B4499">
        <w:t>азначенное новой позиции № ООН 3536 (батареи литиевые, установленные в грузовой транспортной единице)</w:t>
      </w:r>
      <w:r w:rsidR="00992697">
        <w:t>,</w:t>
      </w:r>
      <w:r w:rsidRPr="006B4499">
        <w:t xml:space="preserve"> указывает на то, что литиевые батареи, установленные в грузовой транспортной единице, необязательно должны отвечать требованиям в отношении маркировки и знаков опасности, в связи с чем Рабочая группа пришла к выводу, что подлежащее размещению информационное табло должно соответствовать знаку опасности образца № 9, а не № 9A, однако, возможно, потребуется дополнительно рассмотреть этот вопрос совместно с Подкомитетом Организации Объединенных Наций в связи с толкованием пункта 5.3.1.2.1 Типовых правил.</w:t>
      </w:r>
    </w:p>
    <w:p w:rsidR="006B4499" w:rsidRPr="006B4499" w:rsidRDefault="006B4499" w:rsidP="00AD4899">
      <w:pPr>
        <w:pStyle w:val="H1GR"/>
      </w:pPr>
      <w:r w:rsidRPr="006B4499">
        <w:tab/>
      </w:r>
      <w:r w:rsidRPr="006B4499">
        <w:tab/>
        <w:t>Специальное положение по переносным цистернам TP10 подраздела 4.2.5.3</w:t>
      </w:r>
    </w:p>
    <w:p w:rsidR="006B4499" w:rsidRPr="006B4499" w:rsidRDefault="006B4499" w:rsidP="006B4499">
      <w:pPr>
        <w:pStyle w:val="SingleTxtGR"/>
      </w:pPr>
      <w:r w:rsidRPr="006B4499">
        <w:t>32.</w:t>
      </w:r>
      <w:r w:rsidRPr="006B4499">
        <w:tab/>
        <w:t xml:space="preserve">Рабочая группа пришла к выводу, что новое положение, касающееся перевозки порожних неочищенных переносных цистерн, содержавших бром, после даты истечения действительности последней проверки облицовки применимо также к цистернам </w:t>
      </w:r>
      <w:r w:rsidR="003241D5" w:rsidRPr="006B4499">
        <w:t>ДОПОГ/</w:t>
      </w:r>
      <w:r w:rsidRPr="006B4499">
        <w:t>МПОГ и что это соображение должно быть доведено до сведения Рабочей группы по цистернам, поскольку соответствующее положение могло бы быть включено в главу 4.3.</w:t>
      </w:r>
    </w:p>
    <w:p w:rsidR="006B4499" w:rsidRPr="006B4499" w:rsidRDefault="006B4499" w:rsidP="00AD4899">
      <w:pPr>
        <w:pStyle w:val="H1GR"/>
      </w:pPr>
      <w:r w:rsidRPr="006B4499">
        <w:tab/>
      </w:r>
      <w:r w:rsidRPr="006B4499">
        <w:tab/>
        <w:t>Примечание относительно использования пиктограмм СГС, раздел 5.1.1</w:t>
      </w:r>
    </w:p>
    <w:p w:rsidR="006B4499" w:rsidRPr="006B4499" w:rsidRDefault="006B4499" w:rsidP="006B4499">
      <w:pPr>
        <w:pStyle w:val="SingleTxtGR"/>
      </w:pPr>
      <w:r w:rsidRPr="006B4499">
        <w:t>33.</w:t>
      </w:r>
      <w:r w:rsidRPr="006B4499">
        <w:tab/>
        <w:t>Рабочая группа полагает, что примечание, фигурирующее в разделе 5.1.1 Типовых правил, следовало бы разместить в разделе 5.2.1 и после заголовка главы 5.3.</w:t>
      </w:r>
    </w:p>
    <w:p w:rsidR="006B4499" w:rsidRPr="006B4499" w:rsidRDefault="006B4499" w:rsidP="00AD4899">
      <w:pPr>
        <w:pStyle w:val="H1GR"/>
      </w:pPr>
      <w:r w:rsidRPr="006B4499">
        <w:tab/>
      </w:r>
      <w:r w:rsidRPr="006B4499">
        <w:tab/>
        <w:t>Положения главы 7.1, касающиеся регулирования температуры</w:t>
      </w:r>
    </w:p>
    <w:p w:rsidR="006B4499" w:rsidRPr="006B4499" w:rsidRDefault="006B4499" w:rsidP="006B4499">
      <w:pPr>
        <w:pStyle w:val="SingleTxtGR"/>
      </w:pPr>
      <w:r w:rsidRPr="006B4499">
        <w:t>34.</w:t>
      </w:r>
      <w:r w:rsidRPr="006B4499">
        <w:tab/>
        <w:t>Рабочая группа отметила, что закрепленные в главе 7.1 Типовых правил положения, касающиеся регулирования температуры, в значительной степени повторяют специальные положения V8 и S4 ДОПОГ. Рабочая группа полагает, что эти положения должны содержаться в главе 7.1 в качестве общих положений, применимых к перевозке веществ, требующих регулирования температуры, а специальные положения V8 и S4 ДОПОГ могут и впредь назначаться отдельным позициям, для перевозки которых требуется регулирование температуры, а в текст этих специальных положений просто будет включена ссылка на раздел 7.1.7. Были выявлены некоторые различия с нынешним текстом; соответствующие формулировки были заключены в квадратные скобки для рассмотрения Рабочей группой по перевозкам опасных грузов, поскольку эта проблема не затрагивает МПОГ.</w:t>
      </w:r>
    </w:p>
    <w:p w:rsidR="006B4499" w:rsidRPr="006B4499" w:rsidRDefault="006B4499" w:rsidP="00AD4899">
      <w:pPr>
        <w:pStyle w:val="HChGR"/>
      </w:pPr>
      <w:r w:rsidRPr="006B4499">
        <w:tab/>
        <w:t>III.</w:t>
      </w:r>
      <w:r w:rsidRPr="006B4499">
        <w:tab/>
        <w:t>Утверждение доклада</w:t>
      </w:r>
    </w:p>
    <w:p w:rsidR="006B4499" w:rsidRPr="006B4499" w:rsidRDefault="006B4499" w:rsidP="006B4499">
      <w:pPr>
        <w:pStyle w:val="SingleTxtGR"/>
      </w:pPr>
      <w:r w:rsidRPr="006B4499">
        <w:t>35.</w:t>
      </w:r>
      <w:r w:rsidRPr="006B4499">
        <w:tab/>
        <w:t>Специальная рабочая группа заочно утвердила доклад о работе своей сессии на основе проекта, подготовленного секретариатом.</w:t>
      </w:r>
      <w:r w:rsidR="00C01D66">
        <w:t xml:space="preserve"> </w:t>
      </w:r>
    </w:p>
    <w:p w:rsidR="006B4499" w:rsidRPr="006B4499" w:rsidRDefault="006B4499" w:rsidP="006B44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6B44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C" w:rsidRPr="00A312BC" w:rsidRDefault="003C1D7C" w:rsidP="00A312BC"/>
  </w:endnote>
  <w:endnote w:type="continuationSeparator" w:id="0">
    <w:p w:rsidR="003C1D7C" w:rsidRPr="00A312BC" w:rsidRDefault="003C1D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9" w:rsidRPr="006B4499" w:rsidRDefault="006B4499">
    <w:pPr>
      <w:pStyle w:val="Footer"/>
    </w:pPr>
    <w:r w:rsidRPr="006B4499">
      <w:rPr>
        <w:b/>
        <w:sz w:val="18"/>
      </w:rPr>
      <w:fldChar w:fldCharType="begin"/>
    </w:r>
    <w:r w:rsidRPr="006B4499">
      <w:rPr>
        <w:b/>
        <w:sz w:val="18"/>
      </w:rPr>
      <w:instrText xml:space="preserve"> PAGE  \* MERGEFORMAT </w:instrText>
    </w:r>
    <w:r w:rsidRPr="006B4499">
      <w:rPr>
        <w:b/>
        <w:sz w:val="18"/>
      </w:rPr>
      <w:fldChar w:fldCharType="separate"/>
    </w:r>
    <w:r w:rsidR="00642D05">
      <w:rPr>
        <w:b/>
        <w:noProof/>
        <w:sz w:val="18"/>
      </w:rPr>
      <w:t>2</w:t>
    </w:r>
    <w:r w:rsidRPr="006B4499">
      <w:rPr>
        <w:b/>
        <w:sz w:val="18"/>
      </w:rPr>
      <w:fldChar w:fldCharType="end"/>
    </w:r>
    <w:r>
      <w:rPr>
        <w:b/>
        <w:sz w:val="18"/>
      </w:rPr>
      <w:tab/>
    </w:r>
    <w:r>
      <w:t>GE.17-08994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9" w:rsidRPr="006B4499" w:rsidRDefault="006B4499" w:rsidP="006B449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GE.17-08994</w:t>
    </w:r>
    <w:r>
      <w:tab/>
    </w:r>
    <w:r w:rsidRPr="006B4499">
      <w:rPr>
        <w:b/>
        <w:sz w:val="18"/>
      </w:rPr>
      <w:fldChar w:fldCharType="begin"/>
    </w:r>
    <w:r w:rsidRPr="006B4499">
      <w:rPr>
        <w:b/>
        <w:sz w:val="18"/>
      </w:rPr>
      <w:instrText xml:space="preserve"> PAGE  \* MERGEFORMAT </w:instrText>
    </w:r>
    <w:r w:rsidRPr="006B4499">
      <w:rPr>
        <w:b/>
        <w:sz w:val="18"/>
      </w:rPr>
      <w:fldChar w:fldCharType="separate"/>
    </w:r>
    <w:r w:rsidR="00642D05">
      <w:rPr>
        <w:b/>
        <w:noProof/>
        <w:sz w:val="18"/>
      </w:rPr>
      <w:t>3</w:t>
    </w:r>
    <w:r w:rsidRPr="006B44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4499" w:rsidRDefault="006B4499" w:rsidP="006B4499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19D72E1" wp14:editId="104CD7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17-08994  (R)</w:t>
    </w:r>
    <w:r>
      <w:rPr>
        <w:lang w:val="en-US"/>
      </w:rPr>
      <w:t xml:space="preserve">  030717  030717</w:t>
    </w:r>
    <w:r>
      <w:br/>
    </w:r>
    <w:r w:rsidRPr="006B4499">
      <w:rPr>
        <w:rFonts w:ascii="C39T30Lfz" w:hAnsi="C39T30Lfz"/>
        <w:spacing w:val="0"/>
        <w:w w:val="100"/>
        <w:sz w:val="56"/>
      </w:rPr>
      <w:t></w:t>
    </w:r>
    <w:r w:rsidRPr="006B4499">
      <w:rPr>
        <w:rFonts w:ascii="C39T30Lfz" w:hAnsi="C39T30Lfz"/>
        <w:spacing w:val="0"/>
        <w:w w:val="100"/>
        <w:sz w:val="56"/>
      </w:rPr>
      <w:t></w:t>
    </w:r>
    <w:r w:rsidRPr="006B4499">
      <w:rPr>
        <w:rFonts w:ascii="C39T30Lfz" w:hAnsi="C39T30Lfz"/>
        <w:spacing w:val="0"/>
        <w:w w:val="100"/>
        <w:sz w:val="56"/>
      </w:rPr>
      <w:t></w:t>
    </w:r>
    <w:r w:rsidRPr="006B4499">
      <w:rPr>
        <w:rFonts w:ascii="C39T30Lfz" w:hAnsi="C39T30Lfz"/>
        <w:spacing w:val="0"/>
        <w:w w:val="100"/>
        <w:sz w:val="56"/>
      </w:rPr>
      <w:t></w:t>
    </w:r>
    <w:r w:rsidRPr="006B4499">
      <w:rPr>
        <w:rFonts w:ascii="C39T30Lfz" w:hAnsi="C39T30Lfz"/>
        <w:spacing w:val="0"/>
        <w:w w:val="100"/>
        <w:sz w:val="56"/>
      </w:rPr>
      <w:t></w:t>
    </w:r>
    <w:r w:rsidRPr="006B4499">
      <w:rPr>
        <w:rFonts w:ascii="C39T30Lfz" w:hAnsi="C39T30Lfz"/>
        <w:spacing w:val="0"/>
        <w:w w:val="100"/>
        <w:sz w:val="56"/>
      </w:rPr>
      <w:t></w:t>
    </w:r>
    <w:r w:rsidRPr="006B4499">
      <w:rPr>
        <w:rFonts w:ascii="C39T30Lfz" w:hAnsi="C39T30Lfz"/>
        <w:spacing w:val="0"/>
        <w:w w:val="100"/>
        <w:sz w:val="56"/>
      </w:rPr>
      <w:t></w:t>
    </w:r>
    <w:r w:rsidRPr="006B4499">
      <w:rPr>
        <w:rFonts w:ascii="C39T30Lfz" w:hAnsi="C39T30Lfz"/>
        <w:spacing w:val="0"/>
        <w:w w:val="100"/>
        <w:sz w:val="56"/>
      </w:rPr>
      <w:t></w:t>
    </w:r>
    <w:r w:rsidRPr="006B44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C" w:rsidRPr="001075E9" w:rsidRDefault="003C1D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1D7C" w:rsidRDefault="003C1D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4899" w:rsidRPr="00AD4899" w:rsidRDefault="00AD4899">
      <w:pPr>
        <w:pStyle w:val="FootnoteText"/>
        <w:rPr>
          <w:sz w:val="20"/>
          <w:lang w:val="ru-RU"/>
        </w:rPr>
      </w:pPr>
      <w:r>
        <w:tab/>
      </w:r>
      <w:r w:rsidRPr="00AD4899">
        <w:rPr>
          <w:rStyle w:val="FootnoteReference"/>
          <w:sz w:val="20"/>
          <w:vertAlign w:val="baseline"/>
          <w:lang w:val="ru-RU"/>
        </w:rPr>
        <w:t>*</w:t>
      </w:r>
      <w:r w:rsidRPr="00AD4899">
        <w:rPr>
          <w:rStyle w:val="FootnoteReference"/>
          <w:vertAlign w:val="baseline"/>
          <w:lang w:val="ru-RU"/>
        </w:rPr>
        <w:tab/>
      </w:r>
      <w:r w:rsidRPr="00AD4899">
        <w:rPr>
          <w:lang w:val="ru-RU"/>
        </w:rPr>
        <w:t xml:space="preserve">В соответствии с программой работы Комитета по внутреннему транспорту </w:t>
      </w:r>
      <w:r w:rsidR="00BB71A8" w:rsidRPr="00BB71A8">
        <w:rPr>
          <w:lang w:val="ru-RU"/>
        </w:rPr>
        <w:br/>
      </w:r>
      <w:r w:rsidRPr="00AD4899">
        <w:rPr>
          <w:lang w:val="ru-RU"/>
        </w:rPr>
        <w:t>на 2016–2017 годы (ECE/TRANS/2016/28/Add.1 (9.2)).</w:t>
      </w:r>
    </w:p>
  </w:footnote>
  <w:footnote w:id="2">
    <w:p w:rsidR="00AD4899" w:rsidRPr="00AD4899" w:rsidRDefault="00AD4899">
      <w:pPr>
        <w:pStyle w:val="FootnoteText"/>
        <w:rPr>
          <w:sz w:val="20"/>
          <w:lang w:val="ru-RU"/>
        </w:rPr>
      </w:pPr>
      <w:r w:rsidRPr="00BB71A8">
        <w:rPr>
          <w:lang w:val="ru-RU"/>
        </w:rPr>
        <w:tab/>
      </w:r>
      <w:r w:rsidRPr="00AD4899">
        <w:rPr>
          <w:rStyle w:val="FootnoteReference"/>
          <w:sz w:val="20"/>
          <w:vertAlign w:val="baseline"/>
          <w:lang w:val="ru-RU"/>
        </w:rPr>
        <w:t>**</w:t>
      </w:r>
      <w:r w:rsidRPr="00AD4899">
        <w:rPr>
          <w:rStyle w:val="FootnoteReference"/>
          <w:vertAlign w:val="baseline"/>
          <w:lang w:val="ru-RU"/>
        </w:rPr>
        <w:tab/>
      </w:r>
      <w:r w:rsidR="009B5C29" w:rsidRPr="009B5C29"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OTIF/RID/RC/2017/26.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9" w:rsidRPr="006B4499" w:rsidRDefault="00642D0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3003A">
      <w:t>ECE/TRANS/WP.15/AC.1/2017/26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9" w:rsidRPr="006B4499" w:rsidRDefault="00642D05" w:rsidP="006B44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3003A">
      <w:t>ECE/TRANS/WP.15/AC.1/2017/26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003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1D5"/>
    <w:rsid w:val="003402C2"/>
    <w:rsid w:val="00381C24"/>
    <w:rsid w:val="00387CD4"/>
    <w:rsid w:val="003958D0"/>
    <w:rsid w:val="003A0D43"/>
    <w:rsid w:val="003A48CE"/>
    <w:rsid w:val="003B00E5"/>
    <w:rsid w:val="003C1D7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032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2D05"/>
    <w:rsid w:val="00680D03"/>
    <w:rsid w:val="00681A10"/>
    <w:rsid w:val="006A1ED8"/>
    <w:rsid w:val="006B4499"/>
    <w:rsid w:val="006C2031"/>
    <w:rsid w:val="006D461A"/>
    <w:rsid w:val="006F3278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4F2E"/>
    <w:rsid w:val="008B6909"/>
    <w:rsid w:val="008D53B6"/>
    <w:rsid w:val="008F7609"/>
    <w:rsid w:val="00906890"/>
    <w:rsid w:val="00911BE4"/>
    <w:rsid w:val="0092696B"/>
    <w:rsid w:val="00951972"/>
    <w:rsid w:val="0095393A"/>
    <w:rsid w:val="009608F3"/>
    <w:rsid w:val="00992697"/>
    <w:rsid w:val="009A24AC"/>
    <w:rsid w:val="009B5C29"/>
    <w:rsid w:val="009C6FE6"/>
    <w:rsid w:val="00A14DA8"/>
    <w:rsid w:val="00A312BC"/>
    <w:rsid w:val="00A84021"/>
    <w:rsid w:val="00A84D35"/>
    <w:rsid w:val="00A917B3"/>
    <w:rsid w:val="00AB4B51"/>
    <w:rsid w:val="00AB665A"/>
    <w:rsid w:val="00AD4899"/>
    <w:rsid w:val="00AF058C"/>
    <w:rsid w:val="00B10CC7"/>
    <w:rsid w:val="00B36DF7"/>
    <w:rsid w:val="00B539E7"/>
    <w:rsid w:val="00B62458"/>
    <w:rsid w:val="00B82DE8"/>
    <w:rsid w:val="00BA3E1E"/>
    <w:rsid w:val="00BB71A8"/>
    <w:rsid w:val="00BC18B2"/>
    <w:rsid w:val="00BD33EE"/>
    <w:rsid w:val="00BE1CC7"/>
    <w:rsid w:val="00C01D66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25F3"/>
    <w:rsid w:val="00D33D63"/>
    <w:rsid w:val="00D5253A"/>
    <w:rsid w:val="00D81DC3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166143-17FC-4B4E-AB3F-061E73C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2933</Words>
  <Characters>16724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ECE/TRANS/WP.15/AC.1/2017/26</vt:lpstr>
      <vt:lpstr>ECE/TRANS/WP.15/AC.1/2017/26</vt:lpstr>
      <vt:lpstr>A/</vt:lpstr>
    </vt:vector>
  </TitlesOfParts>
  <Company>DCM</Company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ECE/TRANS/WP.15/AC.1/2017/26</dc:title>
  <dc:subject/>
  <dc:creator>Izotova Elena</dc:creator>
  <cp:keywords/>
  <cp:lastModifiedBy>Christine Barrio-Champeau</cp:lastModifiedBy>
  <cp:revision>2</cp:revision>
  <cp:lastPrinted>2017-07-03T12:18:00Z</cp:lastPrinted>
  <dcterms:created xsi:type="dcterms:W3CDTF">2017-07-28T08:36:00Z</dcterms:created>
  <dcterms:modified xsi:type="dcterms:W3CDTF">2017-07-28T08:36:00Z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