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512C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15659" w:rsidRPr="00A77EEF">
              <w:rPr>
                <w:lang w:val="fr-FR"/>
              </w:rPr>
              <w:t>TRANS/</w:t>
            </w:r>
            <w:r w:rsidR="00F45520">
              <w:t>WP.15/AC.1/2017/15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A46D9C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46D9C">
              <w:fldChar w:fldCharType="separate"/>
            </w:r>
            <w:r w:rsidR="00A46D9C" w:rsidRPr="00245892">
              <w:fldChar w:fldCharType="end"/>
            </w:r>
            <w:bookmarkEnd w:id="0"/>
          </w:p>
          <w:p w:rsidR="00A658DB" w:rsidRPr="00245892" w:rsidRDefault="00A46D9C" w:rsidP="007B199D">
            <w:fldSimple w:instr=" FILLIN  &quot;Введите дату документа&quot; \* MERGEFORMAT ">
              <w:r w:rsidR="00F45520">
                <w:rPr>
                  <w:lang w:val="en-US"/>
                </w:rPr>
                <w:t>21</w:t>
              </w:r>
              <w:r w:rsidR="00415659">
                <w:rPr>
                  <w:lang w:val="en-US"/>
                </w:rPr>
                <w:t xml:space="preserve"> </w:t>
              </w:r>
              <w:r w:rsidR="00F45520">
                <w:rPr>
                  <w:lang w:val="en-US"/>
                </w:rPr>
                <w:t>December</w:t>
              </w:r>
              <w:r w:rsidR="00BD2942">
                <w:t xml:space="preserve">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A46D9C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46D9C">
              <w:fldChar w:fldCharType="separate"/>
            </w:r>
            <w:r w:rsidR="00A46D9C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8512C1">
      <w:pPr>
        <w:spacing w:before="120" w:after="12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2C1EE7" w:rsidRPr="00F12C50" w:rsidRDefault="003F6450" w:rsidP="002C1EE7">
      <w:pPr>
        <w:spacing w:after="120"/>
        <w:rPr>
          <w:b/>
          <w:sz w:val="24"/>
          <w:szCs w:val="24"/>
        </w:rPr>
      </w:pPr>
      <w:r w:rsidRPr="00F12C50">
        <w:rPr>
          <w:b/>
          <w:sz w:val="24"/>
          <w:szCs w:val="24"/>
        </w:rPr>
        <w:t xml:space="preserve">Рабочая группа по </w:t>
      </w:r>
      <w:r w:rsidR="00F12C50" w:rsidRPr="00F12C50">
        <w:rPr>
          <w:b/>
          <w:sz w:val="24"/>
          <w:szCs w:val="24"/>
        </w:rPr>
        <w:t>перевозкам опасных грузов</w:t>
      </w:r>
    </w:p>
    <w:p w:rsidR="00F12C50" w:rsidRPr="00F12C50" w:rsidRDefault="00F12C50" w:rsidP="00F12C50">
      <w:pPr>
        <w:rPr>
          <w:b/>
        </w:rPr>
      </w:pPr>
      <w:r w:rsidRPr="00F12C50">
        <w:rPr>
          <w:b/>
        </w:rPr>
        <w:t>Совместное совещание Комиссии экспертов МПОГ и</w:t>
      </w:r>
    </w:p>
    <w:p w:rsidR="00F12C50" w:rsidRPr="00F12C50" w:rsidRDefault="00F12C50" w:rsidP="00F12C50">
      <w:pPr>
        <w:rPr>
          <w:b/>
        </w:rPr>
      </w:pPr>
      <w:r w:rsidRPr="00F12C50">
        <w:rPr>
          <w:b/>
        </w:rPr>
        <w:t>Рабочей группы по перевозкам опасных грузов</w:t>
      </w:r>
    </w:p>
    <w:p w:rsidR="00F12C50" w:rsidRPr="0016486B" w:rsidRDefault="00F12C50" w:rsidP="00F12C50">
      <w:r>
        <w:t>Берн, 13–17 марта 2017 года</w:t>
      </w:r>
    </w:p>
    <w:p w:rsidR="00F12C50" w:rsidRPr="0016486B" w:rsidRDefault="00F12C50" w:rsidP="00F12C50">
      <w:r>
        <w:t>Пункт 4 предварительной повестки дня</w:t>
      </w:r>
    </w:p>
    <w:p w:rsidR="00007B7D" w:rsidRPr="00E01C2B" w:rsidRDefault="00F12C50" w:rsidP="00F12C50">
      <w:pPr>
        <w:rPr>
          <w:b/>
        </w:rPr>
      </w:pPr>
      <w:r w:rsidRPr="00E01C2B">
        <w:rPr>
          <w:b/>
        </w:rPr>
        <w:t>Толкование МПОГ/ДОПОГ/ВОПОГ</w:t>
      </w:r>
    </w:p>
    <w:p w:rsidR="00F12C50" w:rsidRPr="00F12C50" w:rsidRDefault="00F12C50" w:rsidP="00E01C2B">
      <w:pPr>
        <w:pStyle w:val="HChGR"/>
      </w:pPr>
      <w:r w:rsidRPr="00F12C50">
        <w:tab/>
      </w:r>
      <w:r w:rsidRPr="00F12C50">
        <w:tab/>
        <w:t>Толкование положений по маркировке связок баллонов согласно пункту 6.2.3.9.7</w:t>
      </w:r>
    </w:p>
    <w:p w:rsidR="00F12C50" w:rsidRPr="00F12C50" w:rsidRDefault="00F12C50" w:rsidP="00E01C2B">
      <w:pPr>
        <w:pStyle w:val="H1GR"/>
      </w:pPr>
      <w:r w:rsidRPr="00F12C50">
        <w:tab/>
      </w:r>
      <w:r w:rsidRPr="00F12C50">
        <w:tab/>
        <w:t xml:space="preserve">Передано Европейской ассоциацией по промышленным </w:t>
      </w:r>
      <w:r w:rsidR="003C5632">
        <w:br/>
      </w:r>
      <w:r w:rsidRPr="00F12C50">
        <w:t>газам (ЕАПГ)</w:t>
      </w:r>
      <w:r w:rsidR="00E01C2B" w:rsidRPr="00E01C2B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  <w:r w:rsidR="00E01C2B">
        <w:rPr>
          <w:b w:val="0"/>
          <w:sz w:val="20"/>
          <w:lang w:eastAsia="en-US"/>
        </w:rPr>
        <w:t xml:space="preserve"> </w:t>
      </w:r>
      <w:r w:rsidR="00E01C2B" w:rsidRPr="00E01C2B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>**</w:t>
      </w:r>
    </w:p>
    <w:p w:rsidR="00F12C50" w:rsidRPr="00F12C50" w:rsidRDefault="00F12C50" w:rsidP="00E01C2B">
      <w:pPr>
        <w:pStyle w:val="HChGR"/>
      </w:pPr>
      <w:r w:rsidRPr="00F12C50">
        <w:tab/>
      </w:r>
      <w:r w:rsidRPr="00F12C50">
        <w:tab/>
        <w:t>Введение</w:t>
      </w:r>
      <w:bookmarkStart w:id="2" w:name="_GoBack"/>
      <w:bookmarkEnd w:id="2"/>
    </w:p>
    <w:p w:rsidR="00F12C50" w:rsidRPr="00F12C50" w:rsidRDefault="00F12C50" w:rsidP="00F12C50">
      <w:pPr>
        <w:pStyle w:val="SingleTxtGR"/>
      </w:pPr>
      <w:r w:rsidRPr="00F12C50">
        <w:t>1.</w:t>
      </w:r>
      <w:r w:rsidRPr="00F12C50">
        <w:tab/>
        <w:t>На совместном совещании в сентябре 2016 года ЕАПГ представила неофициальный документ INF.20 с просьбой дать толкование положений о маркировке связок баллонов. Такое толкование было весьма полезным для разъяснения по ряду вопросов.</w:t>
      </w:r>
    </w:p>
    <w:p w:rsidR="00F12C50" w:rsidRPr="00F12C50" w:rsidRDefault="00F12C50" w:rsidP="00F12C50">
      <w:pPr>
        <w:pStyle w:val="SingleTxtGR"/>
      </w:pPr>
      <w:r w:rsidRPr="00F12C50">
        <w:t>2.</w:t>
      </w:r>
      <w:r w:rsidRPr="00F12C50">
        <w:tab/>
        <w:t>После представления этого толкования у Совместного совещания в отношении маркировки связок испрашивается еще одно толкование. Оно касается технического стандарта, используемого для проектирования, изготовления и испытаний.</w:t>
      </w:r>
    </w:p>
    <w:p w:rsidR="00F12C50" w:rsidRPr="00F12C50" w:rsidRDefault="00F12C50" w:rsidP="00F12C50">
      <w:pPr>
        <w:pStyle w:val="SingleTxtGR"/>
      </w:pPr>
      <w:r w:rsidRPr="00F12C50">
        <w:t>3.</w:t>
      </w:r>
      <w:r w:rsidRPr="00F12C50">
        <w:tab/>
        <w:t>Существует требование к маркировке связок баллонов в ходе последующей периодической проверки, в отношении которого действуют две переходные меры, а именно:</w:t>
      </w:r>
    </w:p>
    <w:p w:rsidR="00F12C50" w:rsidRPr="00F12C50" w:rsidRDefault="00F12C50" w:rsidP="0039373A">
      <w:pPr>
        <w:pStyle w:val="SingleTxtGR"/>
        <w:ind w:left="2268" w:hanging="1134"/>
      </w:pPr>
      <w:r w:rsidRPr="00F12C50">
        <w:lastRenderedPageBreak/>
        <w:t>1.6.2.13</w:t>
      </w:r>
      <w:r w:rsidRPr="00F12C50">
        <w:tab/>
        <w:t>Связки баллонов, изготовленные до 1 июля 2013 года и не имеющие маркировку в соответствии с пунктами 6.2.3.9.7.2 и 6.2.3.9.7.3, применяемыми с 1 января 2013 года, или пунктом 6.2.3.9.7.2, применяемым с 1 января 2015 года, могут использоваться до следующей периодической проверки после 1 июля 2015 года.</w:t>
      </w:r>
    </w:p>
    <w:p w:rsidR="00F12C50" w:rsidRPr="00F12C50" w:rsidRDefault="00F12C50" w:rsidP="0039373A">
      <w:pPr>
        <w:pStyle w:val="SingleTxtGR"/>
        <w:ind w:left="2268" w:hanging="1134"/>
      </w:pPr>
      <w:r w:rsidRPr="00F12C50">
        <w:t>1.6.2.15</w:t>
      </w:r>
      <w:r w:rsidRPr="00F12C50">
        <w:tab/>
        <w:t>Связки баллонов, прошедшие периодическую проверку до 1 июля 2015 года и не имеющие маркировку в соответствии с пунктом</w:t>
      </w:r>
      <w:r w:rsidR="00426125">
        <w:t> </w:t>
      </w:r>
      <w:r w:rsidRPr="00F12C50">
        <w:t>6.2.3.9.7.3, применяемым с 1 января 2015 года, могут использоваться до следующей периодической проверки после 1 июля 2015</w:t>
      </w:r>
      <w:r w:rsidR="00426125">
        <w:t> </w:t>
      </w:r>
      <w:r w:rsidRPr="00F12C50">
        <w:t xml:space="preserve">года. </w:t>
      </w:r>
    </w:p>
    <w:p w:rsidR="00F12C50" w:rsidRPr="00F12C50" w:rsidRDefault="00F12C50" w:rsidP="00F12C50">
      <w:pPr>
        <w:pStyle w:val="SingleTxtGR"/>
      </w:pPr>
      <w:r w:rsidRPr="00F12C50">
        <w:t>3.</w:t>
      </w:r>
      <w:r w:rsidRPr="00F12C50">
        <w:tab/>
        <w:t>Ряд компетентных органов просит разъяснить, что означает пункт</w:t>
      </w:r>
      <w:r w:rsidR="00426125">
        <w:t> </w:t>
      </w:r>
      <w:r w:rsidRPr="00F12C50">
        <w:t>6.2.2.7.2</w:t>
      </w:r>
      <w:r w:rsidR="00426125">
        <w:t> </w:t>
      </w:r>
      <w:r w:rsidRPr="00F12C50">
        <w:t xml:space="preserve">b), который гласит: </w:t>
      </w:r>
      <w:r w:rsidR="0039373A">
        <w:t>«</w:t>
      </w:r>
      <w:r w:rsidRPr="00F12C50">
        <w:t xml:space="preserve">Технический стандарт (например, </w:t>
      </w:r>
      <w:r w:rsidR="00426125">
        <w:br/>
      </w:r>
      <w:r w:rsidRPr="00F12C50">
        <w:t>ISO 9809-1), используемый для проектирования, изготовления и испытаний</w:t>
      </w:r>
      <w:r w:rsidR="0039373A">
        <w:t>»</w:t>
      </w:r>
      <w:r w:rsidRPr="00F12C50">
        <w:t xml:space="preserve">. Было высказано мнение о том, что стандартом, который должен быть указан, является стандарт </w:t>
      </w:r>
      <w:r w:rsidRPr="007209A3">
        <w:t>EN ISO 10961:2012</w:t>
      </w:r>
      <w:r w:rsidRPr="007209A3">
        <w:rPr>
          <w:i/>
        </w:rPr>
        <w:t xml:space="preserve"> Газовые баллоны – Связки баллонов – Проектирование, изготовление, испытания и проверка</w:t>
      </w:r>
      <w:r w:rsidRPr="00F12C50">
        <w:t>.</w:t>
      </w:r>
    </w:p>
    <w:p w:rsidR="00F12C50" w:rsidRPr="00F12C50" w:rsidRDefault="00F12C50" w:rsidP="00F12C50">
      <w:pPr>
        <w:pStyle w:val="SingleTxtGR"/>
      </w:pPr>
      <w:r w:rsidRPr="00F12C50">
        <w:t>4.</w:t>
      </w:r>
      <w:r w:rsidRPr="00F12C50">
        <w:tab/>
        <w:t xml:space="preserve">ЕАПГ утверждает, что это неверно и что в качестве технического стандарта должен быть указан первоначальный технический стандарт, используемый для проектирования, изготовления и испытаний. Поскольку европейский стандарт для связок баллонов до 2003 года не существовал (EN 13769:2003 </w:t>
      </w:r>
      <w:r w:rsidRPr="007209A3">
        <w:rPr>
          <w:i/>
        </w:rPr>
        <w:t>Переносные газовые баллоны – Связки баллонов – Конструкция, изготовление, испытания и проверка</w:t>
      </w:r>
      <w:r w:rsidRPr="00F12C50">
        <w:t xml:space="preserve">), то в качестве технического стандарта мог использоваться национальный стандарт или внутренний стандарт компании. </w:t>
      </w:r>
    </w:p>
    <w:p w:rsidR="00F12C50" w:rsidRPr="00F12C50" w:rsidRDefault="00F12C50" w:rsidP="00F12C50">
      <w:pPr>
        <w:pStyle w:val="SingleTxtGR"/>
      </w:pPr>
      <w:r w:rsidRPr="00F12C50">
        <w:t>5.</w:t>
      </w:r>
      <w:r w:rsidRPr="00F12C50">
        <w:tab/>
        <w:t xml:space="preserve">В инструкции по упаковке Р200 приводится требование о проведении предваряющей заполнение визуальной проверки связки баллонов и содержится ссылка на стандарты ISO 11755 </w:t>
      </w:r>
      <w:r w:rsidRPr="0011406E">
        <w:rPr>
          <w:i/>
        </w:rPr>
        <w:t>Газовые баллоны – Связки баллонов для сжатых и сжиженных газов (кроме ацетилена) – Проверка при наполнении</w:t>
      </w:r>
      <w:r w:rsidRPr="00F12C50">
        <w:t xml:space="preserve"> и EN</w:t>
      </w:r>
      <w:r w:rsidR="0011406E">
        <w:t> </w:t>
      </w:r>
      <w:r w:rsidRPr="00F12C50">
        <w:t xml:space="preserve">12755 </w:t>
      </w:r>
      <w:r w:rsidRPr="0011406E">
        <w:rPr>
          <w:i/>
        </w:rPr>
        <w:t>Переносные газовые баллоны для ацетилена – Условия наполнения связок баллонов для ацетилена</w:t>
      </w:r>
      <w:r w:rsidRPr="00F12C50">
        <w:t>. Оба стандарта – ISO 11755 и EN 12755 – включают требования о проверке целостности связки баллонов.</w:t>
      </w:r>
    </w:p>
    <w:p w:rsidR="00F12C50" w:rsidRPr="00F12C50" w:rsidRDefault="00F12C50" w:rsidP="00F12C50">
      <w:pPr>
        <w:pStyle w:val="SingleTxtGR"/>
      </w:pPr>
      <w:r w:rsidRPr="00F12C50">
        <w:t>6.</w:t>
      </w:r>
      <w:r w:rsidRPr="00F12C50">
        <w:tab/>
        <w:t>И хотя связки баллонов могут и не быть изготовлены в соответствии с европейским или национальным стандартом, имеются достаточные требования к обеспечению целостности связки баллонов во время наполнения.</w:t>
      </w:r>
    </w:p>
    <w:p w:rsidR="00F12C50" w:rsidRPr="00F12C50" w:rsidRDefault="00F12C50" w:rsidP="00F12C50">
      <w:pPr>
        <w:pStyle w:val="SingleTxtGR"/>
      </w:pPr>
      <w:r w:rsidRPr="00F12C50">
        <w:t>7.</w:t>
      </w:r>
      <w:r w:rsidRPr="00F12C50">
        <w:tab/>
        <w:t xml:space="preserve">В подразделе 6.2.4.2 для целей периодических проверок и испытаний содержится требование следовать стандарту EN 15888:2014 </w:t>
      </w:r>
      <w:r w:rsidRPr="0011406E">
        <w:rPr>
          <w:i/>
        </w:rPr>
        <w:t>Переносные газовые баллоны – Связки баллонов – Периодические проверки и испытания</w:t>
      </w:r>
      <w:r w:rsidRPr="00F12C50">
        <w:t>. В стандарте EN 15888 приводится подробная информация о требованиях по проверке рамы связки баллонов, а также по подтверждению целостности любых подъемных приспособлений.</w:t>
      </w:r>
    </w:p>
    <w:p w:rsidR="00F12C50" w:rsidRPr="00F12C50" w:rsidRDefault="00F12C50" w:rsidP="00F12C50">
      <w:pPr>
        <w:pStyle w:val="SingleTxtGR"/>
      </w:pPr>
      <w:r w:rsidRPr="00F12C50">
        <w:t>8.</w:t>
      </w:r>
      <w:r w:rsidRPr="00F12C50">
        <w:tab/>
        <w:t>ЕАПГ не располагает информацией о том, чтобы нынешний режим создавал какие-либо проблемы с точки зрения эксплуатации.</w:t>
      </w:r>
    </w:p>
    <w:p w:rsidR="00F12C50" w:rsidRPr="00F12C50" w:rsidRDefault="00F12C50" w:rsidP="00BE185F">
      <w:pPr>
        <w:pStyle w:val="HChGR"/>
      </w:pPr>
      <w:r w:rsidRPr="00F12C50">
        <w:tab/>
      </w:r>
      <w:r w:rsidRPr="00F12C50">
        <w:tab/>
        <w:t>Толкование</w:t>
      </w:r>
    </w:p>
    <w:p w:rsidR="003C5632" w:rsidRDefault="00F12C50" w:rsidP="003C5632">
      <w:pPr>
        <w:pStyle w:val="SingleTxtGR"/>
      </w:pPr>
      <w:r w:rsidRPr="00F12C50">
        <w:t>9.</w:t>
      </w:r>
      <w:r w:rsidRPr="00F12C50">
        <w:tab/>
        <w:t xml:space="preserve">Совместное совещание просят подтвердить, что технический стандарт, который должен быть указан на раме связки баллонов во время периодической </w:t>
      </w:r>
      <w:r w:rsidRPr="00F12C50">
        <w:lastRenderedPageBreak/>
        <w:t xml:space="preserve">проверки и испытания, представляет собой </w:t>
      </w:r>
      <w:r w:rsidRPr="00384DAB">
        <w:rPr>
          <w:i/>
        </w:rPr>
        <w:t>первоначальный</w:t>
      </w:r>
      <w:r w:rsidRPr="00F12C50">
        <w:t xml:space="preserve"> технический </w:t>
      </w:r>
      <w:r w:rsidR="003C5632">
        <w:br/>
      </w:r>
      <w:r w:rsidR="003C5632">
        <w:br w:type="page"/>
      </w:r>
    </w:p>
    <w:p w:rsidR="002C1EE7" w:rsidRDefault="00F12C50" w:rsidP="00F12C50">
      <w:pPr>
        <w:pStyle w:val="SingleTxtGR"/>
      </w:pPr>
      <w:r w:rsidRPr="00F12C50">
        <w:lastRenderedPageBreak/>
        <w:t>стандарт, используемый для проектирования, изготовления и испытаний. Стандарт EN ISO 10961 или EN 13769 должен быть указан только в тех случаях, когда один из них был использован для официального утверждения типа данной связки баллонов.</w:t>
      </w:r>
    </w:p>
    <w:p w:rsidR="002C1EE7" w:rsidRPr="00F12C50" w:rsidRDefault="00F12C50" w:rsidP="00F12C5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F12C50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B2" w:rsidRDefault="00FA32B2" w:rsidP="00B471C5">
      <w:r>
        <w:separator/>
      </w:r>
    </w:p>
  </w:endnote>
  <w:endnote w:type="continuationSeparator" w:id="0">
    <w:p w:rsidR="00FA32B2" w:rsidRDefault="00FA32B2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A46D9C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3275F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F45520">
      <w:rPr>
        <w:lang w:val="en-US"/>
      </w:rPr>
      <w:t>22622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F45520">
      <w:rPr>
        <w:lang w:val="en-US"/>
      </w:rPr>
      <w:t>22622</w:t>
    </w:r>
    <w:r>
      <w:rPr>
        <w:lang w:val="en-US"/>
      </w:rPr>
      <w:tab/>
    </w:r>
    <w:r w:rsidR="00A46D9C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A46D9C" w:rsidRPr="00BA2D2B">
      <w:rPr>
        <w:b/>
        <w:sz w:val="18"/>
        <w:szCs w:val="18"/>
      </w:rPr>
      <w:fldChar w:fldCharType="separate"/>
    </w:r>
    <w:r w:rsidR="00B3275F">
      <w:rPr>
        <w:b/>
        <w:noProof/>
        <w:sz w:val="18"/>
        <w:szCs w:val="18"/>
      </w:rPr>
      <w:t>3</w:t>
    </w:r>
    <w:r w:rsidR="00A46D9C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F4552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45520">
            <w:rPr>
              <w:lang w:val="en-US"/>
            </w:rPr>
            <w:t>22622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F45520">
            <w:rPr>
              <w:lang w:val="en-US"/>
            </w:rPr>
            <w:t>060117  060117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45520" w:rsidP="007B199D">
          <w:pPr>
            <w:jc w:val="right"/>
          </w:pPr>
          <w:r>
            <w:rPr>
              <w:rFonts w:ascii="C39T30Lfz" w:hAnsi="C39T30Lfz"/>
              <w:noProof/>
              <w:sz w:val="56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margin">
                  <wp:posOffset>20955</wp:posOffset>
                </wp:positionV>
                <wp:extent cx="638175" cy="638175"/>
                <wp:effectExtent l="0" t="0" r="9525" b="9525"/>
                <wp:wrapNone/>
                <wp:docPr id="3" name="Picture 1" descr="http://undocs.org/m2/QRCode.ashx?DS=ECE/TRANS/WP.15/AC.1/2017/15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5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45520" w:rsidRDefault="00F4552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B2" w:rsidRPr="009141DC" w:rsidRDefault="00FA32B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A32B2" w:rsidRPr="00D1261C" w:rsidRDefault="00FA32B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01C2B" w:rsidRPr="00E01C2B" w:rsidRDefault="00E01C2B">
      <w:pPr>
        <w:pStyle w:val="Notedebasdepage"/>
        <w:rPr>
          <w:lang w:val="ru-RU"/>
        </w:rPr>
      </w:pPr>
      <w:r>
        <w:tab/>
      </w:r>
      <w:r w:rsidRPr="00E01C2B">
        <w:rPr>
          <w:rStyle w:val="Appelnotedebasdep"/>
          <w:sz w:val="20"/>
          <w:vertAlign w:val="baseline"/>
          <w:lang w:val="ru-RU"/>
        </w:rPr>
        <w:t>*</w:t>
      </w:r>
      <w:r w:rsidRPr="00E01C2B">
        <w:rPr>
          <w:lang w:val="ru-RU"/>
        </w:rPr>
        <w:t xml:space="preserve"> </w:t>
      </w:r>
      <w:r w:rsidRPr="00E01C2B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BE185F">
        <w:rPr>
          <w:lang w:val="ru-RU"/>
        </w:rPr>
        <w:br/>
      </w:r>
      <w:r>
        <w:rPr>
          <w:lang w:val="ru-RU"/>
        </w:rPr>
        <w:t>на 2016–2017 годы (ECE/TRANS/2016/28/Add.1 (9.2)).</w:t>
      </w:r>
    </w:p>
  </w:footnote>
  <w:footnote w:id="2">
    <w:p w:rsidR="00E01C2B" w:rsidRPr="00E01C2B" w:rsidRDefault="00E01C2B">
      <w:pPr>
        <w:pStyle w:val="Notedebasdepage"/>
        <w:rPr>
          <w:lang w:val="ru-RU"/>
        </w:rPr>
      </w:pPr>
      <w:r w:rsidRPr="00E01C2B">
        <w:rPr>
          <w:lang w:val="ru-RU"/>
        </w:rPr>
        <w:tab/>
      </w:r>
      <w:r w:rsidRPr="00E01C2B">
        <w:rPr>
          <w:rStyle w:val="Appelnotedebasdep"/>
          <w:sz w:val="20"/>
          <w:vertAlign w:val="baseline"/>
          <w:lang w:val="ru-RU"/>
        </w:rPr>
        <w:t>**</w:t>
      </w:r>
      <w:r>
        <w:rPr>
          <w:lang w:val="ru-RU"/>
        </w:rPr>
        <w:tab/>
      </w:r>
      <w:r w:rsidRPr="00E01C2B">
        <w:rPr>
          <w:lang w:val="ru-RU"/>
        </w:rPr>
        <w:t xml:space="preserve"> </w:t>
      </w:r>
      <w:r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символом OTIF/RID/RC/2017/15.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415659" w:rsidRPr="00A77EEF">
      <w:rPr>
        <w:lang w:val="fr-FR"/>
      </w:rPr>
      <w:t>TRANS/</w:t>
    </w:r>
    <w:r w:rsidR="00F45520" w:rsidRPr="009D2A5B">
      <w:t>WP.15/AC.1/201</w:t>
    </w:r>
    <w:r w:rsidR="00F45520">
      <w:t>7</w:t>
    </w:r>
    <w:r w:rsidR="00F45520" w:rsidRPr="009D2A5B">
      <w:t>/</w:t>
    </w:r>
    <w:r w:rsidR="00F45520">
      <w:t>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5A387F" w:rsidRPr="00A77EEF">
      <w:rPr>
        <w:lang w:val="fr-FR"/>
      </w:rPr>
      <w:t>TRANS/</w:t>
    </w:r>
    <w:r w:rsidR="00F45520" w:rsidRPr="009D2A5B">
      <w:t>WP.15/AC.1/201</w:t>
    </w:r>
    <w:r w:rsidR="00F45520">
      <w:t>7</w:t>
    </w:r>
    <w:r w:rsidR="00F45520" w:rsidRPr="009D2A5B">
      <w:t>/</w:t>
    </w:r>
    <w:r w:rsidR="00F45520"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2942"/>
    <w:rsid w:val="00007B7D"/>
    <w:rsid w:val="000450D1"/>
    <w:rsid w:val="00060B0C"/>
    <w:rsid w:val="000B1FD5"/>
    <w:rsid w:val="000F2A4F"/>
    <w:rsid w:val="0011406E"/>
    <w:rsid w:val="00193116"/>
    <w:rsid w:val="001B5F6B"/>
    <w:rsid w:val="001F6963"/>
    <w:rsid w:val="00203F84"/>
    <w:rsid w:val="00260690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84DAB"/>
    <w:rsid w:val="0039373A"/>
    <w:rsid w:val="003A2DC1"/>
    <w:rsid w:val="003C5632"/>
    <w:rsid w:val="003F6450"/>
    <w:rsid w:val="00415659"/>
    <w:rsid w:val="00424134"/>
    <w:rsid w:val="00426125"/>
    <w:rsid w:val="0048005C"/>
    <w:rsid w:val="004907AA"/>
    <w:rsid w:val="004D639B"/>
    <w:rsid w:val="004E242B"/>
    <w:rsid w:val="00544379"/>
    <w:rsid w:val="00566944"/>
    <w:rsid w:val="005A387F"/>
    <w:rsid w:val="005D56BF"/>
    <w:rsid w:val="0062027E"/>
    <w:rsid w:val="00643644"/>
    <w:rsid w:val="00665D8D"/>
    <w:rsid w:val="006A7A3B"/>
    <w:rsid w:val="006B3E33"/>
    <w:rsid w:val="006B6B57"/>
    <w:rsid w:val="006F49F1"/>
    <w:rsid w:val="007005EE"/>
    <w:rsid w:val="00705394"/>
    <w:rsid w:val="007209A3"/>
    <w:rsid w:val="00743F62"/>
    <w:rsid w:val="00760D3A"/>
    <w:rsid w:val="00773BA8"/>
    <w:rsid w:val="007A1F42"/>
    <w:rsid w:val="007C76A8"/>
    <w:rsid w:val="007D76DD"/>
    <w:rsid w:val="007E17E5"/>
    <w:rsid w:val="008325ED"/>
    <w:rsid w:val="008512C1"/>
    <w:rsid w:val="008717E8"/>
    <w:rsid w:val="008B1AD6"/>
    <w:rsid w:val="008D01AE"/>
    <w:rsid w:val="008E0423"/>
    <w:rsid w:val="009141DC"/>
    <w:rsid w:val="009174A1"/>
    <w:rsid w:val="0092370A"/>
    <w:rsid w:val="009451DA"/>
    <w:rsid w:val="00980B8A"/>
    <w:rsid w:val="0098674D"/>
    <w:rsid w:val="00997ACA"/>
    <w:rsid w:val="00A03FB7"/>
    <w:rsid w:val="00A46D9C"/>
    <w:rsid w:val="00A55C56"/>
    <w:rsid w:val="00A658DB"/>
    <w:rsid w:val="00A75A11"/>
    <w:rsid w:val="00A9606E"/>
    <w:rsid w:val="00AD7EAD"/>
    <w:rsid w:val="00B3275F"/>
    <w:rsid w:val="00B35A32"/>
    <w:rsid w:val="00B432C6"/>
    <w:rsid w:val="00B471C5"/>
    <w:rsid w:val="00B6474A"/>
    <w:rsid w:val="00B84990"/>
    <w:rsid w:val="00BD2942"/>
    <w:rsid w:val="00BE1742"/>
    <w:rsid w:val="00BE185F"/>
    <w:rsid w:val="00BF2F5A"/>
    <w:rsid w:val="00C42BF7"/>
    <w:rsid w:val="00C968B2"/>
    <w:rsid w:val="00D1261C"/>
    <w:rsid w:val="00D26030"/>
    <w:rsid w:val="00D75DCE"/>
    <w:rsid w:val="00DD35AC"/>
    <w:rsid w:val="00DD479F"/>
    <w:rsid w:val="00E01C2B"/>
    <w:rsid w:val="00E15E48"/>
    <w:rsid w:val="00EB0723"/>
    <w:rsid w:val="00EB2957"/>
    <w:rsid w:val="00EE6F37"/>
    <w:rsid w:val="00F12C50"/>
    <w:rsid w:val="00F1599F"/>
    <w:rsid w:val="00F31EF2"/>
    <w:rsid w:val="00F45520"/>
    <w:rsid w:val="00FA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2C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2C50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75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2BF7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F12C5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12C50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0E75-EC7D-4991-92D4-633FBEA5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Maison</cp:lastModifiedBy>
  <cp:revision>2</cp:revision>
  <cp:lastPrinted>2017-01-06T15:43:00Z</cp:lastPrinted>
  <dcterms:created xsi:type="dcterms:W3CDTF">2017-02-09T19:35:00Z</dcterms:created>
  <dcterms:modified xsi:type="dcterms:W3CDTF">2017-02-09T19:35:00Z</dcterms:modified>
</cp:coreProperties>
</file>