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D691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D6911" w:rsidP="003D6911">
            <w:pPr>
              <w:jc w:val="right"/>
            </w:pPr>
            <w:r w:rsidRPr="003D6911">
              <w:rPr>
                <w:sz w:val="40"/>
              </w:rPr>
              <w:t>ECE</w:t>
            </w:r>
            <w:r>
              <w:t>/TRANS/WP.15/AC.1/2017/13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D6911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D6911" w:rsidRDefault="003D6911" w:rsidP="003D6911">
            <w:pPr>
              <w:spacing w:line="240" w:lineRule="exact"/>
            </w:pPr>
            <w:r>
              <w:t>21 décembre 2016</w:t>
            </w:r>
          </w:p>
          <w:p w:rsidR="003D6911" w:rsidRDefault="003D6911" w:rsidP="003D6911">
            <w:pPr>
              <w:spacing w:line="240" w:lineRule="exact"/>
            </w:pPr>
            <w:r>
              <w:t>Français</w:t>
            </w:r>
          </w:p>
          <w:p w:rsidR="003D6911" w:rsidRPr="00DB58B5" w:rsidRDefault="003D6911" w:rsidP="003D691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D6911" w:rsidRPr="009E01B8" w:rsidRDefault="003D691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3D6911" w:rsidRPr="00926E87" w:rsidRDefault="003D6911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3D6911" w:rsidRDefault="003D6911" w:rsidP="00A16804">
      <w:r w:rsidRPr="003D6911">
        <w:t>Berne, 13-17</w:t>
      </w:r>
      <w:r>
        <w:t> </w:t>
      </w:r>
      <w:r w:rsidRPr="003D6911">
        <w:t>mars 2017</w:t>
      </w:r>
    </w:p>
    <w:p w:rsidR="003D6911" w:rsidRDefault="003D6911" w:rsidP="00AF0CB5">
      <w:r w:rsidRPr="00B93E72">
        <w:t xml:space="preserve">Point </w:t>
      </w:r>
      <w:r>
        <w:t>2</w:t>
      </w:r>
      <w:r w:rsidRPr="00B93E72">
        <w:t xml:space="preserve"> de l’ordre du jour provisoire</w:t>
      </w:r>
    </w:p>
    <w:p w:rsidR="00F9573C" w:rsidRDefault="003D6911" w:rsidP="00AF0CB5">
      <w:pPr>
        <w:rPr>
          <w:b/>
        </w:rPr>
      </w:pPr>
      <w:r>
        <w:rPr>
          <w:b/>
        </w:rPr>
        <w:t>Citernes</w:t>
      </w:r>
    </w:p>
    <w:p w:rsidR="003D6911" w:rsidRPr="003D6911" w:rsidRDefault="003D6911" w:rsidP="003D6911">
      <w:pPr>
        <w:pStyle w:val="HChG"/>
      </w:pPr>
      <w:r w:rsidRPr="003D6911">
        <w:tab/>
      </w:r>
      <w:r w:rsidRPr="003D6911">
        <w:tab/>
        <w:t>6.8.3.2.9 Équipements-Soupapes de décompression</w:t>
      </w:r>
    </w:p>
    <w:p w:rsidR="003D6911" w:rsidRPr="003D6911" w:rsidRDefault="003D6911" w:rsidP="00B23378">
      <w:pPr>
        <w:pStyle w:val="H1G"/>
        <w:spacing w:before="280"/>
      </w:pPr>
      <w:r w:rsidRPr="003D6911">
        <w:tab/>
      </w:r>
      <w:r w:rsidRPr="003D6911">
        <w:tab/>
        <w:t>Communication de l’Association européenne des gaz industriels (EIGA)</w:t>
      </w:r>
      <w:r w:rsidRPr="00B23378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="00B23378" w:rsidRPr="00B23378">
        <w:rPr>
          <w:b w:val="0"/>
          <w:position w:val="6"/>
          <w:sz w:val="20"/>
        </w:rPr>
        <w:t>,</w:t>
      </w:r>
      <w:r w:rsidR="00B23378" w:rsidRPr="00B23378">
        <w:rPr>
          <w:b w:val="0"/>
          <w:sz w:val="20"/>
        </w:rPr>
        <w:t xml:space="preserve"> </w:t>
      </w:r>
      <w:r w:rsidR="00B23378" w:rsidRPr="00B23378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3D6911" w:rsidRPr="003D6911" w:rsidRDefault="003D6911" w:rsidP="00B23378">
      <w:pPr>
        <w:pStyle w:val="HChG"/>
        <w:spacing w:before="280"/>
      </w:pPr>
      <w:r w:rsidRPr="003D6911">
        <w:tab/>
      </w:r>
      <w:r w:rsidRPr="003D6911">
        <w:tab/>
        <w:t>Introduction</w:t>
      </w:r>
    </w:p>
    <w:p w:rsidR="003D6911" w:rsidRPr="003D6911" w:rsidRDefault="003D6911" w:rsidP="006752F6">
      <w:pPr>
        <w:pStyle w:val="SingleTxtG"/>
        <w:numPr>
          <w:ilvl w:val="0"/>
          <w:numId w:val="15"/>
        </w:numPr>
        <w:ind w:left="1134" w:firstLine="0"/>
      </w:pPr>
      <w:r w:rsidRPr="00B23378">
        <w:rPr>
          <w:spacing w:val="-2"/>
        </w:rPr>
        <w:t>À la réunion commune de septembre</w:t>
      </w:r>
      <w:r w:rsidR="00B23378" w:rsidRPr="00B23378">
        <w:rPr>
          <w:spacing w:val="-2"/>
        </w:rPr>
        <w:t xml:space="preserve"> </w:t>
      </w:r>
      <w:r w:rsidRPr="00B23378">
        <w:rPr>
          <w:spacing w:val="-2"/>
        </w:rPr>
        <w:t>2016, le document ECE/TRANS/WP.15/AC.1/</w:t>
      </w:r>
      <w:r w:rsidR="00B23378">
        <w:t xml:space="preserve"> </w:t>
      </w:r>
      <w:r w:rsidRPr="003D6911">
        <w:t>2016/26 a été soumis par l’expert des Pays-Bas. Il y était question d'ajouter,</w:t>
      </w:r>
      <w:r w:rsidR="00B23378">
        <w:t xml:space="preserve"> </w:t>
      </w:r>
      <w:r w:rsidRPr="003D6911">
        <w:t xml:space="preserve">à la fin du </w:t>
      </w:r>
      <w:r w:rsidRPr="00B23378">
        <w:rPr>
          <w:spacing w:val="-2"/>
        </w:rPr>
        <w:t xml:space="preserve">6.8.3.2.9, un nouveau paragraphe libellé comme suit (le texte ajouté est indiqué en </w:t>
      </w:r>
      <w:r w:rsidRPr="00B23378">
        <w:rPr>
          <w:i/>
          <w:spacing w:val="-2"/>
        </w:rPr>
        <w:t>italique</w:t>
      </w:r>
      <w:r w:rsidRPr="00B23378">
        <w:rPr>
          <w:spacing w:val="-2"/>
        </w:rPr>
        <w:t>) :</w:t>
      </w:r>
    </w:p>
    <w:p w:rsidR="003D6911" w:rsidRPr="003D6911" w:rsidRDefault="003D6911" w:rsidP="006752F6">
      <w:pPr>
        <w:pStyle w:val="SingleTxtG"/>
        <w:rPr>
          <w:i/>
        </w:rPr>
      </w:pPr>
      <w:r w:rsidRPr="003D6911">
        <w:rPr>
          <w:i/>
        </w:rPr>
        <w:t>« Les soupapes de sécurité dans lesquelles peut s’accumuler, à la suite d’une pluie ou d’une projection, de l’eau faisant obstacle au fonctionnement correct [lorsque l’eau est gelée] doivent être munies d’un capuchon. Celui-ci ne doit pas accroître sensiblement la pression de vidange ni réduire le flux de vidange. »</w:t>
      </w:r>
      <w:r w:rsidR="00B23378" w:rsidRPr="00B23378">
        <w:t>.</w:t>
      </w:r>
    </w:p>
    <w:p w:rsidR="003D6911" w:rsidRPr="003D6911" w:rsidRDefault="003D6911" w:rsidP="006752F6">
      <w:pPr>
        <w:pStyle w:val="SingleTxtG"/>
        <w:numPr>
          <w:ilvl w:val="0"/>
          <w:numId w:val="15"/>
        </w:numPr>
        <w:ind w:left="1134" w:firstLine="0"/>
      </w:pPr>
      <w:r w:rsidRPr="003D6911">
        <w:t xml:space="preserve">Le Groupe de travail des citernes a examiné cette proposition et, dans son rapport (ECE/TRANS/WP.15/AC.1/144/Add.1), a formulé une proposition visant à modifier le paragraphe ci-dessus comme suit (le texte ajouté est indiqué en </w:t>
      </w:r>
      <w:r w:rsidRPr="003D6911">
        <w:rPr>
          <w:i/>
        </w:rPr>
        <w:t>italique</w:t>
      </w:r>
      <w:r w:rsidRPr="003D6911">
        <w:t>) :</w:t>
      </w:r>
    </w:p>
    <w:p w:rsidR="003D6911" w:rsidRPr="003D6911" w:rsidRDefault="003D6911" w:rsidP="006752F6">
      <w:pPr>
        <w:pStyle w:val="SingleTxtG"/>
        <w:rPr>
          <w:i/>
        </w:rPr>
      </w:pPr>
      <w:r w:rsidRPr="003D6911">
        <w:rPr>
          <w:i/>
        </w:rPr>
        <w:t xml:space="preserve">« Les soupapes de sécurité où, à la suite par exemple d’une pluie ou d’une projection, peut s’accumuler de l’eau faisant obstacle à leur fonctionnement correct, par exemple lorsque </w:t>
      </w:r>
      <w:r w:rsidRPr="003D6911">
        <w:rPr>
          <w:i/>
        </w:rPr>
        <w:lastRenderedPageBreak/>
        <w:t>l’eau gèle, doivent être munies d’un capot de protection. Celui-ci ne doit pas affecter les performances de la soupape. »</w:t>
      </w:r>
      <w:r w:rsidR="00B23378" w:rsidRPr="00B23378">
        <w:t>.</w:t>
      </w:r>
    </w:p>
    <w:p w:rsidR="003D6911" w:rsidRPr="003D6911" w:rsidRDefault="003D6911" w:rsidP="00B23378">
      <w:pPr>
        <w:pStyle w:val="SingleTxtG"/>
        <w:numPr>
          <w:ilvl w:val="0"/>
          <w:numId w:val="15"/>
        </w:numPr>
        <w:spacing w:line="236" w:lineRule="atLeast"/>
        <w:ind w:left="1134" w:firstLine="0"/>
      </w:pPr>
      <w:r w:rsidRPr="003D6911">
        <w:t>L’EIGA, qui craignait que cette proposition ne couvre pas spécifiquement la question des produits de la classe 2 à très basse température, a demandé de pouvoir soumettre une nouvelle proposition à la réunion commune de mars 2017.</w:t>
      </w:r>
    </w:p>
    <w:p w:rsidR="003D6911" w:rsidRPr="003D6911" w:rsidRDefault="003D6911" w:rsidP="00B23378">
      <w:pPr>
        <w:pStyle w:val="HChG"/>
      </w:pPr>
      <w:r w:rsidRPr="003D6911">
        <w:tab/>
      </w:r>
      <w:r w:rsidRPr="003D6911">
        <w:tab/>
        <w:t>Proposition</w:t>
      </w:r>
    </w:p>
    <w:p w:rsidR="003D6911" w:rsidRPr="003D6911" w:rsidRDefault="003D6911" w:rsidP="00B23378">
      <w:pPr>
        <w:pStyle w:val="SingleTxtG"/>
        <w:numPr>
          <w:ilvl w:val="0"/>
          <w:numId w:val="15"/>
        </w:numPr>
        <w:spacing w:line="236" w:lineRule="atLeast"/>
        <w:ind w:left="1134" w:firstLine="0"/>
      </w:pPr>
      <w:r w:rsidRPr="003D6911">
        <w:t xml:space="preserve">Il est suggéré d’ajouter, à la fin du 6.8.3.2.9, un nouveau paragraphe libellé comme suit (le texte ajouté est indiqué en </w:t>
      </w:r>
      <w:r w:rsidRPr="003D6911">
        <w:rPr>
          <w:i/>
        </w:rPr>
        <w:t>italique</w:t>
      </w:r>
      <w:r w:rsidRPr="003D6911">
        <w:t>) :</w:t>
      </w:r>
    </w:p>
    <w:p w:rsidR="003D6911" w:rsidRPr="003D6911" w:rsidRDefault="003D6911" w:rsidP="003D6911">
      <w:pPr>
        <w:pStyle w:val="SingleTxtG"/>
      </w:pPr>
      <w:r w:rsidRPr="003D6911">
        <w:rPr>
          <w:i/>
          <w:iCs/>
        </w:rPr>
        <w:t>« Les soupapes de sécurité où, à la suite par exemple d’une pluie ou d’une projection, peut s’accumuler de l’eau faisant obstacle à leur fonctionnement correct, par exemple lorsque l’eau gèle, doivent être munies d'une protection adaptée contre l’accumulation d’eau, par exemple un capot. Celle-ci ne doit pas affecter les performances de la soupape.</w:t>
      </w:r>
      <w:r w:rsidRPr="003D6911">
        <w:t xml:space="preserve"> </w:t>
      </w:r>
    </w:p>
    <w:p w:rsidR="003D6911" w:rsidRPr="00B23378" w:rsidRDefault="003D6911" w:rsidP="003D6911">
      <w:pPr>
        <w:pStyle w:val="SingleTxtG"/>
        <w:rPr>
          <w:iCs/>
        </w:rPr>
      </w:pPr>
      <w:r w:rsidRPr="003D6911">
        <w:rPr>
          <w:i/>
          <w:iCs/>
        </w:rPr>
        <w:t>Nota : Les soupapes de sécurité des citernes destinées au transport des gaz liquéfiés réfrigérés sont conçues et soumises à l’essai conformément au 6.8.3.2.12 pour que les fluides puissent circuler à des températures cryogéniques sans risque de geler</w:t>
      </w:r>
      <w:r w:rsidR="00B23378">
        <w:rPr>
          <w:i/>
          <w:iCs/>
        </w:rPr>
        <w:t> </w:t>
      </w:r>
      <w:r w:rsidRPr="003D6911">
        <w:rPr>
          <w:i/>
          <w:iCs/>
        </w:rPr>
        <w:t>; il n’est pas nécessaire de les munir d’une protection supplémentaire contre l’accumulation d’eau. »</w:t>
      </w:r>
      <w:r w:rsidR="00B23378">
        <w:rPr>
          <w:iCs/>
        </w:rPr>
        <w:t>.</w:t>
      </w:r>
    </w:p>
    <w:p w:rsidR="003D6911" w:rsidRPr="003D6911" w:rsidRDefault="003D6911" w:rsidP="00B23378">
      <w:pPr>
        <w:pStyle w:val="SingleTxtG"/>
        <w:numPr>
          <w:ilvl w:val="0"/>
          <w:numId w:val="15"/>
        </w:numPr>
        <w:spacing w:line="236" w:lineRule="atLeast"/>
        <w:ind w:left="1134" w:firstLine="0"/>
        <w:rPr>
          <w:i/>
          <w:iCs/>
        </w:rPr>
      </w:pPr>
      <w:r w:rsidRPr="003D6911">
        <w:t xml:space="preserve">Ajouter, aux 1.6.3 et 1.6.4, une nouvelle mesure transitoire libellée comme suit : 1.6.3x/4y, (le texte ajouté est indiqué en </w:t>
      </w:r>
      <w:r w:rsidRPr="003D6911">
        <w:rPr>
          <w:i/>
        </w:rPr>
        <w:t>italique</w:t>
      </w:r>
      <w:r w:rsidRPr="003D6911">
        <w:t>) :</w:t>
      </w:r>
    </w:p>
    <w:p w:rsidR="003D6911" w:rsidRPr="00B23378" w:rsidRDefault="003D6911" w:rsidP="003D6911">
      <w:pPr>
        <w:pStyle w:val="SingleTxtG"/>
      </w:pPr>
      <w:r w:rsidRPr="003D6911">
        <w:rPr>
          <w:i/>
        </w:rPr>
        <w:t>« Les soupapes de sécurité répondant aux prescriptions applicables jusqu’au 31 décembre 2018, mais qui ne satisfont pas aux prescriptions du 6.8.3.2.9 concernant la protection adaptée applicables à partir du 1</w:t>
      </w:r>
      <w:r w:rsidRPr="003D6911">
        <w:rPr>
          <w:i/>
          <w:vertAlign w:val="superscript"/>
        </w:rPr>
        <w:t>er</w:t>
      </w:r>
      <w:r w:rsidRPr="003D6911">
        <w:rPr>
          <w:i/>
        </w:rPr>
        <w:t> janvier 2019, pourront continuer à être utilisées [jusqu’au prochain contrôle intermédiaire ou périodique devant avoir lieu après le 1</w:t>
      </w:r>
      <w:r w:rsidRPr="003D6911">
        <w:rPr>
          <w:i/>
          <w:vertAlign w:val="superscript"/>
        </w:rPr>
        <w:t>er</w:t>
      </w:r>
      <w:r w:rsidR="00B23378">
        <w:rPr>
          <w:i/>
        </w:rPr>
        <w:t> </w:t>
      </w:r>
      <w:r w:rsidRPr="003D6911">
        <w:rPr>
          <w:i/>
        </w:rPr>
        <w:t>juillet 2019]. »</w:t>
      </w:r>
      <w:r w:rsidR="00B23378">
        <w:t>.</w:t>
      </w:r>
    </w:p>
    <w:p w:rsidR="003D6911" w:rsidRPr="003D6911" w:rsidRDefault="003D6911" w:rsidP="00B23378">
      <w:pPr>
        <w:pStyle w:val="HChG"/>
      </w:pPr>
      <w:r w:rsidRPr="003D6911">
        <w:tab/>
      </w:r>
      <w:r w:rsidRPr="003D6911">
        <w:tab/>
        <w:t>Justification</w:t>
      </w:r>
    </w:p>
    <w:p w:rsidR="003D6911" w:rsidRDefault="003D6911" w:rsidP="00B23378">
      <w:pPr>
        <w:pStyle w:val="SingleTxtG"/>
        <w:numPr>
          <w:ilvl w:val="0"/>
          <w:numId w:val="15"/>
        </w:numPr>
        <w:spacing w:line="236" w:lineRule="atLeast"/>
        <w:ind w:left="1134" w:firstLine="0"/>
      </w:pPr>
      <w:r w:rsidRPr="003D6911">
        <w:t>Ce texte révisé permet de prendre en considération les préoccupations liées spécifiquement aux gaz liquéfiés réfrigérés, tout en tenant compte des points soulevés dans le document ECE/TRANS/WP.15/AC.1/2016/26.</w:t>
      </w:r>
    </w:p>
    <w:p w:rsidR="003D6911" w:rsidRPr="003D6911" w:rsidRDefault="003D6911" w:rsidP="003D69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6911" w:rsidRPr="003D6911" w:rsidSect="003D69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31" w:rsidRDefault="00BC5131" w:rsidP="00F95C08">
      <w:pPr>
        <w:spacing w:line="240" w:lineRule="auto"/>
      </w:pPr>
    </w:p>
  </w:endnote>
  <w:endnote w:type="continuationSeparator" w:id="0">
    <w:p w:rsidR="00BC5131" w:rsidRPr="00AC3823" w:rsidRDefault="00BC5131" w:rsidP="00AC3823">
      <w:pPr>
        <w:pStyle w:val="Pieddepage"/>
      </w:pPr>
    </w:p>
  </w:endnote>
  <w:endnote w:type="continuationNotice" w:id="1">
    <w:p w:rsidR="00BC5131" w:rsidRDefault="00BC51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1" w:rsidRPr="003D6911" w:rsidRDefault="0004361C" w:rsidP="003D6911">
    <w:pPr>
      <w:pStyle w:val="Pieddepage"/>
      <w:tabs>
        <w:tab w:val="right" w:pos="9638"/>
      </w:tabs>
    </w:pPr>
    <w:r w:rsidRPr="003D6911">
      <w:rPr>
        <w:b/>
        <w:sz w:val="18"/>
      </w:rPr>
      <w:fldChar w:fldCharType="begin"/>
    </w:r>
    <w:r w:rsidR="003D6911" w:rsidRPr="003D6911">
      <w:rPr>
        <w:b/>
        <w:sz w:val="18"/>
      </w:rPr>
      <w:instrText xml:space="preserve"> PAGE  \* MERGEFORMAT </w:instrText>
    </w:r>
    <w:r w:rsidRPr="003D6911">
      <w:rPr>
        <w:b/>
        <w:sz w:val="18"/>
      </w:rPr>
      <w:fldChar w:fldCharType="separate"/>
    </w:r>
    <w:r w:rsidR="00995D0A">
      <w:rPr>
        <w:b/>
        <w:noProof/>
        <w:sz w:val="18"/>
      </w:rPr>
      <w:t>2</w:t>
    </w:r>
    <w:r w:rsidRPr="003D6911">
      <w:rPr>
        <w:b/>
        <w:sz w:val="18"/>
      </w:rPr>
      <w:fldChar w:fldCharType="end"/>
    </w:r>
    <w:r w:rsidR="003D6911">
      <w:rPr>
        <w:b/>
        <w:sz w:val="18"/>
      </w:rPr>
      <w:tab/>
    </w:r>
    <w:r w:rsidR="003D6911">
      <w:t>GE.16-22617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1" w:rsidRPr="003D6911" w:rsidRDefault="003D6911" w:rsidP="003D6911">
    <w:pPr>
      <w:pStyle w:val="Pieddepage"/>
      <w:tabs>
        <w:tab w:val="right" w:pos="9638"/>
      </w:tabs>
      <w:rPr>
        <w:b/>
        <w:sz w:val="18"/>
      </w:rPr>
    </w:pPr>
    <w:r>
      <w:t>GE.16-22617</w:t>
    </w:r>
    <w:r>
      <w:tab/>
    </w:r>
    <w:r w:rsidR="0004361C" w:rsidRPr="003D6911">
      <w:rPr>
        <w:b/>
        <w:sz w:val="18"/>
      </w:rPr>
      <w:fldChar w:fldCharType="begin"/>
    </w:r>
    <w:r w:rsidRPr="003D6911">
      <w:rPr>
        <w:b/>
        <w:sz w:val="18"/>
      </w:rPr>
      <w:instrText xml:space="preserve"> PAGE  \* MERGEFORMAT </w:instrText>
    </w:r>
    <w:r w:rsidR="0004361C" w:rsidRPr="003D6911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04361C" w:rsidRPr="003D6911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3D6911" w:rsidRDefault="003D6911" w:rsidP="003D691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16-22617  (F)    090217    090217</w:t>
    </w:r>
    <w:r>
      <w:rPr>
        <w:sz w:val="20"/>
      </w:rPr>
      <w:br/>
    </w:r>
    <w:r w:rsidRPr="003D6911">
      <w:rPr>
        <w:rFonts w:ascii="C39T30Lfz" w:hAnsi="C39T30Lfz"/>
        <w:sz w:val="56"/>
      </w:rPr>
      <w:t></w:t>
    </w:r>
    <w:r w:rsidRPr="003D6911">
      <w:rPr>
        <w:rFonts w:ascii="C39T30Lfz" w:hAnsi="C39T30Lfz"/>
        <w:sz w:val="56"/>
      </w:rPr>
      <w:t></w:t>
    </w:r>
    <w:r w:rsidRPr="003D6911">
      <w:rPr>
        <w:rFonts w:ascii="C39T30Lfz" w:hAnsi="C39T30Lfz"/>
        <w:sz w:val="56"/>
      </w:rPr>
      <w:t></w:t>
    </w:r>
    <w:r w:rsidRPr="003D6911">
      <w:rPr>
        <w:rFonts w:ascii="C39T30Lfz" w:hAnsi="C39T30Lfz"/>
        <w:sz w:val="56"/>
      </w:rPr>
      <w:t></w:t>
    </w:r>
    <w:r w:rsidRPr="003D6911">
      <w:rPr>
        <w:rFonts w:ascii="C39T30Lfz" w:hAnsi="C39T30Lfz"/>
        <w:sz w:val="56"/>
      </w:rPr>
      <w:t></w:t>
    </w:r>
    <w:r w:rsidRPr="003D6911">
      <w:rPr>
        <w:rFonts w:ascii="C39T30Lfz" w:hAnsi="C39T30Lfz"/>
        <w:sz w:val="56"/>
      </w:rPr>
      <w:t></w:t>
    </w:r>
    <w:r w:rsidRPr="003D6911">
      <w:rPr>
        <w:rFonts w:ascii="C39T30Lfz" w:hAnsi="C39T30Lfz"/>
        <w:sz w:val="56"/>
      </w:rPr>
      <w:t></w:t>
    </w:r>
    <w:r w:rsidRPr="003D6911">
      <w:rPr>
        <w:rFonts w:ascii="C39T30Lfz" w:hAnsi="C39T30Lfz"/>
        <w:sz w:val="56"/>
      </w:rPr>
      <w:t></w:t>
    </w:r>
    <w:r w:rsidRPr="003D6911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7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31" w:rsidRPr="00AC3823" w:rsidRDefault="00BC513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5131" w:rsidRPr="00AC3823" w:rsidRDefault="00BC513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C5131" w:rsidRPr="00AC3823" w:rsidRDefault="00BC5131">
      <w:pPr>
        <w:spacing w:line="240" w:lineRule="auto"/>
        <w:rPr>
          <w:sz w:val="2"/>
          <w:szCs w:val="2"/>
        </w:rPr>
      </w:pPr>
    </w:p>
  </w:footnote>
  <w:footnote w:id="2">
    <w:p w:rsidR="003D6911" w:rsidRPr="003D6911" w:rsidRDefault="003D6911">
      <w:pPr>
        <w:pStyle w:val="Notedebasdepage"/>
      </w:pPr>
      <w:r>
        <w:rPr>
          <w:rStyle w:val="Appelnotedebasdep"/>
        </w:rPr>
        <w:tab/>
      </w:r>
      <w:r w:rsidRPr="003D691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Conformément au programme de travail du Comité des transports intérieurs pour 2016-2017 (ECE/TRANS/2016/28/Add.1 (9.2)).</w:t>
      </w:r>
    </w:p>
  </w:footnote>
  <w:footnote w:id="3">
    <w:p w:rsidR="00B23378" w:rsidRPr="00B23378" w:rsidRDefault="00B23378">
      <w:pPr>
        <w:pStyle w:val="Notedebasdepage"/>
      </w:pPr>
      <w:r>
        <w:rPr>
          <w:rStyle w:val="Appelnotedebasdep"/>
        </w:rPr>
        <w:tab/>
      </w:r>
      <w:r w:rsidRPr="00B2337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="00753511">
        <w:t xml:space="preserve">Diffusée par l’Organisation intergouvernementale pour les transports internationaux ferroviaires (OTIF) sous la cote </w:t>
      </w:r>
      <w:r w:rsidR="00753511">
        <w:t>OTIF/RID/RC/2017/13.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1" w:rsidRPr="003D6911" w:rsidRDefault="003D6911">
    <w:pPr>
      <w:pStyle w:val="En-tte"/>
    </w:pPr>
    <w:r>
      <w:t>ECE/TRANS/WP.15/AC.1/2017/13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1" w:rsidRPr="003D6911" w:rsidRDefault="003D6911" w:rsidP="003D6911">
    <w:pPr>
      <w:pStyle w:val="En-tte"/>
      <w:jc w:val="right"/>
    </w:pPr>
    <w:r>
      <w:t>ECE/TRANS/WP.15/AC.1/2017/13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556603DF"/>
    <w:multiLevelType w:val="hybridMultilevel"/>
    <w:tmpl w:val="5B8A4532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69F65E79"/>
    <w:multiLevelType w:val="hybridMultilevel"/>
    <w:tmpl w:val="8320FE94"/>
    <w:lvl w:ilvl="0" w:tplc="13505146">
      <w:start w:val="1"/>
      <w:numFmt w:val="decimal"/>
      <w:lvlText w:val="%1."/>
      <w:lvlJc w:val="left"/>
      <w:pPr>
        <w:ind w:left="1689" w:hanging="555"/>
      </w:pPr>
      <w:rPr>
        <w:rFonts w:ascii="Times New Roman" w:hAnsi="Times New Roman" w:cs="Times New Roman"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510158"/>
    <w:rsid w:val="00017F94"/>
    <w:rsid w:val="00023842"/>
    <w:rsid w:val="000334F9"/>
    <w:rsid w:val="0004361C"/>
    <w:rsid w:val="0007796D"/>
    <w:rsid w:val="000B7790"/>
    <w:rsid w:val="00111F2F"/>
    <w:rsid w:val="0014365E"/>
    <w:rsid w:val="00143C66"/>
    <w:rsid w:val="00176178"/>
    <w:rsid w:val="001E6D41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6911"/>
    <w:rsid w:val="00441C3B"/>
    <w:rsid w:val="00446FE5"/>
    <w:rsid w:val="00452396"/>
    <w:rsid w:val="004837D8"/>
    <w:rsid w:val="004E468C"/>
    <w:rsid w:val="00510158"/>
    <w:rsid w:val="005505B7"/>
    <w:rsid w:val="00573BE5"/>
    <w:rsid w:val="00586ED3"/>
    <w:rsid w:val="00596AA9"/>
    <w:rsid w:val="006551AD"/>
    <w:rsid w:val="006752F6"/>
    <w:rsid w:val="0071601D"/>
    <w:rsid w:val="00753511"/>
    <w:rsid w:val="007A62E6"/>
    <w:rsid w:val="007F20FA"/>
    <w:rsid w:val="0080684C"/>
    <w:rsid w:val="00871C75"/>
    <w:rsid w:val="008776DC"/>
    <w:rsid w:val="009705C8"/>
    <w:rsid w:val="00995D0A"/>
    <w:rsid w:val="009C1CF4"/>
    <w:rsid w:val="009F6B74"/>
    <w:rsid w:val="00A16804"/>
    <w:rsid w:val="00A30353"/>
    <w:rsid w:val="00AC3823"/>
    <w:rsid w:val="00AE323C"/>
    <w:rsid w:val="00AF0CB5"/>
    <w:rsid w:val="00B00181"/>
    <w:rsid w:val="00B00B0D"/>
    <w:rsid w:val="00B23378"/>
    <w:rsid w:val="00B765F7"/>
    <w:rsid w:val="00BA0CA9"/>
    <w:rsid w:val="00BC5131"/>
    <w:rsid w:val="00C02897"/>
    <w:rsid w:val="00C15BB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ECE/TRANS/WP.15/AC.1/2017/13</vt:lpstr>
    </vt:vector>
  </TitlesOfParts>
  <Company>DCM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ECE/TRANS/WP.15/AC.1/2017/13</dc:title>
  <dc:subject>Final</dc:subject>
  <dc:creator>Fabienne Crelier</dc:creator>
  <cp:lastModifiedBy>Maison</cp:lastModifiedBy>
  <cp:revision>3</cp:revision>
  <cp:lastPrinted>2017-02-09T10:59:00Z</cp:lastPrinted>
  <dcterms:created xsi:type="dcterms:W3CDTF">2017-02-14T13:37:00Z</dcterms:created>
  <dcterms:modified xsi:type="dcterms:W3CDTF">2017-02-14T13:37:00Z</dcterms:modified>
</cp:coreProperties>
</file>