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C86E25" w14:paraId="177BC6C2" w14:textId="77777777" w:rsidTr="00953AD2">
        <w:trPr>
          <w:trHeight w:hRule="exact" w:val="851"/>
        </w:trPr>
        <w:tc>
          <w:tcPr>
            <w:tcW w:w="1276" w:type="dxa"/>
            <w:tcBorders>
              <w:bottom w:val="single" w:sz="4" w:space="0" w:color="auto"/>
            </w:tcBorders>
          </w:tcPr>
          <w:p w14:paraId="56FBE70D" w14:textId="77777777" w:rsidR="003D1DF3" w:rsidRPr="00367E6A" w:rsidRDefault="003D1DF3" w:rsidP="00F01516">
            <w:pPr>
              <w:rPr>
                <w:lang w:val="fr-FR"/>
              </w:rPr>
            </w:pPr>
          </w:p>
        </w:tc>
        <w:tc>
          <w:tcPr>
            <w:tcW w:w="2268" w:type="dxa"/>
            <w:tcBorders>
              <w:bottom w:val="single" w:sz="4" w:space="0" w:color="auto"/>
            </w:tcBorders>
            <w:vAlign w:val="bottom"/>
          </w:tcPr>
          <w:p w14:paraId="18DBCC65" w14:textId="77777777" w:rsidR="003D1DF3" w:rsidRPr="00367E6A" w:rsidRDefault="003D1DF3" w:rsidP="00F01516">
            <w:pPr>
              <w:spacing w:after="80" w:line="300" w:lineRule="exact"/>
              <w:rPr>
                <w:sz w:val="28"/>
                <w:lang w:val="fr-FR"/>
              </w:rPr>
            </w:pPr>
            <w:r w:rsidRPr="00367E6A">
              <w:rPr>
                <w:sz w:val="28"/>
                <w:lang w:val="fr-FR"/>
              </w:rPr>
              <w:t>Nations Unies</w:t>
            </w:r>
          </w:p>
        </w:tc>
        <w:tc>
          <w:tcPr>
            <w:tcW w:w="6095" w:type="dxa"/>
            <w:gridSpan w:val="2"/>
            <w:tcBorders>
              <w:bottom w:val="single" w:sz="4" w:space="0" w:color="auto"/>
            </w:tcBorders>
            <w:vAlign w:val="bottom"/>
          </w:tcPr>
          <w:p w14:paraId="433D087F" w14:textId="77777777" w:rsidR="003D1DF3" w:rsidRPr="002320B1" w:rsidRDefault="00953AD2" w:rsidP="00953AD2">
            <w:pPr>
              <w:jc w:val="right"/>
              <w:rPr>
                <w:lang w:val="en-GB"/>
              </w:rPr>
            </w:pPr>
            <w:r w:rsidRPr="002320B1">
              <w:rPr>
                <w:sz w:val="40"/>
                <w:lang w:val="en-GB"/>
              </w:rPr>
              <w:t>ECE</w:t>
            </w:r>
            <w:r w:rsidRPr="002320B1">
              <w:rPr>
                <w:lang w:val="en-GB"/>
              </w:rPr>
              <w:t>/TRANS/WP.15/AC.1/148/Add.1</w:t>
            </w:r>
          </w:p>
        </w:tc>
      </w:tr>
      <w:tr w:rsidR="003D1DF3" w:rsidRPr="00367E6A" w14:paraId="5A4E0778" w14:textId="77777777" w:rsidTr="00F01516">
        <w:trPr>
          <w:trHeight w:hRule="exact" w:val="2835"/>
        </w:trPr>
        <w:tc>
          <w:tcPr>
            <w:tcW w:w="1276" w:type="dxa"/>
            <w:tcBorders>
              <w:top w:val="single" w:sz="4" w:space="0" w:color="auto"/>
              <w:bottom w:val="single" w:sz="12" w:space="0" w:color="auto"/>
            </w:tcBorders>
          </w:tcPr>
          <w:p w14:paraId="0284B30F" w14:textId="77777777" w:rsidR="003D1DF3" w:rsidRPr="00367E6A" w:rsidRDefault="00367E6A" w:rsidP="00F01516">
            <w:pPr>
              <w:spacing w:before="120"/>
              <w:jc w:val="center"/>
              <w:rPr>
                <w:lang w:val="fr-FR"/>
              </w:rPr>
            </w:pPr>
            <w:r>
              <w:rPr>
                <w:noProof/>
                <w:lang w:val="en-GB" w:eastAsia="en-GB"/>
              </w:rPr>
              <w:drawing>
                <wp:inline distT="0" distB="0" distL="0" distR="0" wp14:anchorId="349A1FB7" wp14:editId="17BF8068">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D5EADD" w14:textId="77777777"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14:paraId="24A004C5" w14:textId="77777777" w:rsidR="003D1DF3" w:rsidRDefault="00953AD2" w:rsidP="00953AD2">
            <w:pPr>
              <w:spacing w:before="240" w:line="240" w:lineRule="exact"/>
              <w:rPr>
                <w:lang w:val="fr-FR"/>
              </w:rPr>
            </w:pPr>
            <w:r>
              <w:rPr>
                <w:lang w:val="fr-FR"/>
              </w:rPr>
              <w:t>Distr. Générale</w:t>
            </w:r>
          </w:p>
          <w:p w14:paraId="29E3B3F0" w14:textId="4CE42A32" w:rsidR="00953AD2" w:rsidRDefault="001904ED" w:rsidP="00953AD2">
            <w:pPr>
              <w:spacing w:line="240" w:lineRule="exact"/>
              <w:rPr>
                <w:lang w:val="fr-FR"/>
              </w:rPr>
            </w:pPr>
            <w:r>
              <w:rPr>
                <w:lang w:val="fr-FR"/>
              </w:rPr>
              <w:t>20</w:t>
            </w:r>
            <w:r w:rsidR="00953AD2">
              <w:rPr>
                <w:lang w:val="fr-FR"/>
              </w:rPr>
              <w:t xml:space="preserve"> octobre 2017</w:t>
            </w:r>
          </w:p>
          <w:p w14:paraId="1F7AC4C6" w14:textId="77777777" w:rsidR="00953AD2" w:rsidRDefault="00953AD2" w:rsidP="00953AD2">
            <w:pPr>
              <w:spacing w:line="240" w:lineRule="exact"/>
              <w:rPr>
                <w:lang w:val="fr-FR"/>
              </w:rPr>
            </w:pPr>
            <w:r>
              <w:rPr>
                <w:lang w:val="fr-FR"/>
              </w:rPr>
              <w:t>Français</w:t>
            </w:r>
          </w:p>
          <w:p w14:paraId="43DB9774" w14:textId="77777777" w:rsidR="00953AD2" w:rsidRPr="00367E6A" w:rsidRDefault="00953AD2" w:rsidP="00953AD2">
            <w:pPr>
              <w:spacing w:line="240" w:lineRule="exact"/>
              <w:rPr>
                <w:lang w:val="fr-FR"/>
              </w:rPr>
            </w:pPr>
            <w:r>
              <w:rPr>
                <w:lang w:val="fr-FR"/>
              </w:rPr>
              <w:t xml:space="preserve">Original: anglais et français </w:t>
            </w:r>
          </w:p>
        </w:tc>
      </w:tr>
    </w:tbl>
    <w:p w14:paraId="7E81679F" w14:textId="77777777" w:rsidR="00953AD2" w:rsidRPr="00367E6A" w:rsidRDefault="00953AD2" w:rsidP="00953AD2">
      <w:pPr>
        <w:spacing w:before="120"/>
        <w:rPr>
          <w:b/>
          <w:sz w:val="28"/>
          <w:szCs w:val="28"/>
          <w:lang w:val="fr-FR"/>
        </w:rPr>
      </w:pPr>
      <w:r w:rsidRPr="00367E6A">
        <w:rPr>
          <w:b/>
          <w:sz w:val="28"/>
          <w:szCs w:val="28"/>
          <w:lang w:val="fr-FR"/>
        </w:rPr>
        <w:t>Commission économique pour l’Europe</w:t>
      </w:r>
    </w:p>
    <w:p w14:paraId="45714795" w14:textId="77777777" w:rsidR="00953AD2" w:rsidRPr="00367E6A" w:rsidRDefault="00953AD2" w:rsidP="00953AD2">
      <w:pPr>
        <w:spacing w:before="120"/>
        <w:rPr>
          <w:sz w:val="28"/>
          <w:szCs w:val="28"/>
          <w:lang w:val="fr-FR"/>
        </w:rPr>
      </w:pPr>
      <w:r w:rsidRPr="00367E6A">
        <w:rPr>
          <w:sz w:val="28"/>
          <w:szCs w:val="28"/>
          <w:lang w:val="fr-FR"/>
        </w:rPr>
        <w:t>Comité des transports intérieurs</w:t>
      </w:r>
    </w:p>
    <w:p w14:paraId="25D3ECAE" w14:textId="77777777" w:rsidR="00953AD2" w:rsidRPr="00367E6A" w:rsidRDefault="00953AD2" w:rsidP="00953AD2">
      <w:pPr>
        <w:spacing w:before="120"/>
        <w:rPr>
          <w:b/>
          <w:sz w:val="24"/>
          <w:szCs w:val="24"/>
          <w:lang w:val="fr-FR"/>
        </w:rPr>
      </w:pPr>
      <w:r w:rsidRPr="00367E6A">
        <w:rPr>
          <w:b/>
          <w:sz w:val="24"/>
          <w:szCs w:val="24"/>
          <w:lang w:val="fr-FR"/>
        </w:rPr>
        <w:t>Groupe de travail des transports de marchandises dangereuses</w:t>
      </w:r>
    </w:p>
    <w:p w14:paraId="4E2BA8F9" w14:textId="77777777" w:rsidR="00953AD2" w:rsidRPr="00884179" w:rsidRDefault="00953AD2" w:rsidP="00953AD2">
      <w:pPr>
        <w:spacing w:before="120"/>
        <w:rPr>
          <w:b/>
          <w:lang w:val="fr-FR"/>
        </w:rPr>
      </w:pPr>
      <w:r w:rsidRPr="00884179">
        <w:rPr>
          <w:b/>
          <w:lang w:val="fr-FR"/>
        </w:rPr>
        <w:t>Réunion commune de la Commission d’experts</w:t>
      </w:r>
      <w:r w:rsidRPr="00884179">
        <w:rPr>
          <w:b/>
          <w:lang w:val="fr-FR"/>
        </w:rPr>
        <w:br/>
        <w:t>du RID et du Groupe de travail des transports</w:t>
      </w:r>
      <w:r w:rsidRPr="00884179">
        <w:rPr>
          <w:b/>
          <w:lang w:val="fr-FR"/>
        </w:rPr>
        <w:br/>
        <w:t>de marchandises dangereuses</w:t>
      </w:r>
    </w:p>
    <w:p w14:paraId="7BFE4985" w14:textId="4009F875" w:rsidR="00953AD2" w:rsidRPr="00FE33F3" w:rsidRDefault="00953AD2" w:rsidP="00953AD2">
      <w:pPr>
        <w:pStyle w:val="HChG"/>
        <w:rPr>
          <w:b w:val="0"/>
        </w:rPr>
      </w:pPr>
      <w:r w:rsidRPr="00144F2B">
        <w:rPr>
          <w:bCs/>
        </w:rPr>
        <w:tab/>
      </w:r>
      <w:r w:rsidRPr="00144F2B">
        <w:rPr>
          <w:bCs/>
        </w:rPr>
        <w:tab/>
        <w:t xml:space="preserve">Rapport de la Réunion commune de la Commission d'experts du RID et du Groupe de travail des transports de marchandises dangereuses sur sa session </w:t>
      </w:r>
      <w:r>
        <w:rPr>
          <w:bCs/>
        </w:rPr>
        <w:t>d’automne 2017</w:t>
      </w:r>
      <w:r w:rsidR="002320B1" w:rsidRPr="002320B1">
        <w:rPr>
          <w:rStyle w:val="FootnoteReference"/>
          <w:bCs/>
          <w:sz w:val="20"/>
        </w:rPr>
        <w:footnoteReference w:customMarkFollows="1" w:id="2"/>
        <w:t>*</w:t>
      </w:r>
    </w:p>
    <w:p w14:paraId="65577730" w14:textId="77777777" w:rsidR="00953AD2" w:rsidRPr="00144F2B" w:rsidRDefault="00953AD2" w:rsidP="00953AD2">
      <w:pPr>
        <w:pStyle w:val="H56G"/>
      </w:pPr>
      <w:r w:rsidRPr="00144F2B">
        <w:tab/>
      </w:r>
      <w:r w:rsidRPr="00144F2B">
        <w:tab/>
        <w:t xml:space="preserve">tenue à </w:t>
      </w:r>
      <w:r>
        <w:t>Genève</w:t>
      </w:r>
      <w:r w:rsidRPr="00144F2B">
        <w:t xml:space="preserve"> du </w:t>
      </w:r>
      <w:r>
        <w:t>19 au 29 septembre</w:t>
      </w:r>
      <w:r w:rsidRPr="00144F2B">
        <w:t xml:space="preserve"> </w:t>
      </w:r>
      <w:r>
        <w:t>2017</w:t>
      </w:r>
    </w:p>
    <w:p w14:paraId="678460A6" w14:textId="5DC5F17E" w:rsidR="00953AD2" w:rsidRDefault="00953AD2" w:rsidP="00953AD2">
      <w:pPr>
        <w:pStyle w:val="H23G"/>
      </w:pPr>
      <w:r>
        <w:tab/>
      </w:r>
      <w:r>
        <w:tab/>
        <w:t>Additif</w:t>
      </w:r>
      <w:r w:rsidR="002320B1" w:rsidRPr="002320B1">
        <w:rPr>
          <w:rStyle w:val="FootnoteReference"/>
          <w:sz w:val="20"/>
        </w:rPr>
        <w:footnoteReference w:customMarkFollows="1" w:id="3"/>
        <w:t>**</w:t>
      </w:r>
    </w:p>
    <w:p w14:paraId="2F655651" w14:textId="77777777" w:rsidR="001904ED" w:rsidRDefault="001904ED" w:rsidP="001904ED">
      <w:pPr>
        <w:suppressAutoHyphens w:val="0"/>
        <w:spacing w:line="240" w:lineRule="auto"/>
        <w:rPr>
          <w:b/>
          <w:sz w:val="28"/>
          <w:lang w:val="fr-FR"/>
        </w:rPr>
      </w:pPr>
      <w:r>
        <w:rPr>
          <w:lang w:val="fr-FR"/>
        </w:rPr>
        <w:br w:type="page"/>
      </w:r>
    </w:p>
    <w:p w14:paraId="5C7CB5F1" w14:textId="1241C901" w:rsidR="00953AD2" w:rsidRDefault="00953AD2" w:rsidP="00953AD2">
      <w:pPr>
        <w:pStyle w:val="HChG"/>
        <w:rPr>
          <w:lang w:val="fr-FR"/>
        </w:rPr>
      </w:pPr>
      <w:r>
        <w:rPr>
          <w:lang w:val="fr-FR"/>
        </w:rPr>
        <w:lastRenderedPageBreak/>
        <w:tab/>
        <w:t>Annexe I</w:t>
      </w:r>
    </w:p>
    <w:p w14:paraId="375CBF22" w14:textId="7E7CC2F4" w:rsidR="00953AD2" w:rsidRDefault="00953AD2" w:rsidP="00953AD2">
      <w:pPr>
        <w:pStyle w:val="HChG"/>
        <w:keepNext w:val="0"/>
        <w:keepLines w:val="0"/>
        <w:rPr>
          <w:lang w:val="fr-FR"/>
        </w:rPr>
      </w:pPr>
      <w:r>
        <w:rPr>
          <w:lang w:val="fr-FR"/>
        </w:rPr>
        <w:tab/>
      </w:r>
      <w:r>
        <w:rPr>
          <w:lang w:val="fr-FR"/>
        </w:rPr>
        <w:tab/>
        <w:t>Projet d’amendements au RID, ADR et ADN pour entrée</w:t>
      </w:r>
      <w:r w:rsidR="00636A7D">
        <w:rPr>
          <w:lang w:val="fr-FR"/>
        </w:rPr>
        <w:t xml:space="preserve"> en vigueur le 1er janvier 2019</w:t>
      </w:r>
    </w:p>
    <w:p w14:paraId="2E4B27E1" w14:textId="7719F209" w:rsidR="007A7A2C" w:rsidRPr="001904ED" w:rsidRDefault="001904ED" w:rsidP="001904ED">
      <w:pPr>
        <w:pStyle w:val="H1G"/>
      </w:pPr>
      <w:r>
        <w:tab/>
      </w:r>
      <w:r>
        <w:tab/>
      </w:r>
      <w:r w:rsidR="007A7A2C" w:rsidRPr="001904ED">
        <w:t>Chapitre 1.1</w:t>
      </w:r>
    </w:p>
    <w:p w14:paraId="1445AB6C" w14:textId="581E668F" w:rsidR="00DE6122" w:rsidRDefault="00DE6122" w:rsidP="00DE6122">
      <w:pPr>
        <w:pStyle w:val="SingleTxtG"/>
      </w:pPr>
      <w:r w:rsidRPr="001D430E">
        <w:t>1.1.3.6</w:t>
      </w:r>
      <w:r w:rsidRPr="001D430E">
        <w:tab/>
      </w:r>
      <w:r w:rsidR="000215B0">
        <w:t>.3</w:t>
      </w:r>
      <w:r w:rsidRPr="001D430E">
        <w:tab/>
        <w:t>Dans le texte après le tableau, au premier tiret, remplacer « masse brute en</w:t>
      </w:r>
      <w:r w:rsidRPr="00205B7C">
        <w:t xml:space="preserve"> kilogrammes</w:t>
      </w:r>
      <w:r>
        <w:t> </w:t>
      </w:r>
      <w:r w:rsidRPr="00205B7C">
        <w:t>»</w:t>
      </w:r>
      <w:r>
        <w:t xml:space="preserve"> par « </w:t>
      </w:r>
      <w:r w:rsidRPr="00205B7C">
        <w:t xml:space="preserve">masse totale en kilogrammes des </w:t>
      </w:r>
      <w:r>
        <w:t>objets</w:t>
      </w:r>
      <w:r w:rsidRPr="00205B7C">
        <w:t xml:space="preserve"> sans leur</w:t>
      </w:r>
      <w:r w:rsidR="00554220">
        <w:t>s</w:t>
      </w:r>
      <w:r w:rsidRPr="00205B7C">
        <w:t xml:space="preserve"> emballage</w:t>
      </w:r>
      <w:r w:rsidR="00554220">
        <w:t>s</w:t>
      </w:r>
      <w:r>
        <w:t> ».</w:t>
      </w:r>
    </w:p>
    <w:p w14:paraId="4FCE090D" w14:textId="77777777" w:rsidR="00DE6122" w:rsidRDefault="00DE6122" w:rsidP="00DE6122">
      <w:pPr>
        <w:pStyle w:val="SingleTxtG"/>
        <w:rPr>
          <w:i/>
          <w:lang w:val="fr-FR"/>
        </w:rPr>
      </w:pPr>
      <w:r>
        <w:rPr>
          <w:i/>
          <w:lang w:val="fr-FR"/>
        </w:rPr>
        <w:t>(Document de référence : ECE/TRANS/WP.15/AC.1/2017/37, option 2 tel que modifiée)</w:t>
      </w:r>
    </w:p>
    <w:p w14:paraId="2E3E281E" w14:textId="77777777" w:rsidR="007A7A2C" w:rsidRDefault="007A7A2C" w:rsidP="007A7A2C">
      <w:pPr>
        <w:pStyle w:val="SingleTxtG"/>
        <w:rPr>
          <w:lang w:val="fr-FR"/>
        </w:rPr>
      </w:pPr>
      <w:r>
        <w:rPr>
          <w:lang w:val="fr-FR"/>
        </w:rPr>
        <w:t>1.1.4.3</w:t>
      </w:r>
      <w:r>
        <w:rPr>
          <w:lang w:val="fr-FR"/>
        </w:rPr>
        <w:tab/>
      </w:r>
      <w:r w:rsidR="00DE6122">
        <w:rPr>
          <w:lang w:val="fr-FR"/>
        </w:rPr>
        <w:tab/>
      </w:r>
      <w:r>
        <w:rPr>
          <w:lang w:val="fr-FR"/>
        </w:rPr>
        <w:t>Dans la note de bas de page, remplacer « </w:t>
      </w:r>
      <w:r w:rsidRPr="003F5188">
        <w:t>DSC/Circ.12 (et ses rectificatifs)</w:t>
      </w:r>
      <w:r>
        <w:t> » par « CCC.1/Circ.3 »</w:t>
      </w:r>
    </w:p>
    <w:p w14:paraId="2195CC0F" w14:textId="10BE1672" w:rsidR="007A7A2C" w:rsidRDefault="007A7A2C" w:rsidP="007A7A2C">
      <w:pPr>
        <w:pStyle w:val="SingleTxtG"/>
        <w:rPr>
          <w:i/>
          <w:lang w:val="fr-FR"/>
        </w:rPr>
      </w:pPr>
      <w:r w:rsidRPr="001A6707">
        <w:rPr>
          <w:i/>
          <w:lang w:val="fr-FR"/>
        </w:rPr>
        <w:t>(Document de référence : document informel INF.14)</w:t>
      </w:r>
    </w:p>
    <w:p w14:paraId="0AC22808" w14:textId="77777777" w:rsidR="0093236F" w:rsidRPr="00884179" w:rsidRDefault="0093236F" w:rsidP="0093236F">
      <w:pPr>
        <w:pStyle w:val="H1G"/>
        <w:rPr>
          <w:lang w:val="fr-FR"/>
        </w:rPr>
      </w:pPr>
      <w:r>
        <w:rPr>
          <w:lang w:val="fr-FR"/>
        </w:rPr>
        <w:tab/>
      </w:r>
      <w:r>
        <w:rPr>
          <w:lang w:val="fr-FR"/>
        </w:rPr>
        <w:tab/>
      </w:r>
      <w:r w:rsidRPr="00884179">
        <w:rPr>
          <w:lang w:val="fr-FR"/>
        </w:rPr>
        <w:t xml:space="preserve">Chapitre </w:t>
      </w:r>
      <w:r>
        <w:rPr>
          <w:lang w:val="fr-FR"/>
        </w:rPr>
        <w:t>1.2</w:t>
      </w:r>
    </w:p>
    <w:p w14:paraId="55866072" w14:textId="23C51D19" w:rsidR="0093236F" w:rsidRDefault="0093236F" w:rsidP="0093236F">
      <w:pPr>
        <w:pStyle w:val="SingleTxtG"/>
        <w:rPr>
          <w:lang w:val="fr-FR"/>
        </w:rPr>
      </w:pPr>
      <w:r w:rsidRPr="00B15092">
        <w:rPr>
          <w:lang w:val="fr-FR"/>
        </w:rPr>
        <w:t>1.2.1</w:t>
      </w:r>
      <w:r w:rsidRPr="00B15092">
        <w:rPr>
          <w:lang w:val="fr-FR"/>
        </w:rPr>
        <w:tab/>
        <w:t>Dans la définition de Règlement type de l'ONU, remplacer «</w:t>
      </w:r>
      <w:r>
        <w:rPr>
          <w:lang w:val="fr-FR"/>
        </w:rPr>
        <w:t> dix-neuvième </w:t>
      </w:r>
      <w:r w:rsidRPr="00B15092">
        <w:rPr>
          <w:lang w:val="fr-FR"/>
        </w:rPr>
        <w:t>» par «</w:t>
      </w:r>
      <w:r>
        <w:rPr>
          <w:lang w:val="fr-FR"/>
        </w:rPr>
        <w:t> vingt</w:t>
      </w:r>
      <w:r w:rsidRPr="00B15092">
        <w:rPr>
          <w:lang w:val="fr-FR"/>
        </w:rPr>
        <w:t>ième</w:t>
      </w:r>
      <w:r>
        <w:rPr>
          <w:lang w:val="fr-FR"/>
        </w:rPr>
        <w:t> </w:t>
      </w:r>
      <w:r w:rsidRPr="00B15092">
        <w:rPr>
          <w:lang w:val="fr-FR"/>
        </w:rPr>
        <w:t>» et remplacer «</w:t>
      </w:r>
      <w:r>
        <w:rPr>
          <w:lang w:val="fr-FR"/>
        </w:rPr>
        <w:t> </w:t>
      </w:r>
      <w:r w:rsidRPr="00B15092">
        <w:rPr>
          <w:lang w:val="fr-FR"/>
        </w:rPr>
        <w:t>(ST/SG/AC.10/1/Rev.</w:t>
      </w:r>
      <w:r>
        <w:rPr>
          <w:lang w:val="fr-FR"/>
        </w:rPr>
        <w:t>19</w:t>
      </w:r>
      <w:r w:rsidRPr="00B15092">
        <w:rPr>
          <w:lang w:val="fr-FR"/>
        </w:rPr>
        <w:t>)</w:t>
      </w:r>
      <w:r>
        <w:rPr>
          <w:lang w:val="fr-FR"/>
        </w:rPr>
        <w:t> </w:t>
      </w:r>
      <w:r w:rsidRPr="00B15092">
        <w:rPr>
          <w:lang w:val="fr-FR"/>
        </w:rPr>
        <w:t>» par «</w:t>
      </w:r>
      <w:r>
        <w:rPr>
          <w:lang w:val="fr-FR"/>
        </w:rPr>
        <w:t> </w:t>
      </w:r>
      <w:r w:rsidRPr="00B15092">
        <w:rPr>
          <w:lang w:val="fr-FR"/>
        </w:rPr>
        <w:t>(ST/SG/AC.10/1/Rev.</w:t>
      </w:r>
      <w:r>
        <w:rPr>
          <w:lang w:val="fr-FR"/>
        </w:rPr>
        <w:t>20</w:t>
      </w:r>
      <w:r w:rsidRPr="00B15092">
        <w:rPr>
          <w:lang w:val="fr-FR"/>
        </w:rPr>
        <w:t>)</w:t>
      </w:r>
      <w:r>
        <w:rPr>
          <w:lang w:val="fr-FR"/>
        </w:rPr>
        <w:t> </w:t>
      </w:r>
      <w:r w:rsidRPr="00B15092">
        <w:rPr>
          <w:lang w:val="fr-FR"/>
        </w:rPr>
        <w:t>».</w:t>
      </w:r>
    </w:p>
    <w:p w14:paraId="0BD37C86" w14:textId="1D166F40" w:rsidR="00681B4D" w:rsidRDefault="00681B4D" w:rsidP="0093236F">
      <w:pPr>
        <w:pStyle w:val="SingleTxtG"/>
        <w:rPr>
          <w:lang w:val="fr-FR"/>
        </w:rPr>
      </w:pPr>
      <w:r>
        <w:rPr>
          <w:lang w:val="fr-FR"/>
        </w:rPr>
        <w:t>1.2.1</w:t>
      </w:r>
      <w:r>
        <w:rPr>
          <w:lang w:val="fr-FR"/>
        </w:rPr>
        <w:tab/>
        <w:t>Ajouter la nouvelle définition suivante :</w:t>
      </w:r>
    </w:p>
    <w:p w14:paraId="0C63FF51" w14:textId="77777777" w:rsidR="00681B4D" w:rsidRDefault="00681B4D" w:rsidP="00681B4D">
      <w:pPr>
        <w:pStyle w:val="SingleTxtG"/>
        <w:rPr>
          <w:lang w:val="fr-FR"/>
        </w:rPr>
      </w:pPr>
      <w:r>
        <w:rPr>
          <w:lang w:val="fr-FR"/>
        </w:rPr>
        <w:t>« “</w:t>
      </w:r>
      <w:r>
        <w:rPr>
          <w:i/>
          <w:lang w:val="fr-FR"/>
        </w:rPr>
        <w:t>Bouteille surmoulée</w:t>
      </w:r>
      <w:r>
        <w:rPr>
          <w:lang w:val="fr-FR"/>
        </w:rPr>
        <w:t>”, une bouteille destinée au transport de GPL d’une capacité en eau ne dépassant pas 13 </w:t>
      </w:r>
      <w:r>
        <w:rPr>
          <w:i/>
          <w:lang w:val="fr-FR"/>
        </w:rPr>
        <w:t>l</w:t>
      </w:r>
      <w:r>
        <w:rPr>
          <w:lang w:val="fr-FR"/>
        </w:rPr>
        <w:t xml:space="preserve"> constituée d’une bouteille intérieure en acier soudé revêtue, protégée par une enveloppe surmoulée de matériau plastique cellulaire collée de manière indissociable à la paroi extérieure du récipient en acier ; ». </w:t>
      </w:r>
    </w:p>
    <w:p w14:paraId="5BFA1076" w14:textId="0F956E67" w:rsidR="00681B4D" w:rsidRPr="00681B4D" w:rsidRDefault="00681B4D" w:rsidP="00681B4D">
      <w:pPr>
        <w:pStyle w:val="SingleTxtG"/>
        <w:rPr>
          <w:i/>
          <w:lang w:val="fr-FR"/>
        </w:rPr>
      </w:pPr>
      <w:r>
        <w:rPr>
          <w:i/>
          <w:lang w:val="fr-FR"/>
        </w:rPr>
        <w:t>(Document de référence : ECE/TRANS/WP.15/AC.1/2017/33 tel que modifié dans les documents informels INF.55 et INF.56)</w:t>
      </w:r>
    </w:p>
    <w:p w14:paraId="1F2ECF55" w14:textId="77777777" w:rsidR="007A7A2C" w:rsidRDefault="00DE6122" w:rsidP="00DE6122">
      <w:pPr>
        <w:pStyle w:val="H1G"/>
        <w:rPr>
          <w:lang w:val="fr-FR"/>
        </w:rPr>
      </w:pPr>
      <w:r>
        <w:rPr>
          <w:lang w:val="fr-FR"/>
        </w:rPr>
        <w:tab/>
      </w:r>
      <w:r>
        <w:rPr>
          <w:lang w:val="fr-FR"/>
        </w:rPr>
        <w:tab/>
      </w:r>
      <w:r w:rsidR="007A7A2C">
        <w:rPr>
          <w:lang w:val="fr-FR"/>
        </w:rPr>
        <w:t>Chapitre 1.6</w:t>
      </w:r>
    </w:p>
    <w:p w14:paraId="61D4A227" w14:textId="77777777" w:rsidR="007A7A2C" w:rsidRPr="003C4DF9" w:rsidRDefault="007A7A2C" w:rsidP="007A7A2C">
      <w:pPr>
        <w:tabs>
          <w:tab w:val="left" w:pos="1985"/>
          <w:tab w:val="left" w:pos="2268"/>
        </w:tabs>
        <w:spacing w:after="120"/>
        <w:ind w:left="1134" w:right="1134"/>
        <w:jc w:val="both"/>
      </w:pPr>
      <w:r>
        <w:t>1.6.1.1</w:t>
      </w:r>
      <w:r>
        <w:tab/>
      </w:r>
      <w:r w:rsidRPr="003C4DF9">
        <w:t>Remplacer «</w:t>
      </w:r>
      <w:r>
        <w:t> </w:t>
      </w:r>
      <w:r w:rsidRPr="003C4DF9">
        <w:t>30 juin 201</w:t>
      </w:r>
      <w:r>
        <w:t>7 </w:t>
      </w:r>
      <w:r w:rsidRPr="003C4DF9">
        <w:t>» par «</w:t>
      </w:r>
      <w:r>
        <w:t> </w:t>
      </w:r>
      <w:r w:rsidRPr="003C4DF9">
        <w:t>30 juin 201</w:t>
      </w:r>
      <w:r>
        <w:t>9 </w:t>
      </w:r>
      <w:r w:rsidRPr="003C4DF9">
        <w:t>». Remplacer «</w:t>
      </w:r>
      <w:r>
        <w:t> </w:t>
      </w:r>
      <w:r w:rsidRPr="003C4DF9">
        <w:t>31 décembre 201</w:t>
      </w:r>
      <w:r>
        <w:t>6 </w:t>
      </w:r>
      <w:r w:rsidRPr="003C4DF9">
        <w:t>» par «</w:t>
      </w:r>
      <w:r>
        <w:t> </w:t>
      </w:r>
      <w:r w:rsidRPr="003C4DF9">
        <w:t>31 décembre 201</w:t>
      </w:r>
      <w:r>
        <w:t>8 </w:t>
      </w:r>
      <w:r w:rsidRPr="003C4DF9">
        <w:t>».</w:t>
      </w:r>
    </w:p>
    <w:p w14:paraId="6D995378" w14:textId="78088A23" w:rsidR="00EC2C33" w:rsidRPr="00EC2C33" w:rsidRDefault="00EC2C33" w:rsidP="007A7A2C">
      <w:pPr>
        <w:pStyle w:val="SingleTxtG"/>
        <w:rPr>
          <w:lang w:val="fr-FR"/>
        </w:rPr>
      </w:pPr>
      <w:r>
        <w:rPr>
          <w:lang w:val="fr-FR"/>
        </w:rPr>
        <w:t xml:space="preserve">(RID :) Dans la note de bas de page </w:t>
      </w:r>
      <w:r w:rsidR="00554220">
        <w:rPr>
          <w:lang w:val="fr-FR"/>
        </w:rPr>
        <w:t>19</w:t>
      </w:r>
      <w:r>
        <w:rPr>
          <w:lang w:val="fr-FR"/>
        </w:rPr>
        <w:t>, remplacer « 2015 » par « 2017 ».</w:t>
      </w:r>
    </w:p>
    <w:p w14:paraId="355DADCD" w14:textId="38B407BB" w:rsidR="007A7A2C" w:rsidRPr="001A6707" w:rsidRDefault="007A7A2C" w:rsidP="007A7A2C">
      <w:pPr>
        <w:pStyle w:val="SingleTxtG"/>
        <w:rPr>
          <w:i/>
          <w:lang w:val="fr-FR"/>
        </w:rPr>
      </w:pPr>
      <w:r w:rsidRPr="001A6707">
        <w:rPr>
          <w:i/>
          <w:lang w:val="fr-FR"/>
        </w:rPr>
        <w:t>(Document de référence : document informel INF.</w:t>
      </w:r>
      <w:r>
        <w:rPr>
          <w:i/>
          <w:lang w:val="fr-FR"/>
        </w:rPr>
        <w:t>30</w:t>
      </w:r>
      <w:r w:rsidRPr="001A6707">
        <w:rPr>
          <w:i/>
          <w:lang w:val="fr-FR"/>
        </w:rPr>
        <w:t>)</w:t>
      </w:r>
    </w:p>
    <w:p w14:paraId="65E16012" w14:textId="780C3941" w:rsidR="007A7A2C" w:rsidRDefault="007A7A2C" w:rsidP="007A7A2C">
      <w:pPr>
        <w:tabs>
          <w:tab w:val="left" w:pos="1985"/>
          <w:tab w:val="left" w:pos="2268"/>
        </w:tabs>
        <w:spacing w:after="120"/>
        <w:ind w:left="1134" w:right="1134"/>
        <w:jc w:val="both"/>
        <w:rPr>
          <w:i/>
        </w:rPr>
      </w:pPr>
      <w:r>
        <w:t xml:space="preserve">1.6.1.25, </w:t>
      </w:r>
      <w:r w:rsidR="00EC2C33">
        <w:t xml:space="preserve">(RID :) 1.6.1.37, </w:t>
      </w:r>
      <w:r>
        <w:t>1.6.1.39, 1.6.1.40 et 1.6.1.42</w:t>
      </w:r>
      <w:r w:rsidRPr="003C4DF9">
        <w:tab/>
        <w:t>Supprimer et ajouter «</w:t>
      </w:r>
      <w:r>
        <w:t> </w:t>
      </w:r>
      <w:r w:rsidRPr="00D44138">
        <w:rPr>
          <w:i/>
        </w:rPr>
        <w:t>(Supprimé)</w:t>
      </w:r>
      <w:r>
        <w:t> </w:t>
      </w:r>
      <w:r w:rsidRPr="003C4DF9">
        <w:t>».</w:t>
      </w:r>
      <w:r w:rsidRPr="003C4DF9">
        <w:rPr>
          <w:i/>
        </w:rPr>
        <w:t xml:space="preserve"> </w:t>
      </w:r>
    </w:p>
    <w:p w14:paraId="122F8123" w14:textId="77777777" w:rsidR="00701A0C" w:rsidRPr="00701A0C" w:rsidRDefault="007A7A2C" w:rsidP="00701A0C">
      <w:pPr>
        <w:pStyle w:val="SingleTxtG"/>
        <w:rPr>
          <w:i/>
          <w:lang w:val="fr-FR"/>
        </w:rPr>
      </w:pPr>
      <w:r w:rsidRPr="001A6707">
        <w:rPr>
          <w:i/>
          <w:lang w:val="fr-FR"/>
        </w:rPr>
        <w:t>(Document de référence : document informel INF.</w:t>
      </w:r>
      <w:r>
        <w:rPr>
          <w:i/>
          <w:lang w:val="fr-FR"/>
        </w:rPr>
        <w:t>30</w:t>
      </w:r>
      <w:r w:rsidRPr="001A6707">
        <w:rPr>
          <w:i/>
          <w:lang w:val="fr-FR"/>
        </w:rPr>
        <w:t>)</w:t>
      </w:r>
    </w:p>
    <w:p w14:paraId="4379D316" w14:textId="31CB4E13" w:rsidR="00701A0C" w:rsidRDefault="00EC2C33" w:rsidP="00701A0C">
      <w:pPr>
        <w:tabs>
          <w:tab w:val="left" w:pos="1985"/>
          <w:tab w:val="left" w:pos="2268"/>
        </w:tabs>
        <w:spacing w:after="120"/>
        <w:ind w:left="1134" w:right="1134"/>
        <w:jc w:val="both"/>
        <w:rPr>
          <w:i/>
        </w:rPr>
      </w:pPr>
      <w:r>
        <w:t xml:space="preserve">(RID :) </w:t>
      </w:r>
      <w:r w:rsidR="00701A0C">
        <w:t xml:space="preserve">1.6.3.15, </w:t>
      </w:r>
      <w:r>
        <w:t xml:space="preserve">(ADR :) </w:t>
      </w:r>
      <w:r w:rsidR="00701A0C" w:rsidRPr="003C4DF9">
        <w:t>1.6.</w:t>
      </w:r>
      <w:r w:rsidR="00701A0C">
        <w:t>3.17</w:t>
      </w:r>
      <w:r w:rsidR="00701A0C" w:rsidRPr="003C4DF9">
        <w:t>, 1.6.</w:t>
      </w:r>
      <w:r w:rsidR="00701A0C">
        <w:t>3</w:t>
      </w:r>
      <w:r w:rsidR="00701A0C" w:rsidRPr="003C4DF9">
        <w:t>.</w:t>
      </w:r>
      <w:r w:rsidR="00701A0C">
        <w:t>42</w:t>
      </w:r>
      <w:r w:rsidR="00701A0C" w:rsidRPr="003C4DF9">
        <w:t>, 1.6.</w:t>
      </w:r>
      <w:r w:rsidR="00701A0C">
        <w:t>4</w:t>
      </w:r>
      <w:r w:rsidR="00701A0C" w:rsidRPr="003C4DF9">
        <w:t>.</w:t>
      </w:r>
      <w:r w:rsidR="00701A0C">
        <w:t>15</w:t>
      </w:r>
      <w:r w:rsidR="00701A0C" w:rsidRPr="003C4DF9">
        <w:t>, 1.6.</w:t>
      </w:r>
      <w:r w:rsidR="00701A0C">
        <w:t>4</w:t>
      </w:r>
      <w:r w:rsidR="00701A0C" w:rsidRPr="003C4DF9">
        <w:t>.3</w:t>
      </w:r>
      <w:r w:rsidR="00701A0C">
        <w:t>8</w:t>
      </w:r>
      <w:r w:rsidR="00701A0C" w:rsidRPr="003C4DF9">
        <w:t>, 1.6.</w:t>
      </w:r>
      <w:r w:rsidR="00701A0C">
        <w:t>4</w:t>
      </w:r>
      <w:r w:rsidR="00701A0C" w:rsidRPr="003C4DF9">
        <w:t>.</w:t>
      </w:r>
      <w:r w:rsidR="00701A0C">
        <w:t>44, 1.6.4.45</w:t>
      </w:r>
      <w:r w:rsidR="00701A0C" w:rsidRPr="003C4DF9">
        <w:tab/>
        <w:t>Supprimer et ajouter «</w:t>
      </w:r>
      <w:r w:rsidR="00701A0C">
        <w:t> </w:t>
      </w:r>
      <w:r w:rsidR="00701A0C" w:rsidRPr="00D44138">
        <w:rPr>
          <w:i/>
        </w:rPr>
        <w:t>(Supprimé)</w:t>
      </w:r>
      <w:r w:rsidR="00701A0C">
        <w:t> </w:t>
      </w:r>
      <w:r w:rsidR="00701A0C" w:rsidRPr="003C4DF9">
        <w:t>».</w:t>
      </w:r>
      <w:r w:rsidR="00701A0C" w:rsidRPr="003C4DF9">
        <w:rPr>
          <w:i/>
        </w:rPr>
        <w:t xml:space="preserve"> </w:t>
      </w:r>
    </w:p>
    <w:p w14:paraId="33A3D5C0" w14:textId="77777777" w:rsidR="00701A0C" w:rsidRDefault="00701A0C" w:rsidP="00701A0C">
      <w:pPr>
        <w:pStyle w:val="SingleTxtG"/>
        <w:rPr>
          <w:i/>
          <w:lang w:val="fr-FR"/>
        </w:rPr>
      </w:pPr>
      <w:r w:rsidRPr="004F1740">
        <w:rPr>
          <w:i/>
          <w:lang w:val="fr-FR"/>
        </w:rPr>
        <w:t>(Document de référence : document informel INF.</w:t>
      </w:r>
      <w:r>
        <w:rPr>
          <w:i/>
          <w:lang w:val="fr-FR"/>
        </w:rPr>
        <w:t>30</w:t>
      </w:r>
      <w:r w:rsidRPr="004F1740">
        <w:rPr>
          <w:i/>
          <w:lang w:val="fr-FR"/>
        </w:rPr>
        <w:t>)</w:t>
      </w:r>
    </w:p>
    <w:p w14:paraId="2F4BE9AA" w14:textId="61E33883" w:rsidR="00701A0C" w:rsidRPr="00C01A8F" w:rsidRDefault="00EC2C33" w:rsidP="00701A0C">
      <w:pPr>
        <w:tabs>
          <w:tab w:val="left" w:pos="1985"/>
          <w:tab w:val="left" w:pos="2268"/>
        </w:tabs>
        <w:spacing w:after="120"/>
        <w:ind w:left="1134" w:right="1134"/>
        <w:jc w:val="both"/>
      </w:pPr>
      <w:r>
        <w:t xml:space="preserve">(ADR :) </w:t>
      </w:r>
      <w:r w:rsidR="00701A0C" w:rsidRPr="00C01A8F">
        <w:t>1.6.3.44</w:t>
      </w:r>
      <w:r w:rsidR="00701A0C">
        <w:tab/>
        <w:t>Supprimer « , peuvent continuer à être utilisées jusqu’à leur premier contrôle intermédiaire ou périodique effectué après le 31 décembre 2015. Après cette date, elles ».</w:t>
      </w:r>
    </w:p>
    <w:p w14:paraId="0E4FDA1B" w14:textId="77777777" w:rsidR="00701A0C" w:rsidRDefault="00701A0C" w:rsidP="00701A0C">
      <w:pPr>
        <w:pStyle w:val="SingleTxtG"/>
        <w:rPr>
          <w:i/>
          <w:lang w:val="fr-FR"/>
        </w:rPr>
      </w:pPr>
      <w:r w:rsidRPr="004F1740">
        <w:rPr>
          <w:i/>
          <w:lang w:val="fr-FR"/>
        </w:rPr>
        <w:t>(Document de référence : document informel INF.</w:t>
      </w:r>
      <w:r>
        <w:rPr>
          <w:i/>
          <w:lang w:val="fr-FR"/>
        </w:rPr>
        <w:t>30</w:t>
      </w:r>
      <w:r w:rsidRPr="004F1740">
        <w:rPr>
          <w:i/>
          <w:lang w:val="fr-FR"/>
        </w:rPr>
        <w:t>)</w:t>
      </w:r>
    </w:p>
    <w:p w14:paraId="286EEBE4" w14:textId="77777777" w:rsidR="00DE6122" w:rsidRDefault="00DE6122" w:rsidP="00DE6122">
      <w:pPr>
        <w:pStyle w:val="H1G"/>
        <w:rPr>
          <w:lang w:val="fr-FR"/>
        </w:rPr>
      </w:pPr>
      <w:r>
        <w:rPr>
          <w:lang w:val="fr-FR"/>
        </w:rPr>
        <w:lastRenderedPageBreak/>
        <w:tab/>
      </w:r>
      <w:r>
        <w:rPr>
          <w:lang w:val="fr-FR"/>
        </w:rPr>
        <w:tab/>
        <w:t>Chapitre 1.10</w:t>
      </w:r>
    </w:p>
    <w:p w14:paraId="425C5881" w14:textId="77777777" w:rsidR="00DE6122" w:rsidRDefault="00DE6122" w:rsidP="00DE6122">
      <w:pPr>
        <w:pStyle w:val="SingleTxtG"/>
      </w:pPr>
      <w:r>
        <w:t>1.10.3.1.2</w:t>
      </w:r>
      <w:r>
        <w:tab/>
        <w:t>Dans le tableau, dans la colonne « Matières ou objets », modifier le texte de la première ligne pour la classe 2 pour lire comme suit : « Gaz inflammables, non toxiques, (codes de classification comprenant uniquement les lettres F ou FC) ».</w:t>
      </w:r>
    </w:p>
    <w:p w14:paraId="6BBC1C0F" w14:textId="77777777" w:rsidR="00DE6122" w:rsidRDefault="00DE6122" w:rsidP="00DE6122">
      <w:pPr>
        <w:pStyle w:val="SingleTxtG"/>
        <w:rPr>
          <w:i/>
          <w:lang w:val="fr-FR"/>
        </w:rPr>
      </w:pPr>
      <w:r>
        <w:rPr>
          <w:i/>
          <w:lang w:val="fr-FR"/>
        </w:rPr>
        <w:t>(Document de référence : ECE/TRANS/WP.15/AC.1/2017/29)</w:t>
      </w:r>
    </w:p>
    <w:p w14:paraId="2A8D6B6E" w14:textId="78D5229C" w:rsidR="007A7A2C" w:rsidRPr="00B50C0C" w:rsidRDefault="00B50C0C" w:rsidP="00B50C0C">
      <w:pPr>
        <w:pStyle w:val="H1G"/>
      </w:pPr>
      <w:r>
        <w:tab/>
      </w:r>
      <w:r>
        <w:tab/>
      </w:r>
      <w:r w:rsidR="007A7A2C" w:rsidRPr="00B50C0C">
        <w:t>Chapitre 2.1</w:t>
      </w:r>
    </w:p>
    <w:p w14:paraId="0E5F17BB" w14:textId="738DB52C" w:rsidR="007A7A2C" w:rsidRDefault="007A7A2C" w:rsidP="007A7A2C">
      <w:pPr>
        <w:pStyle w:val="SingleTxtG"/>
        <w:rPr>
          <w:lang w:val="fr-FR"/>
        </w:rPr>
      </w:pPr>
      <w:r>
        <w:rPr>
          <w:lang w:val="fr-FR"/>
        </w:rPr>
        <w:t>[2.1.3.5.5</w:t>
      </w:r>
      <w:r>
        <w:rPr>
          <w:lang w:val="fr-FR"/>
        </w:rPr>
        <w:tab/>
        <w:t xml:space="preserve">Modifier la note </w:t>
      </w:r>
      <w:r w:rsidR="00554220">
        <w:rPr>
          <w:lang w:val="fr-FR"/>
        </w:rPr>
        <w:t xml:space="preserve">de </w:t>
      </w:r>
      <w:r>
        <w:rPr>
          <w:lang w:val="fr-FR"/>
        </w:rPr>
        <w:t>bas de page 2 pour lire comme suit :</w:t>
      </w:r>
    </w:p>
    <w:p w14:paraId="711E2052" w14:textId="0D4F32CE" w:rsidR="007A7A2C" w:rsidRDefault="007A7A2C" w:rsidP="007A7A2C">
      <w:pPr>
        <w:pStyle w:val="SingleTxtG"/>
        <w:rPr>
          <w:lang w:val="fr-FR"/>
        </w:rPr>
      </w:pPr>
      <w:r w:rsidRPr="00FA58A5">
        <w:rPr>
          <w:iCs/>
        </w:rPr>
        <w:t>« </w:t>
      </w:r>
      <w:r w:rsidRPr="00FA58A5">
        <w:rPr>
          <w:iCs/>
          <w:vertAlign w:val="superscript"/>
        </w:rPr>
        <w:t>2</w:t>
      </w:r>
      <w:r>
        <w:rPr>
          <w:i/>
          <w:iCs/>
        </w:rPr>
        <w:tab/>
      </w:r>
      <w:r w:rsidRPr="00D67BF0">
        <w:rPr>
          <w:i/>
          <w:iCs/>
        </w:rPr>
        <w:t xml:space="preserve">Une telle législation est par exemple </w:t>
      </w:r>
      <w:r>
        <w:rPr>
          <w:i/>
          <w:iCs/>
        </w:rPr>
        <w:t xml:space="preserve">la </w:t>
      </w:r>
      <w:r w:rsidRPr="00FA58A5">
        <w:rPr>
          <w:i/>
          <w:iCs/>
        </w:rPr>
        <w:t xml:space="preserve">Décision de la Commission </w:t>
      </w:r>
      <w:r>
        <w:rPr>
          <w:i/>
          <w:iCs/>
        </w:rPr>
        <w:t xml:space="preserve">No 2014/955/UE </w:t>
      </w:r>
      <w:r w:rsidRPr="00FA58A5">
        <w:rPr>
          <w:i/>
          <w:iCs/>
        </w:rPr>
        <w:t>du 18 décembre 2014 modifiant la décision 2000/532/CE établissant la liste des déchets, conformément à la directive 2008/98/CE du Parlement européen et du Conseil</w:t>
      </w:r>
      <w:r>
        <w:rPr>
          <w:i/>
          <w:iCs/>
        </w:rPr>
        <w:t xml:space="preserve"> (</w:t>
      </w:r>
      <w:r w:rsidRPr="00FA58A5">
        <w:rPr>
          <w:i/>
          <w:iCs/>
        </w:rPr>
        <w:t>Journal officiel de l'Union européenne</w:t>
      </w:r>
      <w:r>
        <w:rPr>
          <w:i/>
          <w:iCs/>
        </w:rPr>
        <w:t xml:space="preserve"> No </w:t>
      </w:r>
      <w:r w:rsidRPr="00FA58A5">
        <w:rPr>
          <w:i/>
          <w:iCs/>
        </w:rPr>
        <w:t xml:space="preserve">L </w:t>
      </w:r>
      <w:r>
        <w:rPr>
          <w:i/>
          <w:iCs/>
        </w:rPr>
        <w:t xml:space="preserve">370 du 30 décembre 2014, pages 44 à 86) et </w:t>
      </w:r>
      <w:r w:rsidRPr="009E2198">
        <w:rPr>
          <w:i/>
          <w:iCs/>
        </w:rPr>
        <w:t>le Règlement (UE) No 1357/2014 de la Commission du 18 décembre 2014 remplaçant l'annexe III de la directive 2008/98/CE du Parlement européen et du Conseil relative aux déchets et abrogeant certaines directives</w:t>
      </w:r>
      <w:r>
        <w:rPr>
          <w:i/>
          <w:iCs/>
        </w:rPr>
        <w:t xml:space="preserve"> (</w:t>
      </w:r>
      <w:r w:rsidRPr="00FA58A5">
        <w:rPr>
          <w:i/>
          <w:iCs/>
        </w:rPr>
        <w:t>Journal officiel de l'Union européenne</w:t>
      </w:r>
      <w:r>
        <w:rPr>
          <w:i/>
          <w:iCs/>
        </w:rPr>
        <w:t xml:space="preserve"> No </w:t>
      </w:r>
      <w:r w:rsidRPr="00FA58A5">
        <w:rPr>
          <w:i/>
          <w:iCs/>
        </w:rPr>
        <w:t>L 365</w:t>
      </w:r>
      <w:r>
        <w:rPr>
          <w:i/>
          <w:iCs/>
        </w:rPr>
        <w:t xml:space="preserve"> du 19 décembre 2014, pages 89 à 96). </w:t>
      </w:r>
      <w:r w:rsidRPr="002D23C0">
        <w:rPr>
          <w:iCs/>
        </w:rPr>
        <w:t>».</w:t>
      </w:r>
      <w:r>
        <w:rPr>
          <w:iCs/>
        </w:rPr>
        <w:t>]</w:t>
      </w:r>
    </w:p>
    <w:p w14:paraId="2BCADD41" w14:textId="77777777" w:rsidR="007A7A2C" w:rsidRDefault="007A7A2C" w:rsidP="007A7A2C">
      <w:pPr>
        <w:pStyle w:val="SingleTxtG"/>
        <w:rPr>
          <w:i/>
          <w:lang w:val="fr-FR"/>
        </w:rPr>
      </w:pPr>
      <w:r w:rsidRPr="001A6707">
        <w:rPr>
          <w:i/>
          <w:lang w:val="fr-FR"/>
        </w:rPr>
        <w:t>(Document de réf</w:t>
      </w:r>
      <w:r>
        <w:rPr>
          <w:i/>
          <w:lang w:val="fr-FR"/>
        </w:rPr>
        <w:t>érence : document informel INF.21</w:t>
      </w:r>
      <w:r w:rsidRPr="001A6707">
        <w:rPr>
          <w:i/>
          <w:lang w:val="fr-FR"/>
        </w:rPr>
        <w:t>)</w:t>
      </w:r>
    </w:p>
    <w:p w14:paraId="2096DD02" w14:textId="77777777" w:rsidR="00771393" w:rsidRDefault="00771393" w:rsidP="00771393">
      <w:pPr>
        <w:pStyle w:val="H1G"/>
        <w:rPr>
          <w:lang w:val="fr-FR"/>
        </w:rPr>
      </w:pPr>
      <w:r>
        <w:rPr>
          <w:lang w:val="fr-FR"/>
        </w:rPr>
        <w:tab/>
      </w:r>
      <w:r>
        <w:rPr>
          <w:lang w:val="fr-FR"/>
        </w:rPr>
        <w:tab/>
        <w:t>Chapitre 2.2</w:t>
      </w:r>
    </w:p>
    <w:p w14:paraId="56A959C3" w14:textId="77777777" w:rsidR="00771393" w:rsidRDefault="00771393" w:rsidP="00771393">
      <w:pPr>
        <w:pStyle w:val="SingleTxtG"/>
      </w:pPr>
      <w:r w:rsidRPr="000330B5">
        <w:t>2.2.9.1.3</w:t>
      </w:r>
      <w:r w:rsidRPr="000330B5">
        <w:tab/>
        <w:t>Remplacer « 2.2.9.1.4 à 2.2.9.1.14 » par « 2.2.9.1.4 à 2.2.9.1.8, 2.2.9.1.10, 2.2.9.1.11, 2.2.9.1.13 et 2.2.9.1.14 ».</w:t>
      </w:r>
    </w:p>
    <w:p w14:paraId="39E564FB" w14:textId="77777777" w:rsidR="00771393" w:rsidRPr="00F500B1" w:rsidRDefault="00771393" w:rsidP="00771393">
      <w:pPr>
        <w:pStyle w:val="SingleTxtG"/>
        <w:rPr>
          <w:i/>
          <w:lang w:val="fr-FR"/>
        </w:rPr>
      </w:pPr>
      <w:r>
        <w:rPr>
          <w:i/>
          <w:lang w:val="fr-FR"/>
        </w:rPr>
        <w:t>(Document de référence : ECE/TRANS/WP.15/AC.1/2017/43)</w:t>
      </w:r>
    </w:p>
    <w:p w14:paraId="305FD48A" w14:textId="77777777" w:rsidR="00771393" w:rsidRDefault="00771393" w:rsidP="00771393">
      <w:pPr>
        <w:pStyle w:val="H1G"/>
        <w:rPr>
          <w:lang w:val="fr-FR"/>
        </w:rPr>
      </w:pPr>
      <w:r>
        <w:rPr>
          <w:lang w:val="fr-FR"/>
        </w:rPr>
        <w:tab/>
      </w:r>
      <w:r>
        <w:rPr>
          <w:lang w:val="fr-FR"/>
        </w:rPr>
        <w:tab/>
        <w:t>Chapitre 3.2</w:t>
      </w:r>
    </w:p>
    <w:p w14:paraId="5656EAB3" w14:textId="77777777" w:rsidR="0093236F" w:rsidRDefault="0093236F" w:rsidP="0093236F">
      <w:pPr>
        <w:pStyle w:val="SingleTxtG"/>
        <w:rPr>
          <w:lang w:val="fr-FR"/>
        </w:rPr>
      </w:pPr>
      <w:r>
        <w:rPr>
          <w:lang w:val="fr-FR"/>
        </w:rPr>
        <w:t>3.2.1</w:t>
      </w:r>
      <w:r>
        <w:rPr>
          <w:lang w:val="fr-FR"/>
        </w:rPr>
        <w:tab/>
        <w:t>Dans les explications pour la colonne (3b), dans l’avant-dernier tiret, supprimer « , 8 ». Ajouter un nouveau tiret après celui-ci pour lire comme suit :</w:t>
      </w:r>
    </w:p>
    <w:p w14:paraId="21202649" w14:textId="77777777" w:rsidR="006B18CE" w:rsidRDefault="0093236F" w:rsidP="00FD6052">
      <w:pPr>
        <w:pStyle w:val="SingleTxtG"/>
        <w:rPr>
          <w:lang w:val="fr-FR"/>
        </w:rPr>
      </w:pPr>
      <w:r>
        <w:rPr>
          <w:lang w:val="fr-FR"/>
        </w:rPr>
        <w:t>« </w:t>
      </w:r>
      <w:r w:rsidRPr="00AF6483">
        <w:rPr>
          <w:lang w:val="fr-FR"/>
        </w:rPr>
        <w:t xml:space="preserve">- Pour les matières ou objets dangereux </w:t>
      </w:r>
      <w:r>
        <w:rPr>
          <w:lang w:val="fr-FR"/>
        </w:rPr>
        <w:t>de la classe 8 les codes sont expliqués au 2.2.8.1.4.1</w:t>
      </w:r>
      <w:r w:rsidRPr="00AF6483">
        <w:rPr>
          <w:lang w:val="fr-FR"/>
        </w:rPr>
        <w:t>;</w:t>
      </w:r>
      <w:r>
        <w:rPr>
          <w:lang w:val="fr-FR"/>
        </w:rPr>
        <w:t> ».</w:t>
      </w:r>
    </w:p>
    <w:p w14:paraId="66C35075" w14:textId="05D09EC8" w:rsidR="00FD6052" w:rsidRDefault="00317402" w:rsidP="00FD6052">
      <w:pPr>
        <w:pStyle w:val="SingleTxtG"/>
        <w:rPr>
          <w:lang w:val="fr-FR"/>
        </w:rPr>
      </w:pPr>
      <w:r>
        <w:rPr>
          <w:bCs/>
          <w:i/>
          <w:iCs/>
          <w:lang w:val="fr-FR"/>
        </w:rPr>
        <w:t>(Amendement de conséquence)</w:t>
      </w:r>
    </w:p>
    <w:p w14:paraId="10A46428" w14:textId="77777777" w:rsidR="00681B4D" w:rsidRPr="00372C46" w:rsidRDefault="00681B4D" w:rsidP="00681B4D">
      <w:pPr>
        <w:pStyle w:val="H23G"/>
        <w:rPr>
          <w:lang w:val="fr-FR"/>
        </w:rPr>
      </w:pPr>
      <w:r>
        <w:rPr>
          <w:lang w:val="fr-FR"/>
        </w:rPr>
        <w:tab/>
      </w:r>
      <w:r>
        <w:rPr>
          <w:lang w:val="fr-FR"/>
        </w:rPr>
        <w:tab/>
        <w:t>3.2.1, tableau A</w:t>
      </w:r>
    </w:p>
    <w:p w14:paraId="6DF282AD" w14:textId="77777777" w:rsidR="00317402" w:rsidRDefault="00317402" w:rsidP="00317402">
      <w:pPr>
        <w:pStyle w:val="SingleTxtG"/>
        <w:rPr>
          <w:lang w:val="fr-FR"/>
        </w:rPr>
      </w:pPr>
      <w:r>
        <w:rPr>
          <w:lang w:val="fr-FR"/>
        </w:rPr>
        <w:t>Pour les Nos ONU 1002, 1006, 1013, 1046, 1056, 1058, 1065, 1066, 1070, 1072, 1080, 1952, 1956, 2036, 2073, 2451, 3070, 3156, 3157, 3163, 3297, 3298 et 3299, ajouter « 660 » en colonne (6).</w:t>
      </w:r>
    </w:p>
    <w:p w14:paraId="0B8C0F73" w14:textId="70520130" w:rsidR="00317402" w:rsidRDefault="00317402" w:rsidP="00317402">
      <w:pPr>
        <w:pStyle w:val="SingleTxtG"/>
        <w:rPr>
          <w:i/>
          <w:lang w:val="fr-FR"/>
        </w:rPr>
      </w:pPr>
      <w:r>
        <w:rPr>
          <w:i/>
          <w:lang w:val="fr-FR"/>
        </w:rPr>
        <w:t>(Document de référence : document informel INF.54)</w:t>
      </w:r>
    </w:p>
    <w:p w14:paraId="65C578B7" w14:textId="6B9C6B83" w:rsidR="00681B4D" w:rsidRDefault="00681B4D" w:rsidP="00681B4D">
      <w:pPr>
        <w:pStyle w:val="SingleTxtG"/>
        <w:rPr>
          <w:lang w:val="fr-FR"/>
        </w:rPr>
      </w:pPr>
      <w:r>
        <w:rPr>
          <w:lang w:val="fr-FR"/>
        </w:rPr>
        <w:t xml:space="preserve">Pour les Nos </w:t>
      </w:r>
      <w:r w:rsidR="00E2307E">
        <w:rPr>
          <w:lang w:val="fr-FR"/>
        </w:rPr>
        <w:t xml:space="preserve">ONU </w:t>
      </w:r>
      <w:r>
        <w:rPr>
          <w:lang w:val="fr-FR"/>
        </w:rPr>
        <w:t>1011, 1075, 1965, 1969 et 1978, ajouter « 674 » en colonne (6).</w:t>
      </w:r>
    </w:p>
    <w:p w14:paraId="6700207B" w14:textId="25FDA56F" w:rsidR="00681B4D" w:rsidRPr="00681B4D" w:rsidRDefault="00681B4D" w:rsidP="00681B4D">
      <w:pPr>
        <w:pStyle w:val="SingleTxtG"/>
        <w:rPr>
          <w:i/>
          <w:lang w:val="fr-FR"/>
        </w:rPr>
      </w:pPr>
      <w:r>
        <w:rPr>
          <w:i/>
          <w:lang w:val="fr-FR"/>
        </w:rPr>
        <w:t>(Document de référence : ECE/TRANS/WP.15/AC.1/2017/33 tel que modifié dans les documents informels INF.55 et INF.56)</w:t>
      </w:r>
    </w:p>
    <w:p w14:paraId="17397823" w14:textId="77777777" w:rsidR="00317402" w:rsidRDefault="00317402" w:rsidP="00317402">
      <w:pPr>
        <w:pStyle w:val="SingleTxtG"/>
        <w:rPr>
          <w:lang w:val="fr-FR"/>
        </w:rPr>
      </w:pPr>
      <w:r>
        <w:rPr>
          <w:lang w:val="fr-FR"/>
        </w:rPr>
        <w:t>Pour le No ONU 1744, ajouter « TU43 » en colonne (13).</w:t>
      </w:r>
    </w:p>
    <w:p w14:paraId="12C28386" w14:textId="77777777" w:rsidR="00317402" w:rsidRDefault="00317402" w:rsidP="00317402">
      <w:pPr>
        <w:pStyle w:val="SingleTxtG"/>
        <w:rPr>
          <w:i/>
          <w:lang w:val="fr-FR"/>
        </w:rPr>
      </w:pPr>
      <w:r w:rsidRPr="004F1740">
        <w:rPr>
          <w:i/>
          <w:lang w:val="fr-FR"/>
        </w:rPr>
        <w:t xml:space="preserve">(Document de référence : document informel INF.46, proposition </w:t>
      </w:r>
      <w:r>
        <w:rPr>
          <w:i/>
          <w:lang w:val="fr-FR"/>
        </w:rPr>
        <w:t>2</w:t>
      </w:r>
      <w:r w:rsidRPr="004F1740">
        <w:rPr>
          <w:i/>
          <w:lang w:val="fr-FR"/>
        </w:rPr>
        <w:t>)</w:t>
      </w:r>
    </w:p>
    <w:p w14:paraId="4B3C76FB" w14:textId="77777777" w:rsidR="00317402" w:rsidRPr="000E647B" w:rsidRDefault="00317402" w:rsidP="00317402">
      <w:pPr>
        <w:pStyle w:val="SingleTxtG"/>
        <w:rPr>
          <w:lang w:val="fr-FR"/>
        </w:rPr>
      </w:pPr>
      <w:r>
        <w:rPr>
          <w:lang w:val="fr-FR"/>
        </w:rPr>
        <w:t>Pour le No ONU 3266, groupes d’emballage II et III</w:t>
      </w:r>
      <w:r>
        <w:rPr>
          <w:lang w:val="fr-FR"/>
        </w:rPr>
        <w:tab/>
        <w:t>Ajouter « TU42 » en colonne (13).</w:t>
      </w:r>
    </w:p>
    <w:p w14:paraId="69AD6A13" w14:textId="77777777" w:rsidR="00317402" w:rsidRDefault="00317402" w:rsidP="00317402">
      <w:pPr>
        <w:pStyle w:val="SingleTxtG"/>
        <w:rPr>
          <w:i/>
          <w:lang w:val="fr-FR"/>
        </w:rPr>
      </w:pPr>
      <w:r w:rsidRPr="004F1740">
        <w:rPr>
          <w:i/>
          <w:lang w:val="fr-FR"/>
        </w:rPr>
        <w:lastRenderedPageBreak/>
        <w:t>(Document de r</w:t>
      </w:r>
      <w:bookmarkStart w:id="0" w:name="_GoBack"/>
      <w:bookmarkEnd w:id="0"/>
      <w:r w:rsidRPr="004F1740">
        <w:rPr>
          <w:i/>
          <w:lang w:val="fr-FR"/>
        </w:rPr>
        <w:t xml:space="preserve">éférence : document informel INF.46, proposition </w:t>
      </w:r>
      <w:r>
        <w:rPr>
          <w:i/>
          <w:lang w:val="fr-FR"/>
        </w:rPr>
        <w:t>4</w:t>
      </w:r>
      <w:r w:rsidRPr="004F1740">
        <w:rPr>
          <w:i/>
          <w:lang w:val="fr-FR"/>
        </w:rPr>
        <w:t>)</w:t>
      </w:r>
    </w:p>
    <w:p w14:paraId="3CCB5483" w14:textId="77777777" w:rsidR="0093236F" w:rsidRDefault="0093236F" w:rsidP="0093236F">
      <w:pPr>
        <w:pStyle w:val="SingleTxtG"/>
        <w:rPr>
          <w:lang w:val="fr-FR"/>
        </w:rPr>
      </w:pPr>
      <w:r w:rsidRPr="00B9117C">
        <w:rPr>
          <w:lang w:val="fr-FR"/>
        </w:rPr>
        <w:t>Pour les Nos ONU 3359 et 3373 première rubrique, ajouter « - » [(ADR :) dans la partie supérieure] de la colonne (15).</w:t>
      </w:r>
    </w:p>
    <w:p w14:paraId="4BB29DB2" w14:textId="23376B00" w:rsidR="00317402" w:rsidRDefault="00317402" w:rsidP="00317402">
      <w:pPr>
        <w:pStyle w:val="SingleTxtG"/>
        <w:rPr>
          <w:lang w:val="fr-FR"/>
        </w:rPr>
      </w:pPr>
      <w:r>
        <w:rPr>
          <w:bCs/>
          <w:i/>
          <w:iCs/>
          <w:lang w:val="fr-FR"/>
        </w:rPr>
        <w:t>(Amendement de conséquence)</w:t>
      </w:r>
    </w:p>
    <w:p w14:paraId="1E588949" w14:textId="77777777" w:rsidR="00771393" w:rsidRDefault="00771393" w:rsidP="00771393">
      <w:pPr>
        <w:pStyle w:val="H1G"/>
        <w:rPr>
          <w:lang w:val="fr-FR"/>
        </w:rPr>
      </w:pPr>
      <w:r>
        <w:rPr>
          <w:lang w:val="fr-FR"/>
        </w:rPr>
        <w:tab/>
      </w:r>
      <w:r>
        <w:rPr>
          <w:lang w:val="fr-FR"/>
        </w:rPr>
        <w:tab/>
        <w:t>Chapitre 3.3</w:t>
      </w:r>
    </w:p>
    <w:p w14:paraId="45978445" w14:textId="77777777" w:rsidR="001E3E47" w:rsidRDefault="00771393" w:rsidP="00771393">
      <w:pPr>
        <w:pStyle w:val="SingleTxtG"/>
        <w:rPr>
          <w:lang w:val="fr-FR"/>
        </w:rPr>
      </w:pPr>
      <w:r>
        <w:rPr>
          <w:lang w:val="fr-FR"/>
        </w:rPr>
        <w:t>Disposition spéciale 660</w:t>
      </w:r>
      <w:r>
        <w:rPr>
          <w:lang w:val="fr-FR"/>
        </w:rPr>
        <w:tab/>
        <w:t xml:space="preserve">Modifier pour lire comme suit : </w:t>
      </w:r>
    </w:p>
    <w:p w14:paraId="60BA213B" w14:textId="5B45917E" w:rsidR="00771393" w:rsidRDefault="00771393" w:rsidP="00771393">
      <w:pPr>
        <w:pStyle w:val="SingleTxtG"/>
        <w:rPr>
          <w:lang w:val="fr-FR"/>
        </w:rPr>
      </w:pPr>
      <w:r>
        <w:rPr>
          <w:lang w:val="fr-FR"/>
        </w:rPr>
        <w:t>« 660</w:t>
      </w:r>
      <w:r>
        <w:rPr>
          <w:lang w:val="fr-FR"/>
        </w:rPr>
        <w:tab/>
      </w:r>
      <w:r w:rsidRPr="00154472">
        <w:rPr>
          <w:lang w:val="fr-FR"/>
        </w:rPr>
        <w:t>Pour le transport des systèmes de confinement de gaz combustible qui sont conçus pour être installés sur des véhicules automobiles</w:t>
      </w:r>
      <w:r>
        <w:rPr>
          <w:lang w:val="fr-FR"/>
        </w:rPr>
        <w:t>, qui sont approuvés à cette fin</w:t>
      </w:r>
      <w:r w:rsidRPr="00154472">
        <w:rPr>
          <w:lang w:val="fr-FR"/>
        </w:rPr>
        <w:t xml:space="preserve"> et qui contiennent ce gaz, il n’y a pas lieu d’appliquer les dispositions de la sous-section 4.1.4.1 et du chapitre 6.2 </w:t>
      </w:r>
      <w:r w:rsidR="006B18CE">
        <w:rPr>
          <w:lang w:val="fr-FR"/>
        </w:rPr>
        <w:t xml:space="preserve">[ADN : </w:t>
      </w:r>
      <w:r w:rsidRPr="00154472">
        <w:rPr>
          <w:lang w:val="fr-FR"/>
        </w:rPr>
        <w:t>de l’ADR</w:t>
      </w:r>
      <w:r w:rsidR="006B18CE">
        <w:rPr>
          <w:lang w:val="fr-FR"/>
        </w:rPr>
        <w:t>]</w:t>
      </w:r>
      <w:r w:rsidRPr="00154472">
        <w:rPr>
          <w:lang w:val="fr-FR"/>
        </w:rPr>
        <w:t xml:space="preserve"> s’ils sont transportés en vue de leur élimination, de leur recyclage, de leur réparation, de leur inspection, ou de leur entretien, ou depuis leur lieu de fabrication vers un atelier de montage de véhicules, si les conditions </w:t>
      </w:r>
      <w:r>
        <w:rPr>
          <w:lang w:val="fr-FR"/>
        </w:rPr>
        <w:t>décrites dans la disposition spéciale 392 sont satisfaites. Ceci s’applique également aux mélanges de gaz pour lesquels la disposition spéciale 392 est affectée avec des gaz du groupe A auxquels la présente disposition spéciale est affectée. ».</w:t>
      </w:r>
    </w:p>
    <w:p w14:paraId="5F99D04A" w14:textId="77777777" w:rsidR="00771393" w:rsidRPr="00771393" w:rsidRDefault="00771393" w:rsidP="00771393">
      <w:pPr>
        <w:pStyle w:val="SingleTxtG"/>
        <w:rPr>
          <w:i/>
          <w:lang w:val="fr-FR"/>
        </w:rPr>
      </w:pPr>
      <w:r>
        <w:rPr>
          <w:i/>
          <w:lang w:val="fr-FR"/>
        </w:rPr>
        <w:t>(Document de référence : document informel INF.54)</w:t>
      </w:r>
    </w:p>
    <w:p w14:paraId="2AD88A64" w14:textId="77777777" w:rsidR="00771393" w:rsidRDefault="00771393" w:rsidP="00771393">
      <w:pPr>
        <w:pStyle w:val="SingleTxtG"/>
      </w:pPr>
      <w:r>
        <w:t>Disposition spéciale 666</w:t>
      </w:r>
      <w:r>
        <w:tab/>
        <w:t>Modifier le premier paragraphe pour lire comme suit :</w:t>
      </w:r>
    </w:p>
    <w:p w14:paraId="5041DA32" w14:textId="490FC112" w:rsidR="00771393" w:rsidRPr="00C3255B" w:rsidRDefault="00771393" w:rsidP="00771393">
      <w:pPr>
        <w:pStyle w:val="SingleTxtG"/>
      </w:pPr>
      <w:r>
        <w:t>« </w:t>
      </w:r>
      <w:r w:rsidRPr="00C3255B">
        <w:t xml:space="preserve">Les équipements mus par des accumulateurs et les véhicules, visés par la disposition spéciale 388, transportés en tant que chargement, ainsi que les marchandises dangereuses qu'ils contiennent qui sont nécessaires à leur fonctionnement ou au fonctionnement de leur équipement, ne sont soumis à aucune autre disposition </w:t>
      </w:r>
      <w:r>
        <w:t>du RID/</w:t>
      </w:r>
      <w:r w:rsidRPr="00C3255B">
        <w:t>de l’ADR</w:t>
      </w:r>
      <w:r>
        <w:t>/de l’ADN</w:t>
      </w:r>
      <w:r w:rsidRPr="00C3255B">
        <w:t>, à condition que les condi</w:t>
      </w:r>
      <w:r>
        <w:t>tions suivantes soient remplies : ».</w:t>
      </w:r>
    </w:p>
    <w:p w14:paraId="095C8F07" w14:textId="77777777" w:rsidR="00771393" w:rsidRDefault="00771393" w:rsidP="00771393">
      <w:pPr>
        <w:pStyle w:val="SingleTxtG"/>
        <w:rPr>
          <w:i/>
          <w:lang w:val="fr-FR"/>
        </w:rPr>
      </w:pPr>
      <w:r>
        <w:rPr>
          <w:i/>
          <w:lang w:val="fr-FR"/>
        </w:rPr>
        <w:t>(Remplace l’amendement du document ECE/TRANS/WP.15/AC.1/2017/26/Add.1)</w:t>
      </w:r>
    </w:p>
    <w:p w14:paraId="3EE7B15F" w14:textId="31405697" w:rsidR="00771393" w:rsidRDefault="00771393" w:rsidP="00771393">
      <w:pPr>
        <w:pStyle w:val="SingleTxtG"/>
        <w:rPr>
          <w:i/>
          <w:lang w:val="fr-FR"/>
        </w:rPr>
      </w:pPr>
      <w:r>
        <w:rPr>
          <w:i/>
          <w:lang w:val="fr-FR"/>
        </w:rPr>
        <w:t>(Document de référence : ECE/TRANS/WP.15/AC.1/2017/27 tel que modifié)</w:t>
      </w:r>
    </w:p>
    <w:p w14:paraId="2D8A288D" w14:textId="42469A2A" w:rsidR="00681B4D" w:rsidRDefault="00681B4D" w:rsidP="00771393">
      <w:pPr>
        <w:pStyle w:val="SingleTxtG"/>
        <w:rPr>
          <w:lang w:val="fr-FR"/>
        </w:rPr>
      </w:pPr>
      <w:r>
        <w:rPr>
          <w:lang w:val="fr-FR"/>
        </w:rPr>
        <w:t>Ajouter la nouvelle disposition spéciale suivante :</w:t>
      </w:r>
    </w:p>
    <w:p w14:paraId="20350900" w14:textId="77777777" w:rsidR="00681B4D" w:rsidRDefault="00681B4D" w:rsidP="00681B4D">
      <w:pPr>
        <w:pStyle w:val="SingleTxtG"/>
        <w:tabs>
          <w:tab w:val="left" w:pos="1985"/>
        </w:tabs>
        <w:rPr>
          <w:lang w:val="fr-FR"/>
        </w:rPr>
      </w:pPr>
      <w:r>
        <w:rPr>
          <w:lang w:val="fr-FR"/>
        </w:rPr>
        <w:t>« 674</w:t>
      </w:r>
      <w:r>
        <w:rPr>
          <w:lang w:val="fr-FR"/>
        </w:rPr>
        <w:tab/>
        <w:t>Cette disposition spéciale s’applique aux contrôles et épreuves périodiques des bouteilles surmoulées telles que définies au 1.2.1.</w:t>
      </w:r>
    </w:p>
    <w:p w14:paraId="2DA6FFAC" w14:textId="07AB9BFA" w:rsidR="00681B4D" w:rsidRDefault="00681B4D" w:rsidP="00681B4D">
      <w:pPr>
        <w:pStyle w:val="SingleTxtG"/>
        <w:rPr>
          <w:lang w:val="fr-FR"/>
        </w:rPr>
      </w:pPr>
      <w:r>
        <w:rPr>
          <w:lang w:val="fr-FR"/>
        </w:rPr>
        <w:t>Les bouteilles surmoulées pour lesquelles le 6.2.3.5.3.1 s’applique doivent être soumises à des contrôles et épreuves périodiques conformément au 6.2.1.6.1, modifiés par la méthode alternative suivante:</w:t>
      </w:r>
    </w:p>
    <w:p w14:paraId="7AAB2593" w14:textId="5FDF8D4A" w:rsidR="00681B4D" w:rsidRDefault="00681B4D" w:rsidP="00681B4D">
      <w:pPr>
        <w:pStyle w:val="SingleTxtG"/>
        <w:rPr>
          <w:lang w:val="fr-FR"/>
        </w:rPr>
      </w:pPr>
      <w:r>
        <w:rPr>
          <w:lang w:val="fr-FR"/>
        </w:rPr>
        <w:t>-</w:t>
      </w:r>
      <w:r>
        <w:rPr>
          <w:lang w:val="fr-FR"/>
        </w:rPr>
        <w:tab/>
        <w:t>Remplacer l’épreuve prescrite au 6.2.1.6.1 d) par des essais destructifs alternatifs;</w:t>
      </w:r>
    </w:p>
    <w:p w14:paraId="12CD6C2B" w14:textId="080BFC3E" w:rsidR="00681B4D" w:rsidRDefault="00681B4D" w:rsidP="00681B4D">
      <w:pPr>
        <w:pStyle w:val="SingleTxtG"/>
        <w:rPr>
          <w:lang w:val="fr-FR"/>
        </w:rPr>
      </w:pPr>
      <w:r>
        <w:rPr>
          <w:lang w:val="fr-FR"/>
        </w:rPr>
        <w:t>-</w:t>
      </w:r>
      <w:r>
        <w:rPr>
          <w:lang w:val="fr-FR"/>
        </w:rPr>
        <w:tab/>
        <w:t xml:space="preserve">Réaliser des essais destructifs spécifiques supplémentaires relatifs aux caractéristiques des bouteilles surmoulées. </w:t>
      </w:r>
    </w:p>
    <w:p w14:paraId="6DBB7985" w14:textId="77777777" w:rsidR="00681B4D" w:rsidRDefault="00681B4D" w:rsidP="00681B4D">
      <w:pPr>
        <w:pStyle w:val="SingleTxtG"/>
        <w:rPr>
          <w:lang w:val="fr-FR"/>
        </w:rPr>
      </w:pPr>
      <w:r>
        <w:rPr>
          <w:lang w:val="fr-FR"/>
        </w:rPr>
        <w:t>Les procédures et les prescriptions relatives à cette méthode alternative sont décrites ci</w:t>
      </w:r>
      <w:r>
        <w:rPr>
          <w:lang w:val="fr-FR"/>
        </w:rPr>
        <w:noBreakHyphen/>
        <w:t>après.</w:t>
      </w:r>
    </w:p>
    <w:p w14:paraId="4C31E398" w14:textId="4077A0C5" w:rsidR="00681B4D" w:rsidRDefault="00681B4D" w:rsidP="00681B4D">
      <w:pPr>
        <w:pStyle w:val="SingleTxtG"/>
        <w:keepNext/>
        <w:rPr>
          <w:lang w:val="fr-FR"/>
        </w:rPr>
      </w:pPr>
      <w:r>
        <w:rPr>
          <w:lang w:val="fr-FR"/>
        </w:rPr>
        <w:t>Méthode alternative:</w:t>
      </w:r>
    </w:p>
    <w:p w14:paraId="30F516DC" w14:textId="77777777" w:rsidR="00681B4D" w:rsidRDefault="00681B4D" w:rsidP="00681B4D">
      <w:pPr>
        <w:pStyle w:val="SingleTxtG"/>
        <w:rPr>
          <w:lang w:val="fr-FR"/>
        </w:rPr>
      </w:pPr>
      <w:r>
        <w:rPr>
          <w:lang w:val="fr-FR"/>
        </w:rPr>
        <w:t>a)</w:t>
      </w:r>
      <w:r>
        <w:rPr>
          <w:lang w:val="fr-FR"/>
        </w:rPr>
        <w:tab/>
        <w:t xml:space="preserve">Généralités </w:t>
      </w:r>
    </w:p>
    <w:p w14:paraId="457ACB31" w14:textId="77777777" w:rsidR="00681B4D" w:rsidRDefault="00681B4D" w:rsidP="00681B4D">
      <w:pPr>
        <w:pStyle w:val="SingleTxtG"/>
        <w:ind w:left="1701"/>
        <w:rPr>
          <w:lang w:val="fr-FR"/>
        </w:rPr>
      </w:pPr>
      <w:r>
        <w:rPr>
          <w:lang w:val="fr-FR"/>
        </w:rPr>
        <w:t xml:space="preserve">Les dispositions suivantes s’appliquent aux bouteilles surmoulées construites en série à partir de bouteilles en acier soudées conformément aux normes EN 1442:2017, EN 14140:2014 + AC:2015 ou à l’annexe I, parties 1 à 3, de la Directive 84/527/CEE du Conseil. La conception de l’enveloppe surmoulée doit prévenir l’infiltration d’eau jusqu’à la bouteille intérieure en acier. Le procédé de </w:t>
      </w:r>
      <w:r>
        <w:rPr>
          <w:lang w:val="fr-FR"/>
        </w:rPr>
        <w:lastRenderedPageBreak/>
        <w:t xml:space="preserve">transformation de la bouteille en acier en une bouteille surmoulée doit satisfaire aux dispositions applicables des normes EN 1442:2017 et EN 14140:2014 + AC:2015. </w:t>
      </w:r>
    </w:p>
    <w:p w14:paraId="12D1E567" w14:textId="77777777" w:rsidR="00681B4D" w:rsidRDefault="00681B4D" w:rsidP="00681B4D">
      <w:pPr>
        <w:pStyle w:val="SingleTxtG"/>
        <w:ind w:left="1701"/>
        <w:rPr>
          <w:lang w:val="fr-FR"/>
        </w:rPr>
      </w:pPr>
      <w:r>
        <w:rPr>
          <w:lang w:val="fr-FR"/>
        </w:rPr>
        <w:t>Les bouteilles surmoulées doivent être munies de robinets à fermeture automatique.</w:t>
      </w:r>
    </w:p>
    <w:p w14:paraId="195A68A7" w14:textId="77777777" w:rsidR="00681B4D" w:rsidRPr="00681B4D" w:rsidRDefault="00681B4D" w:rsidP="00681B4D">
      <w:pPr>
        <w:pStyle w:val="SingleTxtG"/>
      </w:pPr>
      <w:r>
        <w:rPr>
          <w:lang w:val="fr-FR"/>
        </w:rPr>
        <w:t>b)</w:t>
      </w:r>
      <w:r>
        <w:rPr>
          <w:lang w:val="fr-FR"/>
        </w:rPr>
        <w:tab/>
        <w:t>Population de base</w:t>
      </w:r>
    </w:p>
    <w:p w14:paraId="3C6D860A" w14:textId="77777777" w:rsidR="00681B4D" w:rsidRDefault="00681B4D" w:rsidP="00681B4D">
      <w:pPr>
        <w:pStyle w:val="SingleTxtG"/>
        <w:ind w:left="1701"/>
        <w:rPr>
          <w:lang w:val="fr-FR"/>
        </w:rPr>
      </w:pPr>
      <w:r>
        <w:rPr>
          <w:lang w:val="fr-FR"/>
        </w:rPr>
        <w:t>Une population de base de bouteilles surmoulées est définie comme étant la production de bouteilles provenant d’un même fabricant de surmoulage utilisant des bouteilles intérieures nouvelles fabriquées par un même fabricant au cours d’une même année civile, utilisant le même modèle type et les mêmes matériaux et procédés de production.</w:t>
      </w:r>
    </w:p>
    <w:p w14:paraId="50BC1063" w14:textId="77777777" w:rsidR="00681B4D" w:rsidRPr="00681B4D" w:rsidRDefault="00681B4D" w:rsidP="00681B4D">
      <w:pPr>
        <w:pStyle w:val="SingleTxtG"/>
      </w:pPr>
      <w:r>
        <w:rPr>
          <w:lang w:val="fr-FR"/>
        </w:rPr>
        <w:t>c)</w:t>
      </w:r>
      <w:r>
        <w:rPr>
          <w:lang w:val="fr-FR"/>
        </w:rPr>
        <w:tab/>
        <w:t>Sous-groupes de population de base</w:t>
      </w:r>
    </w:p>
    <w:p w14:paraId="59CD8F3D" w14:textId="77777777" w:rsidR="00681B4D" w:rsidRDefault="00681B4D" w:rsidP="00681B4D">
      <w:pPr>
        <w:pStyle w:val="SingleTxtG"/>
        <w:ind w:left="1701"/>
        <w:rPr>
          <w:lang w:val="fr-FR"/>
        </w:rPr>
      </w:pPr>
      <w:r>
        <w:rPr>
          <w:lang w:val="fr-FR"/>
        </w:rPr>
        <w:t>Au sein de la population de base définie ci-dessus, les bouteilles surmoulées appartenant à différents propriétaires doivent être séparées en sous-groupes spécifiques, un pour chaque propriétaire.</w:t>
      </w:r>
    </w:p>
    <w:p w14:paraId="3DFCF8DE" w14:textId="77777777" w:rsidR="00681B4D" w:rsidRDefault="00681B4D" w:rsidP="00681B4D">
      <w:pPr>
        <w:pStyle w:val="SingleTxtG"/>
        <w:ind w:left="1701"/>
        <w:rPr>
          <w:lang w:val="fr-FR"/>
        </w:rPr>
      </w:pPr>
      <w:r>
        <w:rPr>
          <w:lang w:val="fr-FR"/>
        </w:rPr>
        <w:t>Si l’ensemble de la population de base appartient à un seul propriétaire, le sous-groupe équivaut à la population de base.</w:t>
      </w:r>
    </w:p>
    <w:p w14:paraId="2CE43118" w14:textId="77777777" w:rsidR="00681B4D" w:rsidRPr="00681B4D" w:rsidRDefault="00681B4D" w:rsidP="00681B4D">
      <w:pPr>
        <w:pStyle w:val="SingleTxtG"/>
      </w:pPr>
      <w:r>
        <w:rPr>
          <w:lang w:val="fr-FR"/>
        </w:rPr>
        <w:t>d)</w:t>
      </w:r>
      <w:r>
        <w:rPr>
          <w:lang w:val="fr-FR"/>
        </w:rPr>
        <w:tab/>
        <w:t>Traçabilité</w:t>
      </w:r>
    </w:p>
    <w:p w14:paraId="493C3465" w14:textId="77777777" w:rsidR="00681B4D" w:rsidRDefault="00681B4D" w:rsidP="00681B4D">
      <w:pPr>
        <w:pStyle w:val="SingleTxtG"/>
        <w:ind w:left="1701"/>
        <w:rPr>
          <w:lang w:val="fr-FR"/>
        </w:rPr>
      </w:pPr>
      <w:r>
        <w:rPr>
          <w:lang w:val="fr-FR"/>
        </w:rPr>
        <w:t>Le marquage des bouteilles intérieures en acier conformément au 6.2.3.9 doit être reproduit sur le surmoulage. En outre, chaque bouteille surmoulée doit être munie d’un dispositif individuel d’identification électronique résistant. Les caractéristiques détaillées des bouteilles surmoulées doivent être enregistrées par le propriétaire dans une base de données centrale. La base de données doit être utilisée pour :</w:t>
      </w:r>
    </w:p>
    <w:p w14:paraId="25B2D5E4" w14:textId="3D58A025" w:rsidR="00681B4D" w:rsidRDefault="00681B4D" w:rsidP="00681B4D">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t>Identifier le sous-groupe spécifique ;</w:t>
      </w:r>
    </w:p>
    <w:p w14:paraId="58C46571" w14:textId="36862338" w:rsidR="00681B4D" w:rsidRDefault="00681B4D" w:rsidP="00681B4D">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t xml:space="preserve">Mettre à disposition des organismes de contrôle, des centres de remplissage ou des autorités compétentes, les caractéristiques techniques spécifiques des bouteilles comprenant au moins le numéro de série, le lot de production des bouteilles en acier, le lot de production des surmoulages et la date du surmoulage ; </w:t>
      </w:r>
    </w:p>
    <w:p w14:paraId="0174832F" w14:textId="605FC7EA" w:rsidR="00681B4D" w:rsidRDefault="00681B4D" w:rsidP="00681B4D">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t>Identifier la bouteille en faisant le lien entre le dispositif électronique et la base de données, grâce au numéro de série ;</w:t>
      </w:r>
    </w:p>
    <w:p w14:paraId="6DD96176" w14:textId="11EAE89D" w:rsidR="00681B4D" w:rsidRDefault="00681B4D" w:rsidP="00681B4D">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t>Vérifier l’historique de chaque bouteille et de déterminer les mesures à prendre (par exemple : remplissage, échantillonnage, nouveaux essais, retrait) ;</w:t>
      </w:r>
    </w:p>
    <w:p w14:paraId="477CDF55" w14:textId="2D2B0478" w:rsidR="00681B4D" w:rsidRDefault="00681B4D" w:rsidP="00681B4D">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t>Enregistrer les mesures prises, y compris la date et l’adresse du lieu de leur mise en œuvre.</w:t>
      </w:r>
    </w:p>
    <w:p w14:paraId="1C90A1D0" w14:textId="77777777" w:rsidR="00681B4D" w:rsidRDefault="00681B4D" w:rsidP="00681B4D">
      <w:pPr>
        <w:pStyle w:val="SingleTxtG"/>
        <w:ind w:left="1701"/>
        <w:rPr>
          <w:lang w:val="fr-FR"/>
        </w:rPr>
      </w:pPr>
      <w:r>
        <w:rPr>
          <w:lang w:val="fr-FR"/>
        </w:rPr>
        <w:t>Les données enregistrées doivent être conservées à disposition par le propriétaire des bouteilles surmoulées pendant toute la durée de vie du sous-groupe.</w:t>
      </w:r>
    </w:p>
    <w:p w14:paraId="739C6B8C" w14:textId="77777777" w:rsidR="00681B4D" w:rsidRPr="00681B4D" w:rsidRDefault="00681B4D" w:rsidP="00681B4D">
      <w:pPr>
        <w:pStyle w:val="SingleTxtG"/>
      </w:pPr>
      <w:r>
        <w:rPr>
          <w:lang w:val="fr-FR"/>
        </w:rPr>
        <w:t>e)</w:t>
      </w:r>
      <w:r>
        <w:rPr>
          <w:lang w:val="fr-FR"/>
        </w:rPr>
        <w:tab/>
        <w:t>Échantillonnage pour évaluation statistique</w:t>
      </w:r>
    </w:p>
    <w:p w14:paraId="52D6C289" w14:textId="77777777" w:rsidR="00681B4D" w:rsidRDefault="00681B4D" w:rsidP="00681B4D">
      <w:pPr>
        <w:pStyle w:val="SingleTxtG"/>
        <w:ind w:left="1701"/>
        <w:rPr>
          <w:lang w:val="fr-FR"/>
        </w:rPr>
      </w:pPr>
      <w:r>
        <w:rPr>
          <w:lang w:val="fr-FR"/>
        </w:rPr>
        <w:t>L’échantillonnage doit être effectué de manière aléatoire parmi un sous-groupe tel qu’indiqué à l’alinéa c). La taille de chaque échantillon par sous-groupe doit être conforme au tableau de l’alinéa g).</w:t>
      </w:r>
    </w:p>
    <w:p w14:paraId="13F1D22C" w14:textId="3249E7D2" w:rsidR="00681B4D" w:rsidRPr="00681B4D" w:rsidRDefault="00681B4D" w:rsidP="00681B4D">
      <w:pPr>
        <w:pStyle w:val="SingleTxtG"/>
      </w:pPr>
      <w:r>
        <w:rPr>
          <w:lang w:val="fr-FR"/>
        </w:rPr>
        <w:t>f)</w:t>
      </w:r>
      <w:r>
        <w:rPr>
          <w:lang w:val="fr-FR"/>
        </w:rPr>
        <w:tab/>
        <w:t>Procédure d’essai destructif</w:t>
      </w:r>
    </w:p>
    <w:p w14:paraId="3F1891A4" w14:textId="15A6129F" w:rsidR="00681B4D" w:rsidRDefault="00681B4D" w:rsidP="00681B4D">
      <w:pPr>
        <w:pStyle w:val="SingleTxtG"/>
        <w:ind w:left="1701"/>
        <w:rPr>
          <w:lang w:val="fr-FR"/>
        </w:rPr>
      </w:pPr>
      <w:r>
        <w:rPr>
          <w:lang w:val="fr-FR"/>
        </w:rPr>
        <w:t>Les contrôles et épreuves prescrits au 6.2.1.6.1 doivent être effectués, sauf l’épreuve prescrite au d) qui doit être remplacée par la procédure d’essais suivante:</w:t>
      </w:r>
    </w:p>
    <w:p w14:paraId="2C980823" w14:textId="3FF3FDB4" w:rsidR="00681B4D" w:rsidRDefault="001D36B3" w:rsidP="001D36B3">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r>
      <w:r w:rsidR="00681B4D">
        <w:rPr>
          <w:lang w:val="fr-FR"/>
        </w:rPr>
        <w:t>Essai de rupture (conformément à la norme EN 1442:2017 ou EN 14140:2014 + AC:2015).</w:t>
      </w:r>
    </w:p>
    <w:p w14:paraId="5F7CEC19" w14:textId="77777777" w:rsidR="00681B4D" w:rsidRDefault="00681B4D" w:rsidP="001D36B3">
      <w:pPr>
        <w:pStyle w:val="SingleTxtG"/>
        <w:ind w:left="1701"/>
        <w:rPr>
          <w:lang w:val="fr-FR"/>
        </w:rPr>
      </w:pPr>
      <w:r>
        <w:rPr>
          <w:lang w:val="fr-FR"/>
        </w:rPr>
        <w:lastRenderedPageBreak/>
        <w:t>En outre, les essais suivants doivent être effectués :</w:t>
      </w:r>
    </w:p>
    <w:p w14:paraId="567A5C90" w14:textId="14F29ED8" w:rsidR="00681B4D" w:rsidRDefault="001D36B3" w:rsidP="001D36B3">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r>
      <w:r w:rsidR="00681B4D">
        <w:rPr>
          <w:lang w:val="fr-FR"/>
        </w:rPr>
        <w:t>Essai d’adhérence (conformément à la norme EN 1442:2017 ou EN 14140:2014 + AC:2015) ;</w:t>
      </w:r>
    </w:p>
    <w:p w14:paraId="2F3DE637" w14:textId="1E696757" w:rsidR="00681B4D" w:rsidRDefault="001D36B3" w:rsidP="001D36B3">
      <w:pPr>
        <w:pStyle w:val="Bullet2G"/>
        <w:numPr>
          <w:ilvl w:val="0"/>
          <w:numId w:val="0"/>
        </w:numPr>
        <w:kinsoku w:val="0"/>
        <w:overflowPunct w:val="0"/>
        <w:autoSpaceDE w:val="0"/>
        <w:autoSpaceDN w:val="0"/>
        <w:adjustRightInd w:val="0"/>
        <w:snapToGrid w:val="0"/>
        <w:ind w:left="1701"/>
        <w:rPr>
          <w:lang w:val="fr-FR"/>
        </w:rPr>
      </w:pPr>
      <w:r>
        <w:rPr>
          <w:lang w:val="fr-FR"/>
        </w:rPr>
        <w:t>-</w:t>
      </w:r>
      <w:r>
        <w:rPr>
          <w:lang w:val="fr-FR"/>
        </w:rPr>
        <w:tab/>
      </w:r>
      <w:r w:rsidR="00681B4D">
        <w:rPr>
          <w:lang w:val="fr-FR"/>
        </w:rPr>
        <w:t>Essais de pelage et de corrosion (conformément à la norme EN ISO 4628-3:2016).</w:t>
      </w:r>
    </w:p>
    <w:p w14:paraId="74B5A704" w14:textId="77777777" w:rsidR="00681B4D" w:rsidRDefault="00681B4D" w:rsidP="001D36B3">
      <w:pPr>
        <w:pStyle w:val="SingleTxtG"/>
        <w:ind w:left="1701"/>
        <w:rPr>
          <w:lang w:val="fr-FR"/>
        </w:rPr>
      </w:pPr>
      <w:r>
        <w:rPr>
          <w:lang w:val="fr-FR"/>
        </w:rPr>
        <w:t>L’essai d’adhérence, les essais de pelage et de corrosion, et l’essai de rupture doivent être effectués sur chaque échantillon correspondant, d’après le tableau de l’alinéa g), et être effectués après les trois premières années de service puis tous les cinq ans.</w:t>
      </w:r>
    </w:p>
    <w:p w14:paraId="77D538E3" w14:textId="77777777" w:rsidR="00681B4D" w:rsidRPr="001D36B3" w:rsidRDefault="00681B4D" w:rsidP="001D36B3">
      <w:pPr>
        <w:pStyle w:val="SingleTxtG"/>
      </w:pPr>
      <w:r w:rsidRPr="001D36B3">
        <w:t>g)</w:t>
      </w:r>
      <w:r w:rsidRPr="001D36B3">
        <w:tab/>
        <w:t>Évaluation statistique des résultats des essais − Méthode et prescriptions minimales</w:t>
      </w:r>
    </w:p>
    <w:p w14:paraId="49F46728" w14:textId="77777777" w:rsidR="00681B4D" w:rsidRDefault="00681B4D" w:rsidP="001D36B3">
      <w:pPr>
        <w:pStyle w:val="SingleTxtG"/>
        <w:ind w:left="1701"/>
        <w:rPr>
          <w:lang w:val="fr-FR"/>
        </w:rPr>
      </w:pPr>
      <w:r>
        <w:rPr>
          <w:lang w:val="fr-FR"/>
        </w:rPr>
        <w:t>La procédure d’évaluation statistique, suivant les critères de rejet correspondants, est décrite ci-dessous.</w:t>
      </w:r>
    </w:p>
    <w:tbl>
      <w:tblPr>
        <w:tblW w:w="0" w:type="dxa"/>
        <w:tblLayout w:type="fixed"/>
        <w:tblCellMar>
          <w:left w:w="0" w:type="dxa"/>
          <w:right w:w="0" w:type="dxa"/>
        </w:tblCellMar>
        <w:tblLook w:val="00A0" w:firstRow="1" w:lastRow="0" w:firstColumn="1" w:lastColumn="0" w:noHBand="0" w:noVBand="0"/>
      </w:tblPr>
      <w:tblGrid>
        <w:gridCol w:w="1124"/>
        <w:gridCol w:w="1394"/>
        <w:gridCol w:w="1566"/>
        <w:gridCol w:w="3560"/>
        <w:gridCol w:w="1993"/>
      </w:tblGrid>
      <w:tr w:rsidR="00681B4D" w14:paraId="70915D79" w14:textId="77777777" w:rsidTr="00681B4D">
        <w:trPr>
          <w:cantSplit/>
          <w:trHeight w:val="20"/>
          <w:tblHeader/>
        </w:trPr>
        <w:tc>
          <w:tcPr>
            <w:tcW w:w="1124" w:type="dxa"/>
            <w:tcBorders>
              <w:top w:val="single" w:sz="12" w:space="0" w:color="auto"/>
              <w:left w:val="single" w:sz="12" w:space="0" w:color="auto"/>
              <w:bottom w:val="single" w:sz="6" w:space="0" w:color="auto"/>
              <w:right w:val="single" w:sz="6" w:space="0" w:color="auto"/>
            </w:tcBorders>
            <w:vAlign w:val="center"/>
            <w:hideMark/>
          </w:tcPr>
          <w:p w14:paraId="40264BC3" w14:textId="77777777" w:rsidR="00681B4D" w:rsidRDefault="00681B4D">
            <w:pPr>
              <w:spacing w:before="40" w:after="80" w:line="200" w:lineRule="atLeast"/>
              <w:ind w:left="57" w:right="57"/>
              <w:jc w:val="center"/>
              <w:rPr>
                <w:b/>
                <w:bCs/>
                <w:sz w:val="18"/>
                <w:szCs w:val="18"/>
                <w:lang w:val="fr-FR"/>
              </w:rPr>
            </w:pPr>
            <w:r>
              <w:rPr>
                <w:b/>
                <w:sz w:val="18"/>
                <w:szCs w:val="18"/>
                <w:lang w:val="fr-FR"/>
              </w:rPr>
              <w:t xml:space="preserve">Intervalle entre les essais </w:t>
            </w:r>
            <w:r>
              <w:rPr>
                <w:sz w:val="18"/>
                <w:szCs w:val="18"/>
                <w:lang w:val="fr-FR"/>
              </w:rPr>
              <w:t>(en années)</w:t>
            </w:r>
          </w:p>
        </w:tc>
        <w:tc>
          <w:tcPr>
            <w:tcW w:w="1394" w:type="dxa"/>
            <w:tcBorders>
              <w:top w:val="single" w:sz="12" w:space="0" w:color="auto"/>
              <w:left w:val="single" w:sz="6" w:space="0" w:color="auto"/>
              <w:bottom w:val="single" w:sz="6" w:space="0" w:color="auto"/>
              <w:right w:val="single" w:sz="6" w:space="0" w:color="auto"/>
            </w:tcBorders>
            <w:vAlign w:val="center"/>
            <w:hideMark/>
          </w:tcPr>
          <w:p w14:paraId="183556B4" w14:textId="77777777" w:rsidR="00681B4D" w:rsidRDefault="00681B4D">
            <w:pPr>
              <w:spacing w:before="40" w:after="80" w:line="200" w:lineRule="atLeast"/>
              <w:ind w:left="57" w:right="57"/>
              <w:jc w:val="center"/>
              <w:rPr>
                <w:b/>
                <w:bCs/>
                <w:sz w:val="18"/>
                <w:szCs w:val="18"/>
                <w:lang w:val="fr-FR"/>
              </w:rPr>
            </w:pPr>
            <w:r>
              <w:rPr>
                <w:b/>
                <w:sz w:val="18"/>
                <w:szCs w:val="18"/>
                <w:lang w:val="fr-FR"/>
              </w:rPr>
              <w:t>Type d’essai</w:t>
            </w:r>
          </w:p>
        </w:tc>
        <w:tc>
          <w:tcPr>
            <w:tcW w:w="1566" w:type="dxa"/>
            <w:tcBorders>
              <w:top w:val="single" w:sz="12" w:space="0" w:color="auto"/>
              <w:left w:val="single" w:sz="6" w:space="0" w:color="auto"/>
              <w:bottom w:val="single" w:sz="6" w:space="0" w:color="auto"/>
              <w:right w:val="single" w:sz="6" w:space="0" w:color="auto"/>
            </w:tcBorders>
            <w:vAlign w:val="center"/>
            <w:hideMark/>
          </w:tcPr>
          <w:p w14:paraId="514BE938" w14:textId="77777777" w:rsidR="00681B4D" w:rsidRDefault="00681B4D">
            <w:pPr>
              <w:spacing w:before="40" w:after="80" w:line="200" w:lineRule="atLeast"/>
              <w:ind w:left="57" w:right="57"/>
              <w:jc w:val="center"/>
              <w:rPr>
                <w:b/>
                <w:bCs/>
                <w:sz w:val="18"/>
                <w:szCs w:val="18"/>
                <w:lang w:val="fr-FR"/>
              </w:rPr>
            </w:pPr>
            <w:r>
              <w:rPr>
                <w:b/>
                <w:sz w:val="18"/>
                <w:szCs w:val="18"/>
                <w:lang w:val="fr-FR"/>
              </w:rPr>
              <w:t>Norme</w:t>
            </w:r>
          </w:p>
        </w:tc>
        <w:tc>
          <w:tcPr>
            <w:tcW w:w="3560" w:type="dxa"/>
            <w:tcBorders>
              <w:top w:val="single" w:sz="12" w:space="0" w:color="auto"/>
              <w:left w:val="single" w:sz="6" w:space="0" w:color="auto"/>
              <w:bottom w:val="single" w:sz="6" w:space="0" w:color="auto"/>
              <w:right w:val="single" w:sz="6" w:space="0" w:color="auto"/>
            </w:tcBorders>
            <w:vAlign w:val="center"/>
            <w:hideMark/>
          </w:tcPr>
          <w:p w14:paraId="683EDB2A" w14:textId="77777777" w:rsidR="00681B4D" w:rsidRDefault="00681B4D">
            <w:pPr>
              <w:spacing w:before="40" w:after="80" w:line="200" w:lineRule="atLeast"/>
              <w:ind w:left="57" w:right="57"/>
              <w:jc w:val="center"/>
              <w:rPr>
                <w:b/>
                <w:bCs/>
                <w:sz w:val="18"/>
                <w:szCs w:val="18"/>
                <w:lang w:val="fr-FR"/>
              </w:rPr>
            </w:pPr>
            <w:r>
              <w:rPr>
                <w:b/>
                <w:sz w:val="18"/>
                <w:szCs w:val="18"/>
                <w:lang w:val="fr-FR"/>
              </w:rPr>
              <w:t>Critères de rejet</w:t>
            </w:r>
          </w:p>
        </w:tc>
        <w:tc>
          <w:tcPr>
            <w:tcW w:w="1993" w:type="dxa"/>
            <w:tcBorders>
              <w:top w:val="single" w:sz="12" w:space="0" w:color="auto"/>
              <w:left w:val="single" w:sz="6" w:space="0" w:color="auto"/>
              <w:bottom w:val="single" w:sz="6" w:space="0" w:color="auto"/>
              <w:right w:val="single" w:sz="6" w:space="0" w:color="auto"/>
            </w:tcBorders>
            <w:vAlign w:val="center"/>
            <w:hideMark/>
          </w:tcPr>
          <w:p w14:paraId="4E6AC195" w14:textId="77777777" w:rsidR="00681B4D" w:rsidRDefault="00681B4D">
            <w:pPr>
              <w:spacing w:before="40" w:after="80" w:line="200" w:lineRule="atLeast"/>
              <w:ind w:left="57" w:right="57"/>
              <w:jc w:val="center"/>
              <w:rPr>
                <w:b/>
                <w:bCs/>
                <w:sz w:val="18"/>
                <w:szCs w:val="18"/>
                <w:lang w:val="fr-FR"/>
              </w:rPr>
            </w:pPr>
            <w:r>
              <w:rPr>
                <w:b/>
                <w:sz w:val="18"/>
                <w:szCs w:val="18"/>
                <w:lang w:val="fr-FR"/>
              </w:rPr>
              <w:t xml:space="preserve">Niveau d’échantillonnage du Sous-Groupe </w:t>
            </w:r>
          </w:p>
        </w:tc>
      </w:tr>
      <w:tr w:rsidR="00681B4D" w14:paraId="659AA29C" w14:textId="77777777" w:rsidTr="00681B4D">
        <w:trPr>
          <w:cantSplit/>
          <w:trHeight w:val="20"/>
        </w:trPr>
        <w:tc>
          <w:tcPr>
            <w:tcW w:w="1124" w:type="dxa"/>
            <w:vMerge w:val="restart"/>
            <w:tcBorders>
              <w:top w:val="single" w:sz="6" w:space="0" w:color="auto"/>
              <w:left w:val="single" w:sz="12" w:space="0" w:color="auto"/>
              <w:bottom w:val="nil"/>
              <w:right w:val="single" w:sz="6" w:space="0" w:color="auto"/>
            </w:tcBorders>
            <w:hideMark/>
          </w:tcPr>
          <w:p w14:paraId="13BBDDD3"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Après 3 ans de service</w:t>
            </w:r>
          </w:p>
          <w:p w14:paraId="2939ACAA"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14:paraId="24A1B466"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14:paraId="6A928132"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14:paraId="11735AB2" w14:textId="77777777" w:rsidR="00681B4D" w:rsidRDefault="00681B4D">
            <w:pPr>
              <w:pStyle w:val="Tabletext9"/>
              <w:spacing w:before="40" w:after="80" w:line="200" w:lineRule="atLeast"/>
              <w:ind w:left="57" w:right="57"/>
              <w:jc w:val="center"/>
              <w:rPr>
                <w:rFonts w:ascii="Times New Roman" w:hAnsi="Times New Roman"/>
                <w:szCs w:val="18"/>
                <w:lang w:val="fr-FR"/>
              </w:rPr>
            </w:pPr>
            <w:r>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14:paraId="116B17FD" w14:textId="77777777" w:rsidR="00681B4D" w:rsidRDefault="00681B4D">
            <w:pPr>
              <w:pStyle w:val="Tabletext9"/>
              <w:spacing w:before="40" w:after="80" w:line="200" w:lineRule="atLeast"/>
              <w:ind w:left="57" w:right="57"/>
              <w:jc w:val="center"/>
              <w:rPr>
                <w:rFonts w:ascii="Times New Roman" w:hAnsi="Times New Roman"/>
                <w:szCs w:val="18"/>
                <w:lang w:val="fr-FR"/>
              </w:rPr>
            </w:pPr>
            <w:r>
              <w:rPr>
                <w:rFonts w:ascii="Times New Roman" w:hAnsi="Times New Roman"/>
                <w:szCs w:val="18"/>
                <w:lang w:val="fr-FR"/>
              </w:rPr>
              <w:br/>
              <w:t>Ω</w:t>
            </w:r>
            <w:r>
              <w:rPr>
                <w:rFonts w:ascii="Times New Roman" w:hAnsi="Times New Roman"/>
                <w:szCs w:val="18"/>
                <w:vertAlign w:val="subscript"/>
                <w:lang w:val="fr-FR"/>
              </w:rPr>
              <w:t>m</w:t>
            </w:r>
            <w:r>
              <w:rPr>
                <w:rFonts w:ascii="Times New Roman" w:hAnsi="Times New Roman"/>
                <w:szCs w:val="18"/>
                <w:lang w:val="fr-FR"/>
              </w:rPr>
              <w:t xml:space="preserve"> ≥ 1 + Ω</w:t>
            </w:r>
            <w:r>
              <w:rPr>
                <w:rFonts w:ascii="Times New Roman" w:hAnsi="Times New Roman"/>
                <w:szCs w:val="18"/>
                <w:vertAlign w:val="subscript"/>
                <w:lang w:val="fr-FR"/>
              </w:rPr>
              <w:t>s</w:t>
            </w:r>
            <w:r>
              <w:rPr>
                <w:rFonts w:ascii="Times New Roman" w:hAnsi="Times New Roman"/>
                <w:szCs w:val="18"/>
                <w:lang w:val="fr-FR"/>
              </w:rPr>
              <w:t xml:space="preserve">× k3 (n; p;1-α) </w:t>
            </w:r>
            <w:r>
              <w:rPr>
                <w:rFonts w:ascii="Times New Roman" w:hAnsi="Times New Roman"/>
                <w:b/>
                <w:szCs w:val="18"/>
                <w:vertAlign w:val="superscript"/>
                <w:lang w:val="fr-FR"/>
              </w:rPr>
              <w:t>a</w:t>
            </w:r>
            <w:r>
              <w:rPr>
                <w:rFonts w:ascii="Times New Roman" w:hAnsi="Times New Roman"/>
                <w:szCs w:val="18"/>
                <w:lang w:val="fr-FR"/>
              </w:rPr>
              <w:br/>
            </w:r>
            <w:r>
              <w:rPr>
                <w:rFonts w:ascii="Times New Roman" w:hAnsi="Times New Roman"/>
                <w:szCs w:val="18"/>
                <w:lang w:val="fr-FR"/>
              </w:rPr>
              <w:b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14:paraId="5483F6A9" w14:textId="77777777" w:rsidR="00681B4D" w:rsidRDefault="00681B4D">
            <w:pPr>
              <w:pStyle w:val="Tabletext9"/>
              <w:spacing w:before="40" w:after="80" w:line="200" w:lineRule="atLeast"/>
              <w:ind w:left="57" w:right="57"/>
              <w:jc w:val="center"/>
              <w:rPr>
                <w:rFonts w:ascii="Times New Roman" w:hAnsi="Times New Roman"/>
                <w:szCs w:val="18"/>
                <w:lang w:val="fr-FR"/>
              </w:rPr>
            </w:pPr>
            <w:r>
              <w:rPr>
                <w:rFonts w:ascii="Times New Roman" w:hAnsi="Times New Roman"/>
                <w:position w:val="-10"/>
                <w:szCs w:val="18"/>
                <w:lang w:val="fr-FR"/>
              </w:rPr>
              <w:object w:dxaOrig="465" w:dyaOrig="360" w14:anchorId="4FE70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8pt" o:ole="">
                  <v:imagedata r:id="rId8" o:title=""/>
                </v:shape>
                <o:OLEObject Type="Embed" ProgID="Equation.3" ShapeID="_x0000_i1025" DrawAspect="Content" ObjectID="_1570012759" r:id="rId9"/>
              </w:object>
            </w:r>
            <w:r>
              <w:rPr>
                <w:rFonts w:ascii="Times New Roman" w:hAnsi="Times New Roman"/>
                <w:szCs w:val="18"/>
                <w:lang w:val="fr-FR"/>
              </w:rPr>
              <w:t xml:space="preserve"> ou Q/200 la valeur la plus petite étant retenue</w:t>
            </w:r>
            <w:r>
              <w:rPr>
                <w:rFonts w:ascii="Times New Roman" w:hAnsi="Times New Roman"/>
                <w:szCs w:val="18"/>
                <w:lang w:val="fr-FR"/>
              </w:rPr>
              <w:br/>
              <w:t xml:space="preserve">et </w:t>
            </w:r>
            <w:r>
              <w:rPr>
                <w:rFonts w:ascii="Times New Roman" w:hAnsi="Times New Roman"/>
                <w:szCs w:val="18"/>
                <w:lang w:val="fr-FR"/>
              </w:rPr>
              <w:br/>
              <w:t>un minimum de 20 par sous-groupe (Q)</w:t>
            </w:r>
          </w:p>
        </w:tc>
      </w:tr>
      <w:tr w:rsidR="00681B4D" w14:paraId="53CDE193" w14:textId="77777777" w:rsidTr="00681B4D">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14:paraId="785D261E" w14:textId="77777777" w:rsidR="00681B4D" w:rsidRDefault="00681B4D">
            <w:pPr>
              <w:suppressAutoHyphens w:val="0"/>
              <w:spacing w:line="256"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288C38DF"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Pelage</w:t>
            </w:r>
            <w:r>
              <w:rPr>
                <w:rFonts w:ascii="Times New Roman" w:hAnsi="Times New Roman"/>
                <w:szCs w:val="18"/>
                <w:lang w:val="fr-FR"/>
              </w:rPr>
              <w:br/>
              <w:t xml:space="preserve">et </w:t>
            </w:r>
            <w:r>
              <w:rPr>
                <w:rFonts w:ascii="Times New Roman" w:hAnsi="Times New Roman"/>
                <w:szCs w:val="18"/>
                <w:lang w:val="fr-FR"/>
              </w:rPr>
              <w:br/>
              <w:t xml:space="preserve">corrosion </w:t>
            </w:r>
          </w:p>
        </w:tc>
        <w:tc>
          <w:tcPr>
            <w:tcW w:w="1566" w:type="dxa"/>
            <w:tcBorders>
              <w:top w:val="single" w:sz="6" w:space="0" w:color="auto"/>
              <w:left w:val="single" w:sz="6" w:space="0" w:color="auto"/>
              <w:bottom w:val="single" w:sz="6" w:space="0" w:color="auto"/>
              <w:right w:val="single" w:sz="6" w:space="0" w:color="auto"/>
            </w:tcBorders>
            <w:hideMark/>
          </w:tcPr>
          <w:p w14:paraId="266E931D"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14:paraId="7B0E79AD" w14:textId="77777777" w:rsidR="00681B4D" w:rsidRDefault="00681B4D">
            <w:pPr>
              <w:spacing w:before="40" w:after="80" w:line="200" w:lineRule="atLeast"/>
              <w:ind w:left="57" w:right="57"/>
              <w:jc w:val="center"/>
              <w:rPr>
                <w:sz w:val="18"/>
                <w:szCs w:val="18"/>
                <w:lang w:val="fr-FR"/>
              </w:rPr>
            </w:pPr>
            <w:r>
              <w:rPr>
                <w:sz w:val="18"/>
                <w:szCs w:val="18"/>
                <w:lang w:val="fr-FR"/>
              </w:rPr>
              <w:t>Degré de corrosion max :</w:t>
            </w:r>
            <w:r>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14:paraId="755EE040" w14:textId="77777777" w:rsidR="00681B4D" w:rsidRDefault="00681B4D">
            <w:pPr>
              <w:spacing w:before="40" w:after="80" w:line="200" w:lineRule="atLeast"/>
              <w:ind w:left="57" w:right="57"/>
              <w:jc w:val="center"/>
              <w:rPr>
                <w:sz w:val="18"/>
                <w:szCs w:val="18"/>
                <w:lang w:val="fr-FR"/>
              </w:rPr>
            </w:pPr>
            <w:r>
              <w:rPr>
                <w:sz w:val="18"/>
                <w:szCs w:val="18"/>
                <w:lang w:val="fr-FR"/>
              </w:rPr>
              <w:t>Q/1 000</w:t>
            </w:r>
          </w:p>
        </w:tc>
      </w:tr>
      <w:tr w:rsidR="00681B4D" w14:paraId="17FD8862" w14:textId="77777777" w:rsidTr="00681B4D">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14:paraId="1C5394A7" w14:textId="77777777" w:rsidR="00681B4D" w:rsidRDefault="00681B4D">
            <w:pPr>
              <w:suppressAutoHyphens w:val="0"/>
              <w:spacing w:line="256" w:lineRule="auto"/>
              <w:rPr>
                <w:rFonts w:eastAsia="MS Mincho"/>
                <w:sz w:val="18"/>
                <w:szCs w:val="18"/>
                <w:lang w:val="fr-FR" w:eastAsia="fr-FR"/>
              </w:rPr>
            </w:pPr>
          </w:p>
        </w:tc>
        <w:tc>
          <w:tcPr>
            <w:tcW w:w="1394" w:type="dxa"/>
            <w:tcBorders>
              <w:top w:val="single" w:sz="6" w:space="0" w:color="auto"/>
              <w:left w:val="single" w:sz="6" w:space="0" w:color="auto"/>
              <w:bottom w:val="nil"/>
              <w:right w:val="single" w:sz="6" w:space="0" w:color="auto"/>
            </w:tcBorders>
            <w:hideMark/>
          </w:tcPr>
          <w:p w14:paraId="4D7A92C0"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Adhérence du polyuréthane</w:t>
            </w:r>
          </w:p>
        </w:tc>
        <w:tc>
          <w:tcPr>
            <w:tcW w:w="1566"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725C9F8C" w14:textId="77777777" w:rsidR="00681B4D" w:rsidRDefault="00681B4D">
            <w:pPr>
              <w:pStyle w:val="Tabletext9"/>
              <w:spacing w:before="40" w:after="80" w:line="200" w:lineRule="atLeast"/>
              <w:ind w:right="57"/>
              <w:jc w:val="left"/>
              <w:rPr>
                <w:rFonts w:ascii="Times New Roman" w:hAnsi="Times New Roman"/>
                <w:szCs w:val="18"/>
                <w:lang w:val="fr-FR"/>
              </w:rPr>
            </w:pPr>
            <w:r>
              <w:rPr>
                <w:rFonts w:ascii="Times New Roman" w:hAnsi="Times New Roman"/>
                <w:lang w:val="fr-FR"/>
              </w:rPr>
              <w:t>ISO 2859-1:1999 + A1:2011</w:t>
            </w:r>
            <w:r>
              <w:rPr>
                <w:rFonts w:ascii="Times New Roman" w:hAnsi="Times New Roman"/>
                <w:szCs w:val="18"/>
                <w:lang w:val="fr-FR"/>
              </w:rPr>
              <w:br/>
            </w:r>
            <w:r>
              <w:rPr>
                <w:rFonts w:ascii="Times New Roman" w:hAnsi="Times New Roman"/>
                <w:lang w:val="fr-FR"/>
              </w:rPr>
              <w:t>EN 1442:2017</w:t>
            </w:r>
            <w:r>
              <w:rPr>
                <w:rFonts w:ascii="Times New Roman" w:hAnsi="Times New Roman"/>
                <w:szCs w:val="18"/>
                <w:lang w:val="fr-FR"/>
              </w:rPr>
              <w:br/>
            </w:r>
            <w:r>
              <w:rPr>
                <w:rFonts w:ascii="Times New Roman" w:hAnsi="Times New Roman"/>
                <w:lang w:val="fr-FR"/>
              </w:rPr>
              <w:t>EN 14140:2014 + AC:2015</w:t>
            </w:r>
          </w:p>
        </w:tc>
        <w:tc>
          <w:tcPr>
            <w:tcW w:w="3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61A8DB" w14:textId="77777777" w:rsidR="00681B4D" w:rsidRDefault="00681B4D">
            <w:pPr>
              <w:spacing w:before="40" w:after="80" w:line="200" w:lineRule="atLeast"/>
              <w:ind w:left="57" w:right="57"/>
              <w:jc w:val="center"/>
              <w:rPr>
                <w:sz w:val="18"/>
                <w:szCs w:val="18"/>
                <w:lang w:val="fr-FR"/>
              </w:rPr>
            </w:pPr>
            <w:r>
              <w:rPr>
                <w:sz w:val="18"/>
                <w:szCs w:val="18"/>
                <w:lang w:val="fr-FR"/>
              </w:rPr>
              <w:t>Valeur d’adhérence &gt; 0,5 N/mm</w:t>
            </w:r>
            <w:r>
              <w:rPr>
                <w:sz w:val="18"/>
                <w:szCs w:val="18"/>
                <w:vertAlign w:val="superscript"/>
                <w:lang w:val="fr-FR"/>
              </w:rPr>
              <w:t>2</w:t>
            </w:r>
          </w:p>
        </w:tc>
        <w:tc>
          <w:tcPr>
            <w:tcW w:w="1993"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4B97C215" w14:textId="77777777" w:rsidR="00681B4D" w:rsidRDefault="00681B4D">
            <w:pPr>
              <w:spacing w:before="40" w:after="80" w:line="200" w:lineRule="atLeast"/>
              <w:ind w:left="57" w:right="57"/>
              <w:jc w:val="center"/>
              <w:rPr>
                <w:position w:val="-12"/>
                <w:sz w:val="18"/>
                <w:szCs w:val="18"/>
                <w:lang w:val="fr-FR"/>
              </w:rPr>
            </w:pPr>
            <w:r>
              <w:rPr>
                <w:sz w:val="18"/>
                <w:szCs w:val="18"/>
                <w:lang w:val="fr-FR"/>
              </w:rPr>
              <w:t>Voir ISO 2859-1:1999 + A1:2011 appliquée à Q/1000</w:t>
            </w:r>
          </w:p>
        </w:tc>
      </w:tr>
      <w:tr w:rsidR="00681B4D" w14:paraId="176C19C9" w14:textId="77777777" w:rsidTr="00681B4D">
        <w:trPr>
          <w:cantSplit/>
          <w:trHeight w:val="20"/>
        </w:trPr>
        <w:tc>
          <w:tcPr>
            <w:tcW w:w="1124" w:type="dxa"/>
            <w:vMerge w:val="restart"/>
            <w:tcBorders>
              <w:top w:val="single" w:sz="6" w:space="0" w:color="auto"/>
              <w:left w:val="single" w:sz="12" w:space="0" w:color="auto"/>
              <w:bottom w:val="single" w:sz="6" w:space="0" w:color="auto"/>
              <w:right w:val="single" w:sz="6" w:space="0" w:color="auto"/>
            </w:tcBorders>
            <w:hideMark/>
          </w:tcPr>
          <w:p w14:paraId="7465C887"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Puis tous les 5 ans</w:t>
            </w:r>
          </w:p>
          <w:p w14:paraId="7FCAD455"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14:paraId="2340B34C"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14:paraId="042B2C2D"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14:paraId="074A6B5B" w14:textId="77777777" w:rsidR="00681B4D" w:rsidRDefault="00681B4D">
            <w:pPr>
              <w:pStyle w:val="Tabletext9"/>
              <w:spacing w:before="40" w:after="80" w:line="200" w:lineRule="atLeast"/>
              <w:ind w:left="57" w:right="57"/>
              <w:jc w:val="center"/>
              <w:rPr>
                <w:rFonts w:ascii="Times New Roman" w:hAnsi="Times New Roman"/>
                <w:szCs w:val="18"/>
                <w:lang w:val="fr-FR"/>
              </w:rPr>
            </w:pPr>
            <w:r>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14:paraId="4D052D97" w14:textId="77777777" w:rsidR="00681B4D" w:rsidRDefault="00681B4D">
            <w:pPr>
              <w:spacing w:before="40" w:after="80" w:line="200" w:lineRule="atLeast"/>
              <w:ind w:left="57" w:right="57"/>
              <w:jc w:val="center"/>
              <w:rPr>
                <w:sz w:val="18"/>
                <w:szCs w:val="18"/>
                <w:lang w:val="fr-FR"/>
              </w:rPr>
            </w:pPr>
            <w:r>
              <w:rPr>
                <w:sz w:val="18"/>
                <w:szCs w:val="18"/>
                <w:lang w:val="fr-FR"/>
              </w:rPr>
              <w:br/>
              <w:t>Ω</w:t>
            </w:r>
            <w:r>
              <w:rPr>
                <w:sz w:val="18"/>
                <w:szCs w:val="18"/>
                <w:vertAlign w:val="subscript"/>
                <w:lang w:val="fr-FR"/>
              </w:rPr>
              <w:t>m</w:t>
            </w:r>
            <w:r>
              <w:rPr>
                <w:sz w:val="18"/>
                <w:szCs w:val="18"/>
                <w:lang w:val="fr-FR"/>
              </w:rPr>
              <w:t xml:space="preserve"> ≥ 1 + Ω</w:t>
            </w:r>
            <w:r>
              <w:rPr>
                <w:sz w:val="18"/>
                <w:szCs w:val="18"/>
                <w:vertAlign w:val="subscript"/>
                <w:lang w:val="fr-FR"/>
              </w:rPr>
              <w:t>s</w:t>
            </w:r>
            <w:r>
              <w:rPr>
                <w:sz w:val="18"/>
                <w:szCs w:val="18"/>
                <w:lang w:val="fr-FR"/>
              </w:rPr>
              <w:t xml:space="preserve"> × k3 (n;p;1-α) </w:t>
            </w:r>
            <w:r>
              <w:rPr>
                <w:b/>
                <w:szCs w:val="18"/>
                <w:vertAlign w:val="superscript"/>
                <w:lang w:val="fr-FR"/>
              </w:rPr>
              <w:t>a</w:t>
            </w:r>
            <w:r>
              <w:rPr>
                <w:sz w:val="18"/>
                <w:szCs w:val="18"/>
                <w:lang w:val="fr-FR"/>
              </w:rPr>
              <w:br/>
            </w:r>
          </w:p>
          <w:p w14:paraId="5AB2E826" w14:textId="77777777" w:rsidR="00681B4D" w:rsidRDefault="00681B4D">
            <w:pPr>
              <w:spacing w:before="40" w:after="80" w:line="200" w:lineRule="atLeast"/>
              <w:ind w:left="57" w:right="57"/>
              <w:jc w:val="center"/>
              <w:rPr>
                <w:sz w:val="18"/>
                <w:szCs w:val="18"/>
                <w:lang w:val="fr-FR"/>
              </w:rPr>
            </w:pPr>
            <w:r>
              <w:rPr>
                <w:szCs w:val="18"/>
                <w:lang w:val="fr-FR"/>
              </w:rP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14:paraId="1C80E208" w14:textId="77777777" w:rsidR="00681B4D" w:rsidRDefault="00681B4D">
            <w:pPr>
              <w:spacing w:before="40" w:after="80" w:line="200" w:lineRule="atLeast"/>
              <w:ind w:left="57" w:right="57"/>
              <w:jc w:val="center"/>
              <w:rPr>
                <w:sz w:val="18"/>
                <w:szCs w:val="18"/>
                <w:lang w:val="fr-FR"/>
              </w:rPr>
            </w:pPr>
            <w:r>
              <w:rPr>
                <w:position w:val="-10"/>
                <w:szCs w:val="18"/>
                <w:lang w:val="fr-FR"/>
              </w:rPr>
              <w:object w:dxaOrig="480" w:dyaOrig="360" w14:anchorId="6C760745">
                <v:shape id="_x0000_i1026" type="#_x0000_t75" style="width:23.85pt;height:18pt" o:ole="">
                  <v:imagedata r:id="rId10" o:title=""/>
                </v:shape>
                <o:OLEObject Type="Embed" ProgID="Equation.3" ShapeID="_x0000_i1026" DrawAspect="Content" ObjectID="_1570012760" r:id="rId11"/>
              </w:object>
            </w:r>
            <w:r>
              <w:rPr>
                <w:sz w:val="18"/>
                <w:szCs w:val="18"/>
                <w:lang w:val="fr-FR"/>
              </w:rPr>
              <w:t xml:space="preserve"> ou Q/100 la valeur la plus petite étant retenue </w:t>
            </w:r>
            <w:r>
              <w:rPr>
                <w:sz w:val="18"/>
                <w:szCs w:val="18"/>
                <w:lang w:val="fr-FR"/>
              </w:rPr>
              <w:br/>
              <w:t xml:space="preserve">et </w:t>
            </w:r>
            <w:r>
              <w:rPr>
                <w:sz w:val="18"/>
                <w:szCs w:val="18"/>
                <w:lang w:val="fr-FR"/>
              </w:rPr>
              <w:br/>
              <w:t>un minimum de 40 par sous-groupe (Q)</w:t>
            </w:r>
          </w:p>
        </w:tc>
      </w:tr>
      <w:tr w:rsidR="00681B4D" w14:paraId="7D18E5EA" w14:textId="77777777" w:rsidTr="00681B4D">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14:paraId="2925F56F" w14:textId="77777777" w:rsidR="00681B4D" w:rsidRDefault="00681B4D">
            <w:pPr>
              <w:suppressAutoHyphens w:val="0"/>
              <w:spacing w:line="256"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30456CC1"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 xml:space="preserve">Pelage et corrosion </w:t>
            </w:r>
          </w:p>
        </w:tc>
        <w:tc>
          <w:tcPr>
            <w:tcW w:w="1566" w:type="dxa"/>
            <w:tcBorders>
              <w:top w:val="single" w:sz="6" w:space="0" w:color="auto"/>
              <w:left w:val="single" w:sz="6" w:space="0" w:color="auto"/>
              <w:bottom w:val="single" w:sz="6" w:space="0" w:color="auto"/>
              <w:right w:val="single" w:sz="6" w:space="0" w:color="auto"/>
            </w:tcBorders>
            <w:hideMark/>
          </w:tcPr>
          <w:p w14:paraId="726A0240"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14:paraId="67E53ECB" w14:textId="77777777" w:rsidR="00681B4D" w:rsidRDefault="00681B4D">
            <w:pPr>
              <w:spacing w:before="40" w:after="80" w:line="200" w:lineRule="atLeast"/>
              <w:ind w:left="57" w:right="57"/>
              <w:jc w:val="center"/>
              <w:rPr>
                <w:sz w:val="18"/>
                <w:szCs w:val="18"/>
                <w:lang w:val="fr-FR"/>
              </w:rPr>
            </w:pPr>
            <w:r>
              <w:rPr>
                <w:sz w:val="18"/>
                <w:szCs w:val="18"/>
                <w:lang w:val="fr-FR"/>
              </w:rPr>
              <w:t>Degré de corrosion max :</w:t>
            </w:r>
            <w:r>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14:paraId="60A6E12A" w14:textId="77777777" w:rsidR="00681B4D" w:rsidRDefault="00681B4D">
            <w:pPr>
              <w:spacing w:before="40" w:after="80" w:line="200" w:lineRule="atLeast"/>
              <w:ind w:left="57" w:right="57"/>
              <w:jc w:val="center"/>
              <w:rPr>
                <w:sz w:val="18"/>
                <w:szCs w:val="18"/>
                <w:lang w:val="fr-FR"/>
              </w:rPr>
            </w:pPr>
            <w:r>
              <w:rPr>
                <w:sz w:val="18"/>
                <w:szCs w:val="18"/>
                <w:lang w:val="fr-FR"/>
              </w:rPr>
              <w:t>Q/1 000</w:t>
            </w:r>
          </w:p>
        </w:tc>
      </w:tr>
      <w:tr w:rsidR="00681B4D" w14:paraId="10BD95FE" w14:textId="77777777" w:rsidTr="00681B4D">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14:paraId="3F394429" w14:textId="77777777" w:rsidR="00681B4D" w:rsidRDefault="00681B4D">
            <w:pPr>
              <w:suppressAutoHyphens w:val="0"/>
              <w:spacing w:line="256"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14:paraId="12F8A001"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Adhérence du polyuréthane</w:t>
            </w:r>
          </w:p>
        </w:tc>
        <w:tc>
          <w:tcPr>
            <w:tcW w:w="1566" w:type="dxa"/>
            <w:tcBorders>
              <w:top w:val="single" w:sz="6" w:space="0" w:color="auto"/>
              <w:left w:val="single" w:sz="6" w:space="0" w:color="auto"/>
              <w:bottom w:val="single" w:sz="6" w:space="0" w:color="auto"/>
              <w:right w:val="single" w:sz="6" w:space="0" w:color="auto"/>
            </w:tcBorders>
            <w:hideMark/>
          </w:tcPr>
          <w:p w14:paraId="671F084C" w14:textId="77777777" w:rsidR="00681B4D" w:rsidRDefault="00681B4D">
            <w:pPr>
              <w:pStyle w:val="Tabletext9"/>
              <w:spacing w:before="0" w:after="0" w:line="240" w:lineRule="auto"/>
              <w:ind w:left="57" w:right="57"/>
              <w:jc w:val="left"/>
              <w:rPr>
                <w:rFonts w:ascii="Times New Roman" w:hAnsi="Times New Roman"/>
                <w:szCs w:val="18"/>
                <w:lang w:val="fr-FR"/>
              </w:rPr>
            </w:pPr>
            <w:r>
              <w:rPr>
                <w:rFonts w:ascii="Times New Roman" w:hAnsi="Times New Roman"/>
                <w:szCs w:val="18"/>
                <w:lang w:val="fr-FR"/>
              </w:rPr>
              <w:t>ISO 2859-1:1999 + A1:2011</w:t>
            </w:r>
          </w:p>
          <w:p w14:paraId="2C8E45D2" w14:textId="77777777" w:rsidR="00681B4D" w:rsidRDefault="00681B4D">
            <w:pPr>
              <w:pStyle w:val="Tabletext9"/>
              <w:spacing w:before="0" w:after="0" w:line="240" w:lineRule="auto"/>
              <w:ind w:left="57" w:right="57"/>
              <w:jc w:val="left"/>
              <w:rPr>
                <w:rFonts w:ascii="Times New Roman" w:hAnsi="Times New Roman"/>
                <w:szCs w:val="18"/>
                <w:lang w:val="fr-FR"/>
              </w:rPr>
            </w:pPr>
            <w:r>
              <w:rPr>
                <w:rFonts w:ascii="Times New Roman" w:hAnsi="Times New Roman"/>
                <w:szCs w:val="18"/>
                <w:lang w:val="fr-FR"/>
              </w:rPr>
              <w:t>EN 1442:2017</w:t>
            </w:r>
          </w:p>
          <w:p w14:paraId="69194694" w14:textId="77777777" w:rsidR="00681B4D" w:rsidRDefault="00681B4D">
            <w:pPr>
              <w:pStyle w:val="Tabletext9"/>
              <w:spacing w:before="40" w:after="80" w:line="200" w:lineRule="atLeast"/>
              <w:ind w:left="57" w:right="57"/>
              <w:jc w:val="left"/>
              <w:rPr>
                <w:rFonts w:ascii="Times New Roman" w:hAnsi="Times New Roman"/>
                <w:szCs w:val="18"/>
                <w:lang w:val="fr-FR"/>
              </w:rPr>
            </w:pPr>
            <w:r>
              <w:rPr>
                <w:rFonts w:ascii="Times New Roman" w:hAnsi="Times New Roman"/>
                <w:szCs w:val="18"/>
                <w:lang w:val="fr-FR"/>
              </w:rPr>
              <w:t>EN 14140:2014 + AC:2015</w:t>
            </w:r>
          </w:p>
        </w:tc>
        <w:tc>
          <w:tcPr>
            <w:tcW w:w="3560" w:type="dxa"/>
            <w:tcBorders>
              <w:top w:val="single" w:sz="6" w:space="0" w:color="auto"/>
              <w:left w:val="single" w:sz="6" w:space="0" w:color="auto"/>
              <w:bottom w:val="single" w:sz="6" w:space="0" w:color="auto"/>
              <w:right w:val="single" w:sz="6" w:space="0" w:color="auto"/>
            </w:tcBorders>
            <w:hideMark/>
          </w:tcPr>
          <w:p w14:paraId="09B58BF0" w14:textId="77777777" w:rsidR="00681B4D" w:rsidRDefault="00681B4D">
            <w:pPr>
              <w:spacing w:before="40" w:after="80" w:line="200" w:lineRule="atLeast"/>
              <w:ind w:left="57" w:right="57"/>
              <w:jc w:val="center"/>
              <w:rPr>
                <w:sz w:val="18"/>
                <w:szCs w:val="18"/>
                <w:lang w:val="fr-FR"/>
              </w:rPr>
            </w:pPr>
            <w:r>
              <w:rPr>
                <w:sz w:val="18"/>
                <w:szCs w:val="18"/>
                <w:lang w:val="fr-FR"/>
              </w:rPr>
              <w:t>Valeur d’adhérence &gt; 0,5 N/mm</w:t>
            </w:r>
            <w:r>
              <w:rPr>
                <w:sz w:val="18"/>
                <w:szCs w:val="18"/>
                <w:vertAlign w:val="superscript"/>
                <w:lang w:val="fr-FR"/>
              </w:rPr>
              <w:t>2</w:t>
            </w:r>
          </w:p>
        </w:tc>
        <w:tc>
          <w:tcPr>
            <w:tcW w:w="1993" w:type="dxa"/>
            <w:tcBorders>
              <w:top w:val="single" w:sz="6" w:space="0" w:color="auto"/>
              <w:left w:val="single" w:sz="6" w:space="0" w:color="auto"/>
              <w:bottom w:val="single" w:sz="6" w:space="0" w:color="auto"/>
              <w:right w:val="single" w:sz="6" w:space="0" w:color="auto"/>
            </w:tcBorders>
            <w:hideMark/>
          </w:tcPr>
          <w:p w14:paraId="14C62672" w14:textId="77777777" w:rsidR="00681B4D" w:rsidRDefault="00681B4D">
            <w:pPr>
              <w:spacing w:before="40" w:after="80" w:line="200" w:lineRule="atLeast"/>
              <w:ind w:left="57" w:right="57"/>
              <w:jc w:val="center"/>
              <w:rPr>
                <w:position w:val="-12"/>
                <w:sz w:val="18"/>
                <w:szCs w:val="18"/>
                <w:lang w:val="fr-FR"/>
              </w:rPr>
            </w:pPr>
            <w:r>
              <w:rPr>
                <w:sz w:val="18"/>
                <w:szCs w:val="18"/>
                <w:lang w:val="fr-FR"/>
              </w:rPr>
              <w:t>Voir ISO 2859-1:1999 + A1:2011 appliquée à Q/1000</w:t>
            </w:r>
          </w:p>
        </w:tc>
      </w:tr>
    </w:tbl>
    <w:p w14:paraId="542FFC0D" w14:textId="77777777" w:rsidR="00681B4D" w:rsidRDefault="00681B4D" w:rsidP="00681B4D">
      <w:pPr>
        <w:pStyle w:val="SingleTxtG"/>
        <w:spacing w:before="120"/>
        <w:rPr>
          <w:rFonts w:eastAsiaTheme="minorHAnsi"/>
          <w:i/>
          <w:lang w:val="fr-FR"/>
        </w:rPr>
      </w:pPr>
      <w:r>
        <w:rPr>
          <w:b/>
          <w:szCs w:val="18"/>
          <w:vertAlign w:val="superscript"/>
          <w:lang w:val="fr-FR"/>
        </w:rPr>
        <w:lastRenderedPageBreak/>
        <w:t>a</w:t>
      </w:r>
      <w:r>
        <w:rPr>
          <w:lang w:val="fr-FR"/>
        </w:rPr>
        <w:t xml:space="preserve"> </w:t>
      </w:r>
      <w:r>
        <w:rPr>
          <w:lang w:val="fr-FR"/>
        </w:rPr>
        <w:tab/>
      </w:r>
      <w:r>
        <w:rPr>
          <w:i/>
          <w:lang w:val="fr-FR"/>
        </w:rPr>
        <w:t>Le point de pression de rupture (BPP) de l’échantillon représentatif est utilisé pour l’évaluation des résultats de test au moyen d’un Tableau de Performance des Echantillons :</w:t>
      </w:r>
    </w:p>
    <w:p w14:paraId="4FE56333" w14:textId="77777777" w:rsidR="00681B4D" w:rsidRDefault="00681B4D" w:rsidP="00681B4D">
      <w:pPr>
        <w:pStyle w:val="SingleTxtG"/>
        <w:keepNext/>
        <w:rPr>
          <w:i/>
          <w:spacing w:val="-1"/>
          <w:lang w:val="fr-FR"/>
        </w:rPr>
      </w:pPr>
      <w:r>
        <w:rPr>
          <w:i/>
          <w:spacing w:val="-1"/>
          <w:lang w:val="fr-FR"/>
        </w:rPr>
        <w:t>Étape 1 : Détermination du point de pression de rupture (BPP) d’un échantillon représentatif</w:t>
      </w:r>
    </w:p>
    <w:p w14:paraId="2E1B8B9F" w14:textId="77777777" w:rsidR="00681B4D" w:rsidRDefault="00681B4D" w:rsidP="00681B4D">
      <w:pPr>
        <w:pStyle w:val="SingleTxtG"/>
        <w:rPr>
          <w:i/>
          <w:lang w:val="fr-FR"/>
        </w:rPr>
      </w:pPr>
      <w:r>
        <w:rPr>
          <w:i/>
          <w:lang w:val="fr-FR"/>
        </w:rPr>
        <w:t>Chaque échantillon est représenté par un point dont les coordonnées sont la valeur moyenne et l’écart type des résultats des essais de rupture de l’échantillon, chacun normalisé par la pression d’épreuve correspondante.</w:t>
      </w:r>
    </w:p>
    <w:p w14:paraId="71C82268" w14:textId="77777777" w:rsidR="00681B4D" w:rsidRDefault="00681B4D" w:rsidP="00681B4D">
      <w:pPr>
        <w:spacing w:after="120"/>
        <w:ind w:left="1701" w:right="1134"/>
        <w:jc w:val="center"/>
        <w:rPr>
          <w:i/>
          <w:lang w:val="fr-FR"/>
        </w:rPr>
      </w:pPr>
      <m:oMathPara>
        <m:oMath>
          <m:r>
            <w:rPr>
              <w:rFonts w:ascii="Cambria Math" w:hAnsi="Cambria Math"/>
              <w:lang w:val="fr-FR"/>
            </w:rPr>
            <m:t>BPP:(</m:t>
          </m:r>
          <m:sSub>
            <m:sSubPr>
              <m:ctrlPr>
                <w:rPr>
                  <w:rFonts w:ascii="Cambria Math" w:hAnsi="Cambria Math"/>
                  <w:i/>
                  <w:lang w:val="fr-FR"/>
                </w:rPr>
              </m:ctrlPr>
            </m:sSubPr>
            <m:e>
              <m:r>
                <m:rPr>
                  <m:sty m:val="p"/>
                </m:rPr>
                <w:rPr>
                  <w:rFonts w:ascii="Cambria Math" w:hAnsi="Cambria Math"/>
                  <w:position w:val="-4"/>
                  <w:lang w:val="fr-FR"/>
                </w:rPr>
                <w:object w:dxaOrig="255" w:dyaOrig="255" w14:anchorId="2233E9D6">
                  <v:shape id="_x0000_i1028" type="#_x0000_t75" style="width:12.55pt;height:12.55pt" o:ole="">
                    <v:imagedata r:id="rId12" o:title=""/>
                  </v:shape>
                  <o:OLEObject Type="Embed" ProgID="Equation.3" ShapeID="_x0000_i1028" DrawAspect="Content" ObjectID="_1570012761" r:id="rId13"/>
                </w:object>
              </m:r>
            </m:e>
            <m:sub>
              <m:r>
                <w:rPr>
                  <w:rFonts w:ascii="Cambria Math" w:hAnsi="Cambria Math"/>
                  <w:lang w:val="fr-FR"/>
                </w:rPr>
                <m:t>s</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s</m:t>
              </m:r>
            </m:num>
            <m:den>
              <m:r>
                <w:rPr>
                  <w:rFonts w:ascii="Cambria Math" w:hAnsi="Cambria Math"/>
                  <w:lang w:val="fr-FR"/>
                </w:rPr>
                <m:t>PH</m:t>
              </m:r>
            </m:den>
          </m:f>
          <m:r>
            <w:rPr>
              <w:rFonts w:ascii="Cambria Math" w:hAnsi="Cambria Math"/>
              <w:lang w:val="fr-FR"/>
            </w:rPr>
            <m:t xml:space="preserve"> ; </m:t>
          </m:r>
          <m:sSub>
            <m:sSubPr>
              <m:ctrlPr>
                <w:rPr>
                  <w:rFonts w:ascii="Cambria Math" w:hAnsi="Cambria Math"/>
                  <w:i/>
                  <w:lang w:val="fr-FR"/>
                </w:rPr>
              </m:ctrlPr>
            </m:sSubPr>
            <m:e>
              <m:r>
                <m:rPr>
                  <m:sty m:val="p"/>
                </m:rPr>
                <w:rPr>
                  <w:rFonts w:ascii="Cambria Math" w:hAnsi="Cambria Math"/>
                  <w:position w:val="-4"/>
                  <w:lang w:val="fr-FR"/>
                </w:rPr>
                <w:object w:dxaOrig="255" w:dyaOrig="255" w14:anchorId="3FC92897">
                  <v:shape id="_x0000_i1030" type="#_x0000_t75" style="width:12.55pt;height:12.55pt" o:ole="">
                    <v:imagedata r:id="rId12" o:title=""/>
                  </v:shape>
                  <o:OLEObject Type="Embed" ProgID="Equation.3" ShapeID="_x0000_i1030" DrawAspect="Content" ObjectID="_1570012762" r:id="rId14"/>
                </w:object>
              </m:r>
            </m:e>
            <m:sub>
              <m:r>
                <w:rPr>
                  <w:rFonts w:ascii="Cambria Math" w:hAnsi="Cambria Math"/>
                  <w:lang w:val="fr-FR"/>
                </w:rPr>
                <m:t>m</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x</m:t>
              </m:r>
            </m:num>
            <m:den>
              <m:r>
                <w:rPr>
                  <w:rFonts w:ascii="Cambria Math" w:hAnsi="Cambria Math"/>
                  <w:lang w:val="fr-FR"/>
                </w:rPr>
                <m:t>PH</m:t>
              </m:r>
            </m:den>
          </m:f>
          <m:r>
            <w:rPr>
              <w:rFonts w:ascii="Cambria Math" w:hAnsi="Cambria Math"/>
              <w:lang w:val="fr-FR"/>
            </w:rPr>
            <m:t xml:space="preserve"> )</m:t>
          </m:r>
        </m:oMath>
      </m:oMathPara>
    </w:p>
    <w:p w14:paraId="25DCF335" w14:textId="77777777" w:rsidR="00681B4D" w:rsidRDefault="00681B4D" w:rsidP="00681B4D">
      <w:pPr>
        <w:pStyle w:val="SingleTxtG"/>
        <w:rPr>
          <w:i/>
          <w:lang w:val="fr-FR"/>
        </w:rPr>
      </w:pPr>
      <w:r>
        <w:rPr>
          <w:i/>
          <w:lang w:val="fr-FR"/>
        </w:rPr>
        <w:t>où</w:t>
      </w:r>
    </w:p>
    <w:p w14:paraId="286B02CF" w14:textId="77777777" w:rsidR="00681B4D" w:rsidRDefault="00681B4D" w:rsidP="00681B4D">
      <w:pPr>
        <w:pStyle w:val="SingleTxtG"/>
        <w:rPr>
          <w:i/>
          <w:lang w:val="fr-FR"/>
        </w:rPr>
      </w:pPr>
      <w:r>
        <w:rPr>
          <w:i/>
          <w:lang w:val="fr-FR"/>
        </w:rPr>
        <w:t>x : valeur moyenne de l’échantillon ;</w:t>
      </w:r>
    </w:p>
    <w:p w14:paraId="2C578EC6" w14:textId="77777777" w:rsidR="00681B4D" w:rsidRDefault="00681B4D" w:rsidP="00681B4D">
      <w:pPr>
        <w:pStyle w:val="SingleTxtG"/>
        <w:rPr>
          <w:i/>
          <w:lang w:val="fr-FR"/>
        </w:rPr>
      </w:pPr>
      <w:r>
        <w:rPr>
          <w:i/>
          <w:lang w:val="fr-FR"/>
        </w:rPr>
        <w:t>s : écart type de l’échantillon ;</w:t>
      </w:r>
    </w:p>
    <w:p w14:paraId="360D1806" w14:textId="77777777" w:rsidR="00681B4D" w:rsidRDefault="00681B4D" w:rsidP="00681B4D">
      <w:pPr>
        <w:pStyle w:val="SingleTxtG"/>
        <w:rPr>
          <w:i/>
          <w:lang w:val="fr-FR"/>
        </w:rPr>
      </w:pPr>
      <w:r>
        <w:rPr>
          <w:i/>
          <w:lang w:val="fr-FR"/>
        </w:rPr>
        <w:t>PH : Pression d’épreuve.</w:t>
      </w:r>
    </w:p>
    <w:p w14:paraId="2F5F6CB5" w14:textId="77777777" w:rsidR="00681B4D" w:rsidRDefault="00681B4D" w:rsidP="00681B4D">
      <w:pPr>
        <w:pStyle w:val="SingleTxtG"/>
        <w:keepNext/>
        <w:rPr>
          <w:i/>
          <w:lang w:val="fr-FR"/>
        </w:rPr>
      </w:pPr>
      <w:r>
        <w:rPr>
          <w:i/>
          <w:lang w:val="fr-FR"/>
        </w:rPr>
        <w:t>Étape 2 : Tracé sur un Tableau de Performance des Echantillons</w:t>
      </w:r>
    </w:p>
    <w:p w14:paraId="7ADA1D03" w14:textId="77777777" w:rsidR="00681B4D" w:rsidRDefault="00681B4D" w:rsidP="00681B4D">
      <w:pPr>
        <w:pStyle w:val="SingleTxtG"/>
        <w:keepNext/>
        <w:rPr>
          <w:i/>
          <w:lang w:val="fr-FR"/>
        </w:rPr>
      </w:pPr>
      <w:r>
        <w:rPr>
          <w:i/>
          <w:lang w:val="fr-FR"/>
        </w:rPr>
        <w:t>Chaque point de pression de rupture est porté sur un Tableau de Performance des Echantillons avec les axes suivants :</w:t>
      </w:r>
    </w:p>
    <w:p w14:paraId="1C980450" w14:textId="0A7DF280" w:rsidR="00681B4D" w:rsidRPr="001D36B3" w:rsidRDefault="001D36B3" w:rsidP="001D36B3">
      <w:pPr>
        <w:pStyle w:val="SingleTxtG"/>
        <w:rPr>
          <w:i/>
          <w:lang w:val="fr-FR"/>
        </w:rPr>
      </w:pPr>
      <w:r>
        <w:rPr>
          <w:lang w:val="fr-FR"/>
        </w:rPr>
        <w:t>-</w:t>
      </w:r>
      <w:r>
        <w:rPr>
          <w:lang w:val="fr-FR"/>
        </w:rPr>
        <w:tab/>
      </w:r>
      <w:r w:rsidR="00681B4D" w:rsidRPr="001D36B3">
        <w:rPr>
          <w:i/>
          <w:lang w:val="fr-FR"/>
        </w:rPr>
        <w:t>Abscisse : écart type normalisé par la pression d’épreuve (Ω</w:t>
      </w:r>
      <w:r w:rsidR="00681B4D" w:rsidRPr="001D36B3">
        <w:rPr>
          <w:i/>
          <w:vertAlign w:val="subscript"/>
          <w:lang w:val="fr-FR"/>
        </w:rPr>
        <w:t>s</w:t>
      </w:r>
      <w:r w:rsidR="00681B4D" w:rsidRPr="001D36B3">
        <w:rPr>
          <w:i/>
          <w:lang w:val="fr-FR"/>
        </w:rPr>
        <w:t>) ;</w:t>
      </w:r>
    </w:p>
    <w:p w14:paraId="0EEA2D3C" w14:textId="77C3240E" w:rsidR="00681B4D" w:rsidRPr="001D36B3" w:rsidRDefault="001D36B3" w:rsidP="001D36B3">
      <w:pPr>
        <w:pStyle w:val="SingleTxtG"/>
        <w:rPr>
          <w:i/>
          <w:lang w:val="fr-FR"/>
        </w:rPr>
      </w:pPr>
      <w:r>
        <w:rPr>
          <w:lang w:val="fr-FR"/>
        </w:rPr>
        <w:t>-</w:t>
      </w:r>
      <w:r>
        <w:rPr>
          <w:lang w:val="fr-FR"/>
        </w:rPr>
        <w:tab/>
      </w:r>
      <w:r w:rsidR="00681B4D" w:rsidRPr="001D36B3">
        <w:rPr>
          <w:i/>
          <w:lang w:val="fr-FR"/>
        </w:rPr>
        <w:t>Ordonnée : moyenne normalisé par la pression d’épreuve (Ω</w:t>
      </w:r>
      <w:r w:rsidR="00681B4D" w:rsidRPr="001D36B3">
        <w:rPr>
          <w:i/>
          <w:vertAlign w:val="subscript"/>
          <w:lang w:val="fr-FR"/>
        </w:rPr>
        <w:t>m</w:t>
      </w:r>
      <w:r w:rsidR="00681B4D" w:rsidRPr="001D36B3">
        <w:rPr>
          <w:i/>
          <w:lang w:val="fr-FR"/>
        </w:rPr>
        <w:t>).</w:t>
      </w:r>
    </w:p>
    <w:p w14:paraId="48D604CD" w14:textId="77777777" w:rsidR="00681B4D" w:rsidRDefault="00681B4D" w:rsidP="00681B4D">
      <w:pPr>
        <w:pStyle w:val="SingleTxtG"/>
        <w:keepNext/>
        <w:rPr>
          <w:i/>
          <w:lang w:val="fr-FR"/>
        </w:rPr>
      </w:pPr>
      <w:r>
        <w:rPr>
          <w:i/>
          <w:lang w:val="fr-FR"/>
        </w:rPr>
        <w:t>Étape 3 : Détermination de la limite inférieure de l’intervalle de tolérance appropriée dans le Tableau de Performance des Echantillons</w:t>
      </w:r>
    </w:p>
    <w:p w14:paraId="55831A8B" w14:textId="77777777" w:rsidR="00681B4D" w:rsidRDefault="00681B4D" w:rsidP="00681B4D">
      <w:pPr>
        <w:pStyle w:val="SingleTxtG"/>
        <w:rPr>
          <w:i/>
          <w:lang w:val="fr-FR"/>
        </w:rPr>
      </w:pPr>
      <w:r>
        <w:rPr>
          <w:i/>
          <w:lang w:val="fr-FR"/>
        </w:rPr>
        <w:t>Les résultats concernant la pression de rupture doivent d’abord être contrôlés conformément au Essai conjoint (essai multidirectionnel) en utilisant un niveau de signification α = 0,05 (voir le paragraphe 7 de la norme ISO 5479:1997) afin de déterminer si la distribution des résultats pour chaque échantillon est normale ou non-normale.</w:t>
      </w:r>
    </w:p>
    <w:p w14:paraId="219E19D2" w14:textId="4C27BFB8" w:rsidR="00681B4D" w:rsidRPr="001D36B3" w:rsidRDefault="001D36B3" w:rsidP="001D36B3">
      <w:pPr>
        <w:pStyle w:val="SingleTxtG"/>
        <w:rPr>
          <w:i/>
          <w:lang w:val="fr-FR"/>
        </w:rPr>
      </w:pPr>
      <w:r>
        <w:rPr>
          <w:lang w:val="fr-FR"/>
        </w:rPr>
        <w:t>-</w:t>
      </w:r>
      <w:r>
        <w:rPr>
          <w:lang w:val="fr-FR"/>
        </w:rPr>
        <w:tab/>
      </w:r>
      <w:r w:rsidR="00681B4D" w:rsidRPr="001D36B3">
        <w:rPr>
          <w:i/>
          <w:lang w:val="fr-FR"/>
        </w:rPr>
        <w:t>Pour une distribution normale, le moyen de déterminer la limite inférieure de l’intervalle de tolérance est expliqué à l’étape 3.1.</w:t>
      </w:r>
    </w:p>
    <w:p w14:paraId="4951402A" w14:textId="1EA75443" w:rsidR="00681B4D" w:rsidRPr="001D36B3" w:rsidRDefault="001D36B3" w:rsidP="001D36B3">
      <w:pPr>
        <w:pStyle w:val="SingleTxtG"/>
        <w:rPr>
          <w:i/>
          <w:lang w:val="fr-FR"/>
        </w:rPr>
      </w:pPr>
      <w:r>
        <w:rPr>
          <w:lang w:val="fr-FR"/>
        </w:rPr>
        <w:t>-</w:t>
      </w:r>
      <w:r>
        <w:rPr>
          <w:lang w:val="fr-FR"/>
        </w:rPr>
        <w:tab/>
      </w:r>
      <w:r w:rsidR="00681B4D" w:rsidRPr="001D36B3">
        <w:rPr>
          <w:i/>
          <w:lang w:val="fr-FR"/>
        </w:rPr>
        <w:t>Pour une distribution non-normale, le moyen de déterminer la limite inférieure de l’intervalle de tolérance est expliqué à l’étape 3.2.</w:t>
      </w:r>
    </w:p>
    <w:p w14:paraId="4D1771E9" w14:textId="77777777" w:rsidR="00681B4D" w:rsidRDefault="00681B4D" w:rsidP="00681B4D">
      <w:pPr>
        <w:pStyle w:val="SingleTxtG"/>
        <w:rPr>
          <w:i/>
          <w:lang w:val="fr-FR"/>
        </w:rPr>
      </w:pPr>
      <w:r>
        <w:rPr>
          <w:i/>
          <w:lang w:val="fr-FR"/>
        </w:rPr>
        <w:t>Étape 3.1 : Limite inférieure de l’intervalle de tolérance pour les résultats respectant une distribution normale</w:t>
      </w:r>
    </w:p>
    <w:p w14:paraId="1779CBA4" w14:textId="77777777" w:rsidR="00681B4D" w:rsidRDefault="00681B4D" w:rsidP="00681B4D">
      <w:pPr>
        <w:pStyle w:val="SingleTxtG"/>
        <w:rPr>
          <w:i/>
          <w:lang w:val="fr-FR"/>
        </w:rPr>
      </w:pPr>
      <w:r>
        <w:rPr>
          <w:i/>
          <w:lang w:val="fr-FR"/>
        </w:rPr>
        <w:t>Conformément à la norme ISO 16269-6:2014 et en considérant que la variance est inconnue, l’intervalle statistique de tolérance unilatéral doit être considéré pour un niveau de confiance de 95 % et une proportion de la population égale à 99,9999 %.</w:t>
      </w:r>
    </w:p>
    <w:p w14:paraId="36861DCF" w14:textId="77777777" w:rsidR="00681B4D" w:rsidRDefault="00681B4D" w:rsidP="00681B4D">
      <w:pPr>
        <w:pStyle w:val="SingleTxtG"/>
        <w:rPr>
          <w:i/>
          <w:lang w:val="fr-FR"/>
        </w:rPr>
      </w:pPr>
      <w:r>
        <w:rPr>
          <w:i/>
          <w:lang w:val="fr-FR"/>
        </w:rPr>
        <w:t>Dans le Tableau de Performance des Echantillons, la limite inférieure de l’intervalle de tolérance est représentée par une ligne de taux de survie constant déterminée par la formule suivante :</w:t>
      </w:r>
    </w:p>
    <w:p w14:paraId="52324FC3" w14:textId="77777777" w:rsidR="00681B4D" w:rsidRDefault="00E2307E" w:rsidP="00681B4D">
      <w:pPr>
        <w:pStyle w:val="SingleTxtG"/>
        <w:rPr>
          <w:i/>
          <w:lang w:val="fr-FR"/>
        </w:rPr>
      </w:pPr>
      <m:oMathPara>
        <m:oMath>
          <m:sSub>
            <m:sSubPr>
              <m:ctrlPr>
                <w:rPr>
                  <w:rFonts w:ascii="Cambria Math" w:hAnsi="Cambria Math"/>
                  <w:i/>
                  <w:lang w:val="fr-FR"/>
                </w:rPr>
              </m:ctrlPr>
            </m:sSubPr>
            <m:e>
              <m:r>
                <m:rPr>
                  <m:sty m:val="p"/>
                </m:rPr>
                <w:rPr>
                  <w:rFonts w:ascii="Cambria Math" w:hAnsi="Cambria Math"/>
                  <w:lang w:val="fr-FR"/>
                </w:rPr>
                <m:t>Ω</m:t>
              </m:r>
            </m:e>
            <m:sub>
              <m:r>
                <w:rPr>
                  <w:rFonts w:ascii="Cambria Math" w:hAnsi="Cambria Math"/>
                  <w:lang w:val="fr-FR"/>
                </w:rPr>
                <m:t>m</m:t>
              </m:r>
            </m:sub>
          </m:sSub>
          <m:r>
            <w:rPr>
              <w:rFonts w:ascii="Cambria Math" w:hAnsi="Cambria Math"/>
              <w:lang w:val="fr-FR"/>
            </w:rPr>
            <m:t xml:space="preserve">=1+ </m:t>
          </m:r>
          <m:sSub>
            <m:sSubPr>
              <m:ctrlPr>
                <w:rPr>
                  <w:rFonts w:ascii="Cambria Math" w:hAnsi="Cambria Math"/>
                  <w:lang w:val="fr-FR"/>
                </w:rPr>
              </m:ctrlPr>
            </m:sSubPr>
            <m:e>
              <m:r>
                <m:rPr>
                  <m:sty m:val="p"/>
                </m:rPr>
                <w:rPr>
                  <w:rFonts w:ascii="Cambria Math" w:hAnsi="Cambria Math"/>
                  <w:lang w:val="fr-FR"/>
                </w:rPr>
                <m:t>Ω</m:t>
              </m:r>
            </m:e>
            <m:sub>
              <m:r>
                <w:rPr>
                  <w:rFonts w:ascii="Cambria Math" w:hAnsi="Cambria Math"/>
                  <w:lang w:val="fr-FR"/>
                </w:rPr>
                <m:t>s</m:t>
              </m:r>
            </m:sub>
          </m:sSub>
          <m:r>
            <w:rPr>
              <w:rFonts w:ascii="Cambria Math" w:hAnsi="Cambria Math"/>
              <w:lang w:val="fr-FR"/>
            </w:rPr>
            <m:t xml:space="preserve"> ×k3 (n;p;1-α )</m:t>
          </m:r>
        </m:oMath>
      </m:oMathPara>
    </w:p>
    <w:p w14:paraId="6F2AC334" w14:textId="77777777" w:rsidR="00681B4D" w:rsidRDefault="00681B4D" w:rsidP="00681B4D">
      <w:pPr>
        <w:pStyle w:val="SingleTxtG"/>
        <w:rPr>
          <w:i/>
          <w:lang w:val="fr-FR"/>
        </w:rPr>
      </w:pPr>
      <w:r>
        <w:rPr>
          <w:i/>
          <w:lang w:val="fr-FR"/>
        </w:rPr>
        <w:t>où</w:t>
      </w:r>
    </w:p>
    <w:p w14:paraId="568F9A26" w14:textId="77777777" w:rsidR="00681B4D" w:rsidRDefault="00681B4D" w:rsidP="00681B4D">
      <w:pPr>
        <w:pStyle w:val="SingleTxtG"/>
        <w:rPr>
          <w:i/>
          <w:lang w:val="fr-FR"/>
        </w:rPr>
      </w:pPr>
      <w:r>
        <w:rPr>
          <w:i/>
          <w:lang w:val="fr-FR"/>
        </w:rPr>
        <w:t xml:space="preserve">k3 : facteur fonction de n, p et 1- α ; </w:t>
      </w:r>
    </w:p>
    <w:p w14:paraId="5E19922C" w14:textId="77777777" w:rsidR="00681B4D" w:rsidRDefault="00681B4D" w:rsidP="00681B4D">
      <w:pPr>
        <w:pStyle w:val="SingleTxtG"/>
        <w:rPr>
          <w:i/>
          <w:lang w:val="fr-FR"/>
        </w:rPr>
      </w:pPr>
      <w:r>
        <w:rPr>
          <w:i/>
          <w:lang w:val="fr-FR"/>
        </w:rPr>
        <w:t>p : proportion de la population choisie pour l’intervalle de tolérance (99,9999 %) ;</w:t>
      </w:r>
    </w:p>
    <w:p w14:paraId="1609912E" w14:textId="77777777" w:rsidR="00681B4D" w:rsidRDefault="00681B4D" w:rsidP="00681B4D">
      <w:pPr>
        <w:pStyle w:val="SingleTxtG"/>
        <w:rPr>
          <w:i/>
          <w:lang w:val="fr-FR"/>
        </w:rPr>
      </w:pPr>
      <w:r>
        <w:rPr>
          <w:i/>
          <w:lang w:val="fr-FR"/>
        </w:rPr>
        <w:t>1- α : niveau de confiance (95 %) ;</w:t>
      </w:r>
    </w:p>
    <w:p w14:paraId="08135A78" w14:textId="77777777" w:rsidR="00681B4D" w:rsidRDefault="00681B4D" w:rsidP="00681B4D">
      <w:pPr>
        <w:pStyle w:val="SingleTxtG"/>
        <w:rPr>
          <w:i/>
          <w:lang w:val="fr-FR"/>
        </w:rPr>
      </w:pPr>
      <w:r>
        <w:rPr>
          <w:i/>
          <w:lang w:val="fr-FR"/>
        </w:rPr>
        <w:lastRenderedPageBreak/>
        <w:t>n : taille de l’échantillon.</w:t>
      </w:r>
    </w:p>
    <w:p w14:paraId="69826F61" w14:textId="77777777" w:rsidR="00681B4D" w:rsidRDefault="00681B4D" w:rsidP="00681B4D">
      <w:pPr>
        <w:pStyle w:val="SingleTxtG"/>
        <w:rPr>
          <w:i/>
          <w:lang w:val="fr-FR"/>
        </w:rPr>
      </w:pPr>
      <w:r>
        <w:rPr>
          <w:i/>
          <w:lang w:val="fr-FR"/>
        </w:rPr>
        <w:t>La valeur de k3 correspondant aux distributions normales est donnée dans le tableau à la fin de l’étape 3.</w:t>
      </w:r>
    </w:p>
    <w:p w14:paraId="4BF7C882" w14:textId="77777777" w:rsidR="00681B4D" w:rsidRDefault="00681B4D" w:rsidP="00681B4D">
      <w:pPr>
        <w:pStyle w:val="SingleTxtG"/>
        <w:rPr>
          <w:i/>
          <w:lang w:val="fr-FR"/>
        </w:rPr>
      </w:pPr>
      <w:r>
        <w:rPr>
          <w:i/>
          <w:lang w:val="fr-FR"/>
        </w:rPr>
        <w:t>Étape 3.2 : Limite inférieure de l’intervalle de tolérance pour les résultats respectant une distribution non-normale</w:t>
      </w:r>
    </w:p>
    <w:p w14:paraId="7BD40F1F" w14:textId="77777777" w:rsidR="00681B4D" w:rsidRDefault="00681B4D" w:rsidP="00681B4D">
      <w:pPr>
        <w:pStyle w:val="SingleTxtG"/>
        <w:rPr>
          <w:i/>
          <w:lang w:val="fr-FR"/>
        </w:rPr>
      </w:pPr>
      <w:r>
        <w:rPr>
          <w:i/>
          <w:lang w:val="fr-FR"/>
        </w:rPr>
        <w:t>L’intervalle statistique de tolérance unilatéral doit être calculé pour un niveau de confiance de 95 % et une proportion de la population égale à 99,9999 %.</w:t>
      </w:r>
    </w:p>
    <w:p w14:paraId="115507AF" w14:textId="77777777" w:rsidR="00681B4D" w:rsidRDefault="00681B4D" w:rsidP="00681B4D">
      <w:pPr>
        <w:pStyle w:val="SingleTxtG"/>
        <w:rPr>
          <w:i/>
          <w:lang w:val="fr-FR"/>
        </w:rPr>
      </w:pPr>
      <w:r>
        <w:rPr>
          <w:i/>
          <w:lang w:val="fr-FR"/>
        </w:rPr>
        <w:t>La limite inférieure de tolérance est représentée par une ligne de taux de survie constant déterminée au moyen de la formule donnée à l’étape 3.1 précédente, où les facteurs k3 sont basés et calculés selon les propriétés d’une distribution de Weibull.</w:t>
      </w:r>
    </w:p>
    <w:p w14:paraId="06147BF3" w14:textId="77777777" w:rsidR="00681B4D" w:rsidRDefault="00681B4D" w:rsidP="00681B4D">
      <w:pPr>
        <w:pStyle w:val="SingleTxtG"/>
        <w:rPr>
          <w:i/>
          <w:lang w:val="fr-FR"/>
        </w:rPr>
      </w:pPr>
      <w:r>
        <w:rPr>
          <w:i/>
          <w:lang w:val="fr-FR"/>
        </w:rPr>
        <w:t>La valeur de k3 correspondant à une distribution de Weibull est donnée dans le tableau suivant à la fin de l’étape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681B4D" w14:paraId="7188EA65" w14:textId="77777777" w:rsidTr="001D36B3">
        <w:trPr>
          <w:tblHeader/>
        </w:trPr>
        <w:tc>
          <w:tcPr>
            <w:tcW w:w="7371" w:type="dxa"/>
            <w:gridSpan w:val="3"/>
            <w:tcBorders>
              <w:top w:val="single" w:sz="4" w:space="0" w:color="auto"/>
              <w:left w:val="single" w:sz="4" w:space="0" w:color="auto"/>
              <w:bottom w:val="single" w:sz="4" w:space="0" w:color="auto"/>
              <w:right w:val="single" w:sz="4" w:space="0" w:color="auto"/>
            </w:tcBorders>
            <w:hideMark/>
          </w:tcPr>
          <w:p w14:paraId="5AE3D5AB" w14:textId="77777777" w:rsidR="00681B4D" w:rsidRDefault="00681B4D">
            <w:pPr>
              <w:pStyle w:val="SingleTxtG"/>
              <w:ind w:left="0" w:right="141"/>
              <w:jc w:val="center"/>
              <w:rPr>
                <w:i/>
                <w:lang w:val="fr-FR"/>
              </w:rPr>
            </w:pPr>
            <w:r>
              <w:rPr>
                <w:b/>
                <w:i/>
                <w:sz w:val="18"/>
                <w:szCs w:val="18"/>
                <w:lang w:val="fr-FR"/>
              </w:rPr>
              <w:t>Tableau pour k3</w:t>
            </w:r>
            <w:r>
              <w:rPr>
                <w:b/>
                <w:i/>
                <w:sz w:val="18"/>
                <w:szCs w:val="18"/>
                <w:lang w:val="fr-FR"/>
              </w:rPr>
              <w:br/>
            </w:r>
            <w:r>
              <w:rPr>
                <w:i/>
                <w:sz w:val="18"/>
                <w:szCs w:val="18"/>
                <w:lang w:val="fr-FR"/>
              </w:rPr>
              <w:t>p = 99,9999 % et (1-α) = 0,95</w:t>
            </w:r>
          </w:p>
        </w:tc>
      </w:tr>
      <w:tr w:rsidR="00681B4D" w14:paraId="205559B3" w14:textId="77777777" w:rsidTr="001D36B3">
        <w:trPr>
          <w:tblHeader/>
        </w:trPr>
        <w:tc>
          <w:tcPr>
            <w:tcW w:w="2468" w:type="dxa"/>
            <w:tcBorders>
              <w:top w:val="single" w:sz="4" w:space="0" w:color="auto"/>
              <w:left w:val="single" w:sz="4" w:space="0" w:color="auto"/>
              <w:bottom w:val="single" w:sz="4" w:space="0" w:color="auto"/>
              <w:right w:val="single" w:sz="4" w:space="0" w:color="auto"/>
            </w:tcBorders>
            <w:hideMark/>
          </w:tcPr>
          <w:p w14:paraId="2C950666" w14:textId="77777777" w:rsidR="00681B4D" w:rsidRDefault="00681B4D">
            <w:pPr>
              <w:pStyle w:val="SingleTxtG"/>
              <w:ind w:left="0" w:right="204"/>
              <w:jc w:val="center"/>
              <w:rPr>
                <w:i/>
                <w:lang w:val="fr-FR"/>
              </w:rPr>
            </w:pPr>
            <w:r>
              <w:rPr>
                <w:b/>
                <w:i/>
                <w:sz w:val="18"/>
                <w:szCs w:val="18"/>
                <w:lang w:val="fr-FR"/>
              </w:rPr>
              <w:t>Taille de l’échantillon</w:t>
            </w:r>
            <w:r>
              <w:rPr>
                <w:b/>
                <w:i/>
                <w:sz w:val="18"/>
                <w:szCs w:val="18"/>
                <w:lang w:val="fr-FR"/>
              </w:rPr>
              <w:br/>
              <w:t>n</w:t>
            </w:r>
          </w:p>
        </w:tc>
        <w:tc>
          <w:tcPr>
            <w:tcW w:w="2404" w:type="dxa"/>
            <w:tcBorders>
              <w:top w:val="single" w:sz="4" w:space="0" w:color="auto"/>
              <w:left w:val="single" w:sz="4" w:space="0" w:color="auto"/>
              <w:bottom w:val="single" w:sz="4" w:space="0" w:color="auto"/>
              <w:right w:val="single" w:sz="4" w:space="0" w:color="auto"/>
            </w:tcBorders>
            <w:hideMark/>
          </w:tcPr>
          <w:p w14:paraId="6C234B7F" w14:textId="77777777" w:rsidR="00681B4D" w:rsidRDefault="00681B4D">
            <w:pPr>
              <w:pStyle w:val="SingleTxtG"/>
              <w:ind w:left="0" w:right="55"/>
              <w:jc w:val="center"/>
              <w:rPr>
                <w:i/>
                <w:lang w:val="fr-FR"/>
              </w:rPr>
            </w:pPr>
            <w:r>
              <w:rPr>
                <w:b/>
                <w:i/>
                <w:sz w:val="18"/>
                <w:szCs w:val="18"/>
                <w:lang w:val="fr-FR"/>
              </w:rPr>
              <w:t>Distribution normale</w:t>
            </w:r>
            <w:r>
              <w:rPr>
                <w:b/>
                <w:i/>
                <w:sz w:val="18"/>
                <w:szCs w:val="18"/>
                <w:lang w:val="fr-FR"/>
              </w:rPr>
              <w:br/>
              <w:t>k3</w:t>
            </w:r>
          </w:p>
        </w:tc>
        <w:tc>
          <w:tcPr>
            <w:tcW w:w="2499" w:type="dxa"/>
            <w:tcBorders>
              <w:top w:val="single" w:sz="4" w:space="0" w:color="auto"/>
              <w:left w:val="single" w:sz="4" w:space="0" w:color="auto"/>
              <w:bottom w:val="single" w:sz="4" w:space="0" w:color="auto"/>
              <w:right w:val="single" w:sz="4" w:space="0" w:color="auto"/>
            </w:tcBorders>
            <w:hideMark/>
          </w:tcPr>
          <w:p w14:paraId="21143C2D" w14:textId="77777777" w:rsidR="00681B4D" w:rsidRDefault="00681B4D">
            <w:pPr>
              <w:pStyle w:val="SingleTxtG"/>
              <w:ind w:left="0" w:right="0"/>
              <w:jc w:val="center"/>
              <w:rPr>
                <w:i/>
                <w:lang w:val="fr-FR"/>
              </w:rPr>
            </w:pPr>
            <w:r>
              <w:rPr>
                <w:b/>
                <w:i/>
                <w:sz w:val="18"/>
                <w:szCs w:val="18"/>
                <w:lang w:val="fr-FR"/>
              </w:rPr>
              <w:t>Distribution de Weibull</w:t>
            </w:r>
            <w:r>
              <w:rPr>
                <w:b/>
                <w:i/>
                <w:sz w:val="18"/>
                <w:szCs w:val="18"/>
                <w:lang w:val="fr-FR"/>
              </w:rPr>
              <w:br/>
              <w:t>k3</w:t>
            </w:r>
          </w:p>
        </w:tc>
      </w:tr>
      <w:tr w:rsidR="00681B4D" w14:paraId="5F64A239"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055EE938"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20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525BDD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6,901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33F1D427"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16,021</w:t>
            </w:r>
          </w:p>
        </w:tc>
      </w:tr>
      <w:tr w:rsidR="00681B4D" w14:paraId="22299AEB"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32B05E8B"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22</w:t>
            </w:r>
          </w:p>
        </w:tc>
        <w:tc>
          <w:tcPr>
            <w:tcW w:w="2404" w:type="dxa"/>
            <w:tcBorders>
              <w:top w:val="single" w:sz="4" w:space="0" w:color="auto"/>
              <w:left w:val="single" w:sz="4" w:space="0" w:color="auto"/>
              <w:bottom w:val="single" w:sz="4" w:space="0" w:color="auto"/>
              <w:right w:val="single" w:sz="4" w:space="0" w:color="auto"/>
            </w:tcBorders>
            <w:vAlign w:val="bottom"/>
            <w:hideMark/>
          </w:tcPr>
          <w:p w14:paraId="3327BB4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6,765</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649A41D"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15,722</w:t>
            </w:r>
          </w:p>
        </w:tc>
      </w:tr>
      <w:tr w:rsidR="00681B4D" w14:paraId="4AD7F10E"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3128ED8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24</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A2E45AB"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6,651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C3365D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15,472</w:t>
            </w:r>
          </w:p>
        </w:tc>
      </w:tr>
      <w:tr w:rsidR="00681B4D" w14:paraId="0E98E410"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59478625"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26</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7F20E0A"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6,553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C114BE2"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15,258</w:t>
            </w:r>
          </w:p>
        </w:tc>
      </w:tr>
      <w:tr w:rsidR="00681B4D" w14:paraId="7EDCDF76"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1A71EDD1"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28</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FBD20A7"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6,468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359A6336"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15,072</w:t>
            </w:r>
          </w:p>
        </w:tc>
      </w:tr>
      <w:tr w:rsidR="00681B4D" w14:paraId="167FE898"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7A75B1B1"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30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02ECF03"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6,393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EC8555E"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14,909</w:t>
            </w:r>
          </w:p>
        </w:tc>
      </w:tr>
      <w:tr w:rsidR="00681B4D" w14:paraId="706559F6"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440AC2F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35</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BE777D1"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6,241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9EC7C32"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14,578</w:t>
            </w:r>
          </w:p>
        </w:tc>
      </w:tr>
      <w:tr w:rsidR="00681B4D" w14:paraId="4EC97EF0"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7B391D5D"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40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928614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6,123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7D29FC85"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14,321</w:t>
            </w:r>
          </w:p>
        </w:tc>
      </w:tr>
      <w:tr w:rsidR="00681B4D" w14:paraId="1BE71B75"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2317AA83"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45</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DF51797"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6,028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E96D7F2"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14,116</w:t>
            </w:r>
          </w:p>
        </w:tc>
      </w:tr>
      <w:tr w:rsidR="00681B4D" w14:paraId="60E659FC"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0C15285B"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22B9DE29"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5,949</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F8CA016"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13,947</w:t>
            </w:r>
          </w:p>
        </w:tc>
      </w:tr>
      <w:tr w:rsidR="00681B4D" w14:paraId="768E6081"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00170B44"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60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0F17E6B4"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5,827</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2FA474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13,683</w:t>
            </w:r>
          </w:p>
        </w:tc>
      </w:tr>
      <w:tr w:rsidR="00681B4D" w14:paraId="2CA11DF3"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4F193571"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70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523FE34"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5,735</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0DBD5AD"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13,485</w:t>
            </w:r>
          </w:p>
        </w:tc>
      </w:tr>
      <w:tr w:rsidR="00681B4D" w14:paraId="5730276A"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3C06AD6C"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80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737E046"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5,662</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5A3C7AD"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13,329</w:t>
            </w:r>
          </w:p>
        </w:tc>
      </w:tr>
      <w:tr w:rsidR="00681B4D" w14:paraId="35E76844"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6D64F91A"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90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5B5545A"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5,603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871EEEB"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13,203</w:t>
            </w:r>
          </w:p>
        </w:tc>
      </w:tr>
      <w:tr w:rsidR="00681B4D" w14:paraId="2A04F864"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0997C9B4"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F21BF6E"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5,554</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CB9ABE9"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13,098</w:t>
            </w:r>
          </w:p>
        </w:tc>
      </w:tr>
      <w:tr w:rsidR="00681B4D" w14:paraId="733C4349"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1BB9D9CA"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43E4DC78"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5,393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3DEAC960"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12,754</w:t>
            </w:r>
          </w:p>
        </w:tc>
      </w:tr>
      <w:tr w:rsidR="00681B4D" w14:paraId="26CEAAE4"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69EE386F"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200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72F7F055"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5,300</w:t>
            </w:r>
          </w:p>
        </w:tc>
        <w:tc>
          <w:tcPr>
            <w:tcW w:w="2499" w:type="dxa"/>
            <w:tcBorders>
              <w:top w:val="single" w:sz="4" w:space="0" w:color="auto"/>
              <w:left w:val="single" w:sz="4" w:space="0" w:color="auto"/>
              <w:bottom w:val="single" w:sz="4" w:space="0" w:color="auto"/>
              <w:right w:val="single" w:sz="4" w:space="0" w:color="auto"/>
            </w:tcBorders>
            <w:vAlign w:val="bottom"/>
            <w:hideMark/>
          </w:tcPr>
          <w:p w14:paraId="2CCBF04E"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12,557</w:t>
            </w:r>
          </w:p>
        </w:tc>
      </w:tr>
      <w:tr w:rsidR="00681B4D" w14:paraId="47F6C929"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617EBC66"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250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560E9182"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5,238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7F11D1E"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12,426</w:t>
            </w:r>
          </w:p>
        </w:tc>
      </w:tr>
      <w:tr w:rsidR="00681B4D" w14:paraId="05C1B3F9"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61900BC0"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300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6E1FA721"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5,193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F5B89C9"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12,330</w:t>
            </w:r>
          </w:p>
        </w:tc>
      </w:tr>
      <w:tr w:rsidR="00681B4D" w14:paraId="2577A68C"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732203A9"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400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7AF3710A"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5,131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68447634"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12,199</w:t>
            </w:r>
          </w:p>
        </w:tc>
      </w:tr>
      <w:tr w:rsidR="00681B4D" w14:paraId="69B4489D"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7A3D13C9"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142CF870"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5,089</w:t>
            </w:r>
          </w:p>
        </w:tc>
        <w:tc>
          <w:tcPr>
            <w:tcW w:w="2499" w:type="dxa"/>
            <w:tcBorders>
              <w:top w:val="single" w:sz="4" w:space="0" w:color="auto"/>
              <w:left w:val="single" w:sz="4" w:space="0" w:color="auto"/>
              <w:bottom w:val="single" w:sz="4" w:space="0" w:color="auto"/>
              <w:right w:val="single" w:sz="4" w:space="0" w:color="auto"/>
            </w:tcBorders>
            <w:vAlign w:val="bottom"/>
            <w:hideMark/>
          </w:tcPr>
          <w:p w14:paraId="1C43A241"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12,111</w:t>
            </w:r>
          </w:p>
        </w:tc>
      </w:tr>
      <w:tr w:rsidR="00681B4D" w14:paraId="32601A4D"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4452A74C"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1000</w:t>
            </w:r>
          </w:p>
        </w:tc>
        <w:tc>
          <w:tcPr>
            <w:tcW w:w="2404" w:type="dxa"/>
            <w:tcBorders>
              <w:top w:val="single" w:sz="4" w:space="0" w:color="auto"/>
              <w:left w:val="single" w:sz="4" w:space="0" w:color="auto"/>
              <w:bottom w:val="single" w:sz="4" w:space="0" w:color="auto"/>
              <w:right w:val="single" w:sz="4" w:space="0" w:color="auto"/>
            </w:tcBorders>
            <w:vAlign w:val="bottom"/>
            <w:hideMark/>
          </w:tcPr>
          <w:p w14:paraId="31E8D68B"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4,988</w:t>
            </w:r>
          </w:p>
        </w:tc>
        <w:tc>
          <w:tcPr>
            <w:tcW w:w="2499" w:type="dxa"/>
            <w:tcBorders>
              <w:top w:val="single" w:sz="4" w:space="0" w:color="auto"/>
              <w:left w:val="single" w:sz="4" w:space="0" w:color="auto"/>
              <w:bottom w:val="single" w:sz="4" w:space="0" w:color="auto"/>
              <w:right w:val="single" w:sz="4" w:space="0" w:color="auto"/>
            </w:tcBorders>
            <w:vAlign w:val="bottom"/>
            <w:hideMark/>
          </w:tcPr>
          <w:p w14:paraId="4C7B545C"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11,897</w:t>
            </w:r>
          </w:p>
        </w:tc>
      </w:tr>
      <w:tr w:rsidR="00681B4D" w14:paraId="47CEC6A3" w14:textId="77777777" w:rsidTr="00681B4D">
        <w:tc>
          <w:tcPr>
            <w:tcW w:w="2468" w:type="dxa"/>
            <w:tcBorders>
              <w:top w:val="single" w:sz="4" w:space="0" w:color="auto"/>
              <w:left w:val="single" w:sz="4" w:space="0" w:color="auto"/>
              <w:bottom w:val="single" w:sz="4" w:space="0" w:color="auto"/>
              <w:right w:val="single" w:sz="4" w:space="0" w:color="auto"/>
            </w:tcBorders>
            <w:hideMark/>
          </w:tcPr>
          <w:p w14:paraId="2BDDBD63"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w:t>
            </w:r>
          </w:p>
        </w:tc>
        <w:tc>
          <w:tcPr>
            <w:tcW w:w="2404" w:type="dxa"/>
            <w:tcBorders>
              <w:top w:val="single" w:sz="4" w:space="0" w:color="auto"/>
              <w:left w:val="single" w:sz="4" w:space="0" w:color="auto"/>
              <w:bottom w:val="single" w:sz="4" w:space="0" w:color="auto"/>
              <w:right w:val="single" w:sz="4" w:space="0" w:color="auto"/>
            </w:tcBorders>
            <w:vAlign w:val="bottom"/>
            <w:hideMark/>
          </w:tcPr>
          <w:p w14:paraId="74B74864"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4,753</w:t>
            </w:r>
          </w:p>
        </w:tc>
        <w:tc>
          <w:tcPr>
            <w:tcW w:w="2499" w:type="dxa"/>
            <w:tcBorders>
              <w:top w:val="single" w:sz="4" w:space="0" w:color="auto"/>
              <w:left w:val="single" w:sz="4" w:space="0" w:color="auto"/>
              <w:bottom w:val="single" w:sz="4" w:space="0" w:color="auto"/>
              <w:right w:val="single" w:sz="4" w:space="0" w:color="auto"/>
            </w:tcBorders>
            <w:vAlign w:val="bottom"/>
            <w:hideMark/>
          </w:tcPr>
          <w:p w14:paraId="366124D5" w14:textId="77777777" w:rsidR="00681B4D" w:rsidRDefault="00681B4D">
            <w:pPr>
              <w:suppressAutoHyphens w:val="0"/>
              <w:spacing w:before="40" w:after="80" w:line="200" w:lineRule="atLeast"/>
              <w:ind w:left="113" w:right="113"/>
              <w:jc w:val="center"/>
              <w:rPr>
                <w:i/>
                <w:color w:val="000000"/>
                <w:sz w:val="18"/>
                <w:szCs w:val="18"/>
                <w:lang w:val="fr-FR"/>
              </w:rPr>
            </w:pPr>
            <w:r>
              <w:rPr>
                <w:i/>
                <w:sz w:val="18"/>
                <w:szCs w:val="18"/>
                <w:lang w:val="fr-FR"/>
              </w:rPr>
              <w:t>11,408</w:t>
            </w:r>
          </w:p>
        </w:tc>
      </w:tr>
    </w:tbl>
    <w:p w14:paraId="422CDCF5" w14:textId="77777777" w:rsidR="00681B4D" w:rsidRDefault="00681B4D" w:rsidP="001D36B3">
      <w:pPr>
        <w:pStyle w:val="SingleTxtG"/>
        <w:spacing w:before="120"/>
        <w:rPr>
          <w:i/>
          <w:lang w:val="fr-FR"/>
        </w:rPr>
      </w:pPr>
      <w:r>
        <w:rPr>
          <w:b/>
          <w:i/>
          <w:lang w:val="fr-FR"/>
        </w:rPr>
        <w:lastRenderedPageBreak/>
        <w:t>NOTA :</w:t>
      </w:r>
      <w:r>
        <w:rPr>
          <w:i/>
          <w:lang w:val="fr-FR"/>
        </w:rPr>
        <w:t xml:space="preserve"> Si la taille de l’échantillon se situe entre deux valeurs, il faut sélectionner la taille inférieure la plus proche.</w:t>
      </w:r>
    </w:p>
    <w:p w14:paraId="4E258768" w14:textId="77777777" w:rsidR="00681B4D" w:rsidRPr="001D36B3" w:rsidRDefault="00681B4D" w:rsidP="001D36B3">
      <w:pPr>
        <w:pStyle w:val="SingleTxtG"/>
      </w:pPr>
      <w:r w:rsidRPr="001D36B3">
        <w:t>h)</w:t>
      </w:r>
      <w:r w:rsidRPr="001D36B3">
        <w:tab/>
        <w:t>Mesures à prendre si les critères d’acceptation ne sont pas respectés</w:t>
      </w:r>
    </w:p>
    <w:p w14:paraId="10C889E9" w14:textId="77777777" w:rsidR="00681B4D" w:rsidRDefault="00681B4D" w:rsidP="00681B4D">
      <w:pPr>
        <w:pStyle w:val="SingleTxtG"/>
        <w:ind w:left="1701"/>
        <w:rPr>
          <w:lang w:val="fr-FR"/>
        </w:rPr>
      </w:pPr>
      <w:r>
        <w:rPr>
          <w:lang w:val="fr-FR"/>
        </w:rPr>
        <w:t>Si un résultat des essais de rupture, des essais de pelage et corrosion ou des essais d’adhérence ne respecte pas les critères détaillés dans le tableau de l’alinéa g), le propriétaire doit séparer le sous-groupe de bouteilles surmoulées affecté pour examens complémentaires et ces bouteilles ne doivent pas être remplies, présentées au transport ou utilisées.</w:t>
      </w:r>
    </w:p>
    <w:p w14:paraId="785F5D0C" w14:textId="77777777" w:rsidR="00681B4D" w:rsidRDefault="00681B4D" w:rsidP="00681B4D">
      <w:pPr>
        <w:pStyle w:val="SingleTxtG"/>
        <w:ind w:left="1701"/>
        <w:rPr>
          <w:lang w:val="fr-FR"/>
        </w:rPr>
      </w:pPr>
      <w:r>
        <w:rPr>
          <w:lang w:val="fr-FR"/>
        </w:rPr>
        <w:t xml:space="preserve">En accord avec l’autorité compétente, ou l’organisme Xa qui a délivré l’agrément de type, de nouveaux essais doivent être effectués pour déterminer la cause première de l’échec. </w:t>
      </w:r>
    </w:p>
    <w:p w14:paraId="7D819868" w14:textId="77777777" w:rsidR="00681B4D" w:rsidRDefault="00681B4D" w:rsidP="00681B4D">
      <w:pPr>
        <w:pStyle w:val="SingleTxtG"/>
        <w:ind w:left="1701"/>
        <w:rPr>
          <w:lang w:val="fr-FR"/>
        </w:rPr>
      </w:pPr>
      <w:r>
        <w:rPr>
          <w:lang w:val="fr-FR"/>
        </w:rPr>
        <w:t>Si la cause première de l’échec ne peut être prouvée comme étant limitée au sous-groupe du propriétaire concerné, l'autorité compétente ou l’organisme Xa doivent prendre des mesures concernant toute la population de base et éventuellement d'autres années de production.</w:t>
      </w:r>
    </w:p>
    <w:p w14:paraId="6FC0C224" w14:textId="77777777" w:rsidR="00681B4D" w:rsidRDefault="00681B4D" w:rsidP="00681B4D">
      <w:pPr>
        <w:pStyle w:val="SingleTxtG"/>
        <w:ind w:left="1701"/>
        <w:rPr>
          <w:lang w:val="fr-FR"/>
        </w:rPr>
      </w:pPr>
      <w:r>
        <w:rPr>
          <w:lang w:val="fr-FR"/>
        </w:rPr>
        <w:t>Si la cause première de l’échec peut être prouvée comme étant limitée à une partie du sous-groupe, l’autorité compétente peut autoriser le retour en service des parties non affectées. Il doit être prouvé qu’aucune bouteille surmoulée individuelle remise en service n'est affectée.</w:t>
      </w:r>
    </w:p>
    <w:p w14:paraId="50E4E2BA" w14:textId="77777777" w:rsidR="00681B4D" w:rsidRPr="001D36B3" w:rsidRDefault="00681B4D" w:rsidP="001D36B3">
      <w:pPr>
        <w:pStyle w:val="SingleTxtG"/>
      </w:pPr>
      <w:r w:rsidRPr="001D36B3">
        <w:t>i)</w:t>
      </w:r>
      <w:r w:rsidRPr="001D36B3">
        <w:tab/>
        <w:t>Prescriptions applicables aux centres de remplissage</w:t>
      </w:r>
    </w:p>
    <w:p w14:paraId="77DAD8F3" w14:textId="64E698FD" w:rsidR="00681B4D" w:rsidRDefault="00681B4D" w:rsidP="00681B4D">
      <w:pPr>
        <w:pStyle w:val="SingleTxtG"/>
        <w:ind w:left="1701"/>
        <w:rPr>
          <w:lang w:val="fr-FR"/>
        </w:rPr>
      </w:pPr>
      <w:r>
        <w:rPr>
          <w:lang w:val="fr-FR"/>
        </w:rPr>
        <w:t>Le propriétaire doit mettre à la disposition de l’autorité compétente la preuve</w:t>
      </w:r>
      <w:r w:rsidR="001D36B3">
        <w:rPr>
          <w:lang w:val="fr-FR"/>
        </w:rPr>
        <w:t xml:space="preserve"> que les centres de remplissage</w:t>
      </w:r>
      <w:r>
        <w:rPr>
          <w:lang w:val="fr-FR"/>
        </w:rPr>
        <w:t>:</w:t>
      </w:r>
    </w:p>
    <w:p w14:paraId="21C1EB40" w14:textId="28109992" w:rsidR="00681B4D" w:rsidRDefault="001D36B3" w:rsidP="001D36B3">
      <w:pPr>
        <w:pStyle w:val="SingleTxtG"/>
        <w:ind w:left="1701"/>
        <w:rPr>
          <w:lang w:val="fr-FR"/>
        </w:rPr>
      </w:pPr>
      <w:r>
        <w:rPr>
          <w:lang w:val="fr-FR"/>
        </w:rPr>
        <w:t>-</w:t>
      </w:r>
      <w:r>
        <w:rPr>
          <w:lang w:val="fr-FR"/>
        </w:rPr>
        <w:tab/>
      </w:r>
      <w:r w:rsidR="00681B4D">
        <w:rPr>
          <w:lang w:val="fr-FR"/>
        </w:rPr>
        <w:t>Respectent les dispositions du paragraphe 7) de l’instruction d’emballage P200 du 4.1.4.1 et que les prescriptions de la norme sur les contrôles préalables au remplissage mentionnées au paragraphe 11) de l’instruction d’emballage P200 du 4.1.4.1 sont satisfaites et appliquées correctement ;</w:t>
      </w:r>
    </w:p>
    <w:p w14:paraId="276AAB3A" w14:textId="4B135EDC" w:rsidR="00681B4D" w:rsidRDefault="001D36B3" w:rsidP="001D36B3">
      <w:pPr>
        <w:pStyle w:val="SingleTxtG"/>
        <w:ind w:left="1701"/>
        <w:rPr>
          <w:lang w:val="fr-FR"/>
        </w:rPr>
      </w:pPr>
      <w:r>
        <w:rPr>
          <w:lang w:val="fr-FR"/>
        </w:rPr>
        <w:t>-</w:t>
      </w:r>
      <w:r>
        <w:rPr>
          <w:lang w:val="fr-FR"/>
        </w:rPr>
        <w:tab/>
      </w:r>
      <w:r w:rsidR="00681B4D">
        <w:rPr>
          <w:lang w:val="fr-FR"/>
        </w:rPr>
        <w:t>Disposent de moyens appropriés pour identifier les bouteilles surmoulées au moyen du dispositif d’identification électronique ;</w:t>
      </w:r>
    </w:p>
    <w:p w14:paraId="423793A8" w14:textId="4F710868" w:rsidR="00681B4D" w:rsidRDefault="001D36B3" w:rsidP="001D36B3">
      <w:pPr>
        <w:pStyle w:val="SingleTxtG"/>
        <w:ind w:left="1701"/>
        <w:rPr>
          <w:lang w:val="fr-FR"/>
        </w:rPr>
      </w:pPr>
      <w:r>
        <w:rPr>
          <w:lang w:val="fr-FR"/>
        </w:rPr>
        <w:t>-</w:t>
      </w:r>
      <w:r>
        <w:rPr>
          <w:lang w:val="fr-FR"/>
        </w:rPr>
        <w:tab/>
      </w:r>
      <w:r w:rsidR="00681B4D">
        <w:rPr>
          <w:lang w:val="fr-FR"/>
        </w:rPr>
        <w:t>Ont accès à la base de données telle que définie à l’alinéa d) ;</w:t>
      </w:r>
    </w:p>
    <w:p w14:paraId="692867B9" w14:textId="7DDA3364" w:rsidR="00681B4D" w:rsidRDefault="001D36B3" w:rsidP="001D36B3">
      <w:pPr>
        <w:pStyle w:val="SingleTxtG"/>
        <w:ind w:left="1701"/>
        <w:rPr>
          <w:lang w:val="fr-FR"/>
        </w:rPr>
      </w:pPr>
      <w:r>
        <w:rPr>
          <w:lang w:val="fr-FR"/>
        </w:rPr>
        <w:t>-</w:t>
      </w:r>
      <w:r>
        <w:rPr>
          <w:lang w:val="fr-FR"/>
        </w:rPr>
        <w:tab/>
      </w:r>
      <w:r w:rsidR="00681B4D">
        <w:rPr>
          <w:lang w:val="fr-FR"/>
        </w:rPr>
        <w:t>Ont la capacité de mettre à jour la base de données ;</w:t>
      </w:r>
    </w:p>
    <w:p w14:paraId="4E20204A" w14:textId="680CA6C2" w:rsidR="00681B4D" w:rsidRDefault="001D36B3" w:rsidP="001D36B3">
      <w:pPr>
        <w:pStyle w:val="SingleTxtG"/>
        <w:ind w:left="1701"/>
        <w:rPr>
          <w:lang w:val="fr-FR"/>
        </w:rPr>
      </w:pPr>
      <w:r>
        <w:rPr>
          <w:lang w:val="fr-FR"/>
        </w:rPr>
        <w:t>-</w:t>
      </w:r>
      <w:r>
        <w:rPr>
          <w:lang w:val="fr-FR"/>
        </w:rPr>
        <w:tab/>
      </w:r>
      <w:r w:rsidR="00681B4D">
        <w:rPr>
          <w:lang w:val="fr-FR"/>
        </w:rPr>
        <w:t>Appliquent un système qualité conforme aux normes de la série ISO 9000 ou à des normes équivalentes certifié par un organisme indépendant accrédité et reconnu par l’autorité compétente. ».</w:t>
      </w:r>
    </w:p>
    <w:p w14:paraId="0C46BEFE" w14:textId="7338DCA0" w:rsidR="00681B4D" w:rsidRDefault="00681B4D" w:rsidP="00681B4D">
      <w:pPr>
        <w:pStyle w:val="SingleTxtG"/>
        <w:rPr>
          <w:i/>
          <w:lang w:val="fr-FR"/>
        </w:rPr>
      </w:pPr>
      <w:r>
        <w:rPr>
          <w:i/>
          <w:lang w:val="fr-FR"/>
        </w:rPr>
        <w:t>(Document de référence : ECE/TRANS/WP.15/AC.1/2017/33 tel que modifié dans les documents informels INF.55 et INF.56)</w:t>
      </w:r>
    </w:p>
    <w:p w14:paraId="598C5B55" w14:textId="77777777" w:rsidR="007A7A2C" w:rsidRDefault="007A7A2C" w:rsidP="007A7A2C">
      <w:pPr>
        <w:pStyle w:val="H1G"/>
        <w:rPr>
          <w:lang w:val="fr-FR"/>
        </w:rPr>
      </w:pPr>
      <w:r>
        <w:rPr>
          <w:lang w:val="fr-FR"/>
        </w:rPr>
        <w:tab/>
      </w:r>
      <w:r>
        <w:rPr>
          <w:lang w:val="fr-FR"/>
        </w:rPr>
        <w:tab/>
        <w:t>Chapitre 4.1</w:t>
      </w:r>
    </w:p>
    <w:p w14:paraId="7898B334" w14:textId="77777777" w:rsidR="007A7A2C" w:rsidRDefault="007A7A2C" w:rsidP="007A7A2C">
      <w:pPr>
        <w:pStyle w:val="SingleTxtG"/>
        <w:rPr>
          <w:bCs/>
          <w:lang w:val="fr-FR"/>
        </w:rPr>
      </w:pPr>
      <w:r>
        <w:rPr>
          <w:bCs/>
          <w:lang w:val="fr-FR"/>
        </w:rPr>
        <w:t xml:space="preserve">4.1.4.1, instruction d’emballage P200 10) </w:t>
      </w:r>
      <w:r>
        <w:rPr>
          <w:bCs/>
          <w:lang w:val="fr-FR"/>
        </w:rPr>
        <w:tab/>
        <w:t>Dans la disposition spéciale « va », ajouter « ou EN ISO 15996:2017 » après « EN ISO 15996:2005 + A1:2007 » (deux fois).</w:t>
      </w:r>
      <w:r>
        <w:rPr>
          <w:bCs/>
          <w:lang w:val="fr-FR"/>
        </w:rPr>
        <w:tab/>
      </w:r>
    </w:p>
    <w:p w14:paraId="151FBE3D" w14:textId="7FC66ADB" w:rsidR="007A7A2C" w:rsidRDefault="007A7A2C" w:rsidP="007A7A2C">
      <w:pPr>
        <w:pStyle w:val="SingleTxtG"/>
        <w:rPr>
          <w:i/>
          <w:iCs/>
          <w:lang w:val="fr-FR"/>
        </w:rPr>
      </w:pPr>
      <w:r w:rsidRPr="00BA2919">
        <w:rPr>
          <w:i/>
          <w:iCs/>
          <w:lang w:val="fr-FR"/>
        </w:rPr>
        <w:t>(Document</w:t>
      </w:r>
      <w:r w:rsidRPr="00BA2919">
        <w:rPr>
          <w:i/>
          <w:lang w:val="fr-FR"/>
        </w:rPr>
        <w:t xml:space="preserve"> </w:t>
      </w:r>
      <w:r w:rsidRPr="00BA2919">
        <w:rPr>
          <w:i/>
          <w:iCs/>
          <w:lang w:val="fr-FR"/>
        </w:rPr>
        <w:t>de référence: document informel INF.</w:t>
      </w:r>
      <w:r>
        <w:rPr>
          <w:i/>
          <w:iCs/>
          <w:lang w:val="fr-FR"/>
        </w:rPr>
        <w:t>53, proposition 3</w:t>
      </w:r>
      <w:r w:rsidRPr="00BA2919">
        <w:rPr>
          <w:i/>
          <w:iCs/>
          <w:lang w:val="fr-FR"/>
        </w:rPr>
        <w:t>)</w:t>
      </w:r>
    </w:p>
    <w:p w14:paraId="5947A113" w14:textId="77777777" w:rsidR="009C7A41" w:rsidRDefault="009C7A41" w:rsidP="009C7A41">
      <w:pPr>
        <w:pStyle w:val="SingleTxtG"/>
        <w:rPr>
          <w:bCs/>
          <w:lang w:val="fr-FR"/>
        </w:rPr>
      </w:pPr>
      <w:r>
        <w:rPr>
          <w:bCs/>
          <w:lang w:val="fr-FR"/>
        </w:rPr>
        <w:t>4.1.4.1, instruction d’emballage P200 11)</w:t>
      </w:r>
      <w:r>
        <w:rPr>
          <w:bCs/>
          <w:lang w:val="fr-FR"/>
        </w:rPr>
        <w:tab/>
        <w:t>Dans le tableau, dans la colonne « Référence », pour « EN 1439 », supprimer « (sauf 3.5 et Annexe G) ».</w:t>
      </w:r>
    </w:p>
    <w:p w14:paraId="2BFB33CA" w14:textId="77777777" w:rsidR="009C7A41" w:rsidRPr="009C7A41" w:rsidRDefault="009C7A41" w:rsidP="009C7A41">
      <w:pPr>
        <w:pStyle w:val="SingleTxtG"/>
        <w:rPr>
          <w:bCs/>
          <w:lang w:val="fr-FR"/>
        </w:rPr>
      </w:pPr>
      <w:r>
        <w:rPr>
          <w:i/>
          <w:lang w:val="fr-FR"/>
        </w:rPr>
        <w:t>(Document de référence : ECE/TRANS/WP.15/AC.1/2017/33 tel que modifié dans les documents informels INF.55 et INF.56)</w:t>
      </w:r>
    </w:p>
    <w:p w14:paraId="7DD1F6CF" w14:textId="77777777" w:rsidR="007A7A2C" w:rsidRDefault="007A7A2C" w:rsidP="007A7A2C">
      <w:pPr>
        <w:pStyle w:val="SingleTxtG"/>
        <w:rPr>
          <w:iCs/>
          <w:lang w:val="fr-FR"/>
        </w:rPr>
      </w:pPr>
      <w:r>
        <w:rPr>
          <w:iCs/>
          <w:lang w:val="fr-FR"/>
        </w:rPr>
        <w:lastRenderedPageBreak/>
        <w:t>4.1.6.15</w:t>
      </w:r>
      <w:r>
        <w:rPr>
          <w:iCs/>
          <w:lang w:val="fr-FR"/>
        </w:rPr>
        <w:tab/>
        <w:t>Dans le tableau, pour « </w:t>
      </w:r>
      <w:r w:rsidRPr="00993145">
        <w:rPr>
          <w:iCs/>
          <w:lang w:val="fr-FR"/>
        </w:rPr>
        <w:t>4.1.6.8</w:t>
      </w:r>
      <w:r>
        <w:rPr>
          <w:iCs/>
          <w:lang w:val="fr-FR"/>
        </w:rPr>
        <w:t xml:space="preserve"> </w:t>
      </w:r>
      <w:r w:rsidRPr="00993145">
        <w:rPr>
          <w:iCs/>
          <w:lang w:val="fr-FR"/>
        </w:rPr>
        <w:t>Robinets</w:t>
      </w:r>
      <w:r>
        <w:rPr>
          <w:iCs/>
          <w:lang w:val="fr-FR"/>
        </w:rPr>
        <w:t xml:space="preserve"> </w:t>
      </w:r>
      <w:r w:rsidRPr="00993145">
        <w:rPr>
          <w:iCs/>
          <w:lang w:val="fr-FR"/>
        </w:rPr>
        <w:t>munis d'une</w:t>
      </w:r>
      <w:r>
        <w:rPr>
          <w:iCs/>
          <w:lang w:val="fr-FR"/>
        </w:rPr>
        <w:t xml:space="preserve"> </w:t>
      </w:r>
      <w:r w:rsidRPr="00993145">
        <w:rPr>
          <w:iCs/>
          <w:lang w:val="fr-FR"/>
        </w:rPr>
        <w:t>protection</w:t>
      </w:r>
      <w:r>
        <w:rPr>
          <w:iCs/>
          <w:lang w:val="fr-FR"/>
        </w:rPr>
        <w:t xml:space="preserve"> </w:t>
      </w:r>
      <w:r w:rsidRPr="00993145">
        <w:rPr>
          <w:iCs/>
          <w:lang w:val="fr-FR"/>
        </w:rPr>
        <w:t>intégrée</w:t>
      </w:r>
      <w:r>
        <w:rPr>
          <w:iCs/>
          <w:lang w:val="fr-FR"/>
        </w:rPr>
        <w:t> », ajouter la nouvelle ligne suivante :</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2069"/>
        <w:gridCol w:w="5075"/>
      </w:tblGrid>
      <w:tr w:rsidR="007A7A2C" w:rsidRPr="00D25FE3" w14:paraId="26613569" w14:textId="77777777" w:rsidTr="00681B4D">
        <w:trPr>
          <w:trHeight w:val="227"/>
        </w:trPr>
        <w:tc>
          <w:tcPr>
            <w:tcW w:w="2041" w:type="dxa"/>
            <w:shd w:val="clear" w:color="auto" w:fill="auto"/>
            <w:vAlign w:val="center"/>
          </w:tcPr>
          <w:p w14:paraId="7AF65C6E" w14:textId="77777777" w:rsidR="007A7A2C" w:rsidRPr="00D25FE3" w:rsidRDefault="007A7A2C" w:rsidP="00681B4D">
            <w:pPr>
              <w:keepNext/>
              <w:ind w:hanging="22"/>
            </w:pPr>
            <w:r w:rsidRPr="006B18CE">
              <w:rPr>
                <w:lang w:val="fr-FR"/>
              </w:rPr>
              <w:t xml:space="preserve">4.1.6.8 </w:t>
            </w:r>
            <w:r w:rsidRPr="00993145">
              <w:rPr>
                <w:iCs/>
                <w:lang w:val="fr-FR"/>
              </w:rPr>
              <w:t>Robinets munis d'une protection intégrée</w:t>
            </w:r>
          </w:p>
        </w:tc>
        <w:tc>
          <w:tcPr>
            <w:tcW w:w="2069" w:type="dxa"/>
            <w:shd w:val="clear" w:color="auto" w:fill="auto"/>
            <w:vAlign w:val="center"/>
          </w:tcPr>
          <w:p w14:paraId="5844E444" w14:textId="77777777" w:rsidR="007A7A2C" w:rsidRPr="00D25FE3" w:rsidRDefault="007A7A2C" w:rsidP="00681B4D">
            <w:pPr>
              <w:keepNext/>
              <w:ind w:hanging="22"/>
            </w:pPr>
            <w:r w:rsidRPr="001713C6">
              <w:rPr>
                <w:lang w:val="en-GB"/>
              </w:rPr>
              <w:t>EN ISO 17879:2017</w:t>
            </w:r>
          </w:p>
        </w:tc>
        <w:tc>
          <w:tcPr>
            <w:tcW w:w="5075" w:type="dxa"/>
            <w:shd w:val="clear" w:color="auto" w:fill="auto"/>
            <w:vAlign w:val="center"/>
          </w:tcPr>
          <w:p w14:paraId="65F5EBBA" w14:textId="77777777" w:rsidR="007A7A2C" w:rsidRPr="00D25FE3" w:rsidRDefault="007A7A2C" w:rsidP="00681B4D">
            <w:pPr>
              <w:spacing w:line="240" w:lineRule="auto"/>
            </w:pPr>
            <w:r w:rsidRPr="00993145">
              <w:rPr>
                <w:lang w:val="fr-FR"/>
              </w:rPr>
              <w:t xml:space="preserve">Bouteilles à gaz </w:t>
            </w:r>
            <w:r w:rsidRPr="00BA2919">
              <w:rPr>
                <w:bCs/>
                <w:lang w:val="fr-FR"/>
              </w:rPr>
              <w:t>−</w:t>
            </w:r>
            <w:r w:rsidRPr="00993145">
              <w:rPr>
                <w:lang w:val="fr-FR"/>
              </w:rPr>
              <w:t xml:space="preserve"> Robinets de bouteilles équipés de clapets auto-obturants </w:t>
            </w:r>
            <w:r w:rsidRPr="00BA2919">
              <w:rPr>
                <w:bCs/>
                <w:lang w:val="fr-FR"/>
              </w:rPr>
              <w:t>−</w:t>
            </w:r>
            <w:r w:rsidRPr="00993145">
              <w:rPr>
                <w:lang w:val="fr-FR"/>
              </w:rPr>
              <w:t xml:space="preserve"> Spécifications et essais de type</w:t>
            </w:r>
          </w:p>
        </w:tc>
      </w:tr>
    </w:tbl>
    <w:p w14:paraId="7A4AB3C4" w14:textId="77777777" w:rsidR="007A7A2C" w:rsidRPr="009D1EBA" w:rsidRDefault="007A7A2C" w:rsidP="007A7A2C">
      <w:pPr>
        <w:pStyle w:val="SingleTxtG"/>
        <w:rPr>
          <w:i/>
          <w:iCs/>
          <w:lang w:val="fr-FR"/>
        </w:rPr>
      </w:pPr>
      <w:r w:rsidRPr="00BA2919">
        <w:rPr>
          <w:i/>
          <w:iCs/>
          <w:lang w:val="fr-FR"/>
        </w:rPr>
        <w:t>(Document</w:t>
      </w:r>
      <w:r w:rsidRPr="00BA2919">
        <w:rPr>
          <w:i/>
          <w:lang w:val="fr-FR"/>
        </w:rPr>
        <w:t xml:space="preserve"> </w:t>
      </w:r>
      <w:r w:rsidRPr="00BA2919">
        <w:rPr>
          <w:i/>
          <w:iCs/>
          <w:lang w:val="fr-FR"/>
        </w:rPr>
        <w:t>de référence: document informel INF.</w:t>
      </w:r>
      <w:r>
        <w:rPr>
          <w:i/>
          <w:iCs/>
          <w:lang w:val="fr-FR"/>
        </w:rPr>
        <w:t>53, proposition 4</w:t>
      </w:r>
      <w:r w:rsidRPr="00BA2919">
        <w:rPr>
          <w:i/>
          <w:iCs/>
          <w:lang w:val="fr-FR"/>
        </w:rPr>
        <w:t>)</w:t>
      </w:r>
    </w:p>
    <w:p w14:paraId="1EDF5001" w14:textId="77777777" w:rsidR="00701A0C" w:rsidRDefault="007A7A2C" w:rsidP="00701A0C">
      <w:pPr>
        <w:pStyle w:val="H1G"/>
        <w:rPr>
          <w:lang w:val="fr-FR"/>
        </w:rPr>
      </w:pPr>
      <w:r>
        <w:rPr>
          <w:lang w:val="fr-FR"/>
        </w:rPr>
        <w:tab/>
      </w:r>
      <w:r w:rsidR="00701A0C">
        <w:rPr>
          <w:lang w:val="fr-FR"/>
        </w:rPr>
        <w:tab/>
        <w:t>Chapitre 4.3</w:t>
      </w:r>
    </w:p>
    <w:p w14:paraId="780CFC1E" w14:textId="77777777" w:rsidR="00701A0C" w:rsidRDefault="00701A0C" w:rsidP="00701A0C">
      <w:pPr>
        <w:pStyle w:val="SingleTxtG"/>
        <w:rPr>
          <w:lang w:val="fr-FR"/>
        </w:rPr>
      </w:pPr>
      <w:r>
        <w:rPr>
          <w:lang w:val="fr-FR"/>
        </w:rPr>
        <w:t>4.3.5</w:t>
      </w:r>
      <w:r>
        <w:rPr>
          <w:lang w:val="fr-FR"/>
        </w:rPr>
        <w:tab/>
        <w:t>Ajouter la nouvelle disposition spéciale TU43 suivante :</w:t>
      </w:r>
    </w:p>
    <w:p w14:paraId="25310F39" w14:textId="77777777" w:rsidR="00701A0C" w:rsidRDefault="00701A0C" w:rsidP="00701A0C">
      <w:pPr>
        <w:pStyle w:val="SingleTxtG"/>
        <w:rPr>
          <w:lang w:val="fr-FR"/>
        </w:rPr>
      </w:pPr>
      <w:r w:rsidRPr="00471C40">
        <w:rPr>
          <w:lang w:val="fr-FR"/>
        </w:rPr>
        <w:t>« TU43</w:t>
      </w:r>
      <w:r w:rsidRPr="00471C40">
        <w:rPr>
          <w:lang w:val="fr-FR"/>
        </w:rPr>
        <w:tab/>
      </w:r>
      <w:r w:rsidRPr="00471C40">
        <w:t>Une citerne vide non nettoyée peut être présentée au transport après la date d’expiration de la validité de la dernière inspection du revêtement pour une période ne dépassant pas trois mois après cette date, pour être soumise à la prochaine inspection du</w:t>
      </w:r>
      <w:r>
        <w:t xml:space="preserve"> </w:t>
      </w:r>
      <w:r w:rsidRPr="00A837F5">
        <w:t>revêtement avant d’être à nouveau remplie (voir disposition spéciale TT2 au 6.8.4 d)). ».</w:t>
      </w:r>
    </w:p>
    <w:p w14:paraId="6621CF27" w14:textId="77777777" w:rsidR="00701A0C" w:rsidRDefault="00701A0C" w:rsidP="00701A0C">
      <w:pPr>
        <w:pStyle w:val="SingleTxtG"/>
        <w:rPr>
          <w:i/>
          <w:lang w:val="fr-FR"/>
        </w:rPr>
      </w:pPr>
      <w:r w:rsidRPr="004F1740">
        <w:rPr>
          <w:i/>
          <w:lang w:val="fr-FR"/>
        </w:rPr>
        <w:t>(Document de référence : document informel INF.46, proposition 1)</w:t>
      </w:r>
    </w:p>
    <w:p w14:paraId="3A14F604" w14:textId="77777777" w:rsidR="00FD6052" w:rsidRDefault="00701A0C" w:rsidP="004F5D7D">
      <w:pPr>
        <w:pStyle w:val="H1G"/>
        <w:rPr>
          <w:lang w:val="fr-FR"/>
        </w:rPr>
      </w:pPr>
      <w:r>
        <w:rPr>
          <w:lang w:val="fr-FR"/>
        </w:rPr>
        <w:tab/>
      </w:r>
      <w:r w:rsidR="007A7A2C">
        <w:rPr>
          <w:lang w:val="fr-FR"/>
        </w:rPr>
        <w:tab/>
      </w:r>
      <w:r w:rsidR="00FD6052">
        <w:rPr>
          <w:lang w:val="fr-FR"/>
        </w:rPr>
        <w:t>Chapitre 5.2</w:t>
      </w:r>
    </w:p>
    <w:p w14:paraId="512ED20A" w14:textId="26782B5B" w:rsidR="00FD6052" w:rsidRDefault="00FD6052" w:rsidP="00FD6052">
      <w:pPr>
        <w:pStyle w:val="SingleTxtG"/>
        <w:rPr>
          <w:lang w:val="fr-FR"/>
        </w:rPr>
      </w:pPr>
      <w:r>
        <w:rPr>
          <w:lang w:val="fr-FR"/>
        </w:rPr>
        <w:t>[5.2.2.2.1.1.2</w:t>
      </w:r>
      <w:r>
        <w:rPr>
          <w:lang w:val="fr-FR"/>
        </w:rPr>
        <w:tab/>
      </w:r>
      <w:r w:rsidR="006B18CE">
        <w:rPr>
          <w:lang w:val="fr-FR"/>
        </w:rPr>
        <w:tab/>
      </w:r>
      <w:r>
        <w:rPr>
          <w:lang w:val="fr-FR"/>
        </w:rPr>
        <w:t>Remplacer la deuxième et la troisième phrases par : « </w:t>
      </w:r>
      <w:r w:rsidRPr="00877168">
        <w:rPr>
          <w:lang w:val="fr-FR"/>
        </w:rPr>
        <w:t>Les dimensions minimales doivent être de 100 mm x 100 mm. Il doit y avoir une ligne à l’intérieur du carré qui doit être parallèle au bord de l’étiquette et située approximativement à 5 mm de distance de ce bord.</w:t>
      </w:r>
      <w:r>
        <w:rPr>
          <w:lang w:val="fr-FR"/>
        </w:rPr>
        <w:t> »]</w:t>
      </w:r>
    </w:p>
    <w:p w14:paraId="0C3CBAA1" w14:textId="77777777" w:rsidR="00FD6052" w:rsidRPr="00FD6052" w:rsidRDefault="00FD6052" w:rsidP="00FD6052">
      <w:pPr>
        <w:pStyle w:val="SingleTxtG"/>
        <w:rPr>
          <w:i/>
          <w:iCs/>
          <w:lang w:val="fr-FR"/>
        </w:rPr>
      </w:pPr>
      <w:r w:rsidRPr="00FD6052">
        <w:rPr>
          <w:i/>
          <w:iCs/>
          <w:lang w:val="fr-FR"/>
        </w:rPr>
        <w:t>(Document de référence : document informel INF.57)</w:t>
      </w:r>
    </w:p>
    <w:p w14:paraId="10D062AC" w14:textId="77777777" w:rsidR="007A7A2C" w:rsidRPr="004F5D7D" w:rsidRDefault="00FD6052" w:rsidP="004F5D7D">
      <w:pPr>
        <w:pStyle w:val="H1G"/>
      </w:pPr>
      <w:r>
        <w:rPr>
          <w:lang w:val="fr-FR"/>
        </w:rPr>
        <w:tab/>
      </w:r>
      <w:r>
        <w:rPr>
          <w:lang w:val="fr-FR"/>
        </w:rPr>
        <w:tab/>
      </w:r>
      <w:r w:rsidR="007A7A2C" w:rsidRPr="004F5D7D">
        <w:t>Chapitre 5.3</w:t>
      </w:r>
    </w:p>
    <w:p w14:paraId="25660C18" w14:textId="77777777" w:rsidR="006E4CF8" w:rsidRDefault="006E4CF8" w:rsidP="006E4CF8">
      <w:pPr>
        <w:pStyle w:val="SingleTxtG"/>
      </w:pPr>
      <w:r>
        <w:t>5.3.1.1.1</w:t>
      </w:r>
      <w:r>
        <w:tab/>
        <w:t>À la fin, ajouter : « Les plaques-étiquettes doivent résister aux intempéries et elles doivent permettre de garantir la présence de la signalisation pendant toute la durée du transport. ».</w:t>
      </w:r>
    </w:p>
    <w:p w14:paraId="56EAC39E" w14:textId="77777777" w:rsidR="006E4CF8" w:rsidRDefault="006E4CF8" w:rsidP="006E4CF8">
      <w:pPr>
        <w:pStyle w:val="SingleTxtG"/>
        <w:rPr>
          <w:i/>
          <w:lang w:val="fr-FR"/>
        </w:rPr>
      </w:pPr>
      <w:r>
        <w:rPr>
          <w:i/>
          <w:lang w:val="fr-FR"/>
        </w:rPr>
        <w:t>(Document de référence : document informel INF.31, proposition 1)</w:t>
      </w:r>
    </w:p>
    <w:p w14:paraId="075F6882" w14:textId="77777777" w:rsidR="007A7A2C" w:rsidRDefault="007A7A2C" w:rsidP="007A7A2C">
      <w:pPr>
        <w:pStyle w:val="SingleTxtG"/>
        <w:rPr>
          <w:lang w:val="fr-FR"/>
        </w:rPr>
      </w:pPr>
      <w:r w:rsidRPr="004303F6">
        <w:rPr>
          <w:lang w:val="fr-FR"/>
        </w:rPr>
        <w:t>5.3.3</w:t>
      </w:r>
      <w:r w:rsidRPr="004303F6">
        <w:rPr>
          <w:lang w:val="fr-FR"/>
        </w:rPr>
        <w:tab/>
        <w:t>Ajouter la phrase suivante à la fin du deuxième paragraphe: « La marque doit être</w:t>
      </w:r>
      <w:r>
        <w:rPr>
          <w:lang w:val="fr-FR"/>
        </w:rPr>
        <w:t xml:space="preserve"> résistante aux intempéries et la présence de la signalisation doit être garantie pendant toute la durée du transport. ».</w:t>
      </w:r>
    </w:p>
    <w:p w14:paraId="7238EA1D" w14:textId="77777777" w:rsidR="007A7A2C" w:rsidRDefault="007A7A2C" w:rsidP="007A7A2C">
      <w:pPr>
        <w:pStyle w:val="SingleTxtG"/>
        <w:rPr>
          <w:i/>
          <w:lang w:val="fr-FR"/>
        </w:rPr>
      </w:pPr>
      <w:r w:rsidRPr="003C4DD5">
        <w:rPr>
          <w:i/>
          <w:lang w:val="fr-FR"/>
        </w:rPr>
        <w:t>(Document de référence : document informel INF.31, proposition 2, telle que modifiée dans le INF.31/Rev.1)</w:t>
      </w:r>
    </w:p>
    <w:p w14:paraId="0C7A3ECB" w14:textId="77777777" w:rsidR="006E4CF8" w:rsidRDefault="006E4CF8" w:rsidP="006E4CF8">
      <w:pPr>
        <w:pStyle w:val="SingleTxtG"/>
      </w:pPr>
      <w:r>
        <w:t>5.3.6.1</w:t>
      </w:r>
      <w:r>
        <w:tab/>
      </w:r>
      <w:r>
        <w:tab/>
        <w:t>Ajouter la nouvelle phrase suivante à la fin : « </w:t>
      </w:r>
      <w:r w:rsidRPr="00E024DA">
        <w:t>Cette prescription ne s</w:t>
      </w:r>
      <w:r>
        <w:t>’</w:t>
      </w:r>
      <w:r w:rsidRPr="00E024DA">
        <w:t xml:space="preserve">applique </w:t>
      </w:r>
      <w:r w:rsidRPr="008A7DFA">
        <w:t>pas aux exceptions prévues au 5.2.1.8.1. ».</w:t>
      </w:r>
    </w:p>
    <w:p w14:paraId="48C7A6B8" w14:textId="77777777" w:rsidR="006E4CF8" w:rsidRDefault="006E4CF8" w:rsidP="006E4CF8">
      <w:pPr>
        <w:pStyle w:val="SingleTxtG"/>
        <w:rPr>
          <w:i/>
          <w:lang w:val="fr-FR"/>
        </w:rPr>
      </w:pPr>
      <w:r>
        <w:rPr>
          <w:i/>
          <w:lang w:val="fr-FR"/>
        </w:rPr>
        <w:t>(Document de référence : ECE/TRANS/WP.15/AC.1/2017/30)</w:t>
      </w:r>
    </w:p>
    <w:p w14:paraId="2E53CACB" w14:textId="77777777" w:rsidR="0093236F" w:rsidRDefault="0093236F" w:rsidP="0093236F">
      <w:pPr>
        <w:pStyle w:val="H1G"/>
        <w:rPr>
          <w:lang w:val="fr-FR"/>
        </w:rPr>
      </w:pPr>
      <w:r>
        <w:rPr>
          <w:lang w:val="fr-FR"/>
        </w:rPr>
        <w:tab/>
      </w:r>
      <w:r>
        <w:rPr>
          <w:lang w:val="fr-FR"/>
        </w:rPr>
        <w:tab/>
        <w:t>Chapitre 6.1</w:t>
      </w:r>
    </w:p>
    <w:p w14:paraId="5F97A170" w14:textId="77777777" w:rsidR="0093236F" w:rsidRPr="0071292B" w:rsidRDefault="0093236F" w:rsidP="0093236F">
      <w:pPr>
        <w:pStyle w:val="SingleTxtG"/>
        <w:rPr>
          <w:b/>
          <w:i/>
          <w:lang w:val="fr-FR"/>
        </w:rPr>
      </w:pPr>
      <w:r w:rsidRPr="000330B5">
        <w:t>6.1.1.1 b)</w:t>
      </w:r>
      <w:r w:rsidRPr="000330B5">
        <w:rPr>
          <w:b/>
        </w:rPr>
        <w:tab/>
      </w:r>
      <w:r w:rsidRPr="000330B5">
        <w:t>Remplacer « </w:t>
      </w:r>
      <w:r w:rsidRPr="000330B5">
        <w:rPr>
          <w:rFonts w:eastAsia="TimesNewRomanPSMT"/>
          <w:spacing w:val="4"/>
          <w:w w:val="103"/>
        </w:rPr>
        <w:t>(voir chapitre 6.3, NOTA et instruction d’emballage P621 du 4.1.4.1) </w:t>
      </w:r>
      <w:r w:rsidRPr="000330B5">
        <w:t xml:space="preserve">» par « (voir NOTA </w:t>
      </w:r>
      <w:r>
        <w:t xml:space="preserve">sous le titre </w:t>
      </w:r>
      <w:r w:rsidRPr="000330B5">
        <w:t>du Chapitre 6.3 et instruction d’emballage P621 du 4.1.4.1) ».</w:t>
      </w:r>
    </w:p>
    <w:p w14:paraId="571941C5" w14:textId="77777777" w:rsidR="0093236F" w:rsidRDefault="0093236F" w:rsidP="0093236F">
      <w:pPr>
        <w:pStyle w:val="SingleTxtG"/>
        <w:rPr>
          <w:i/>
          <w:lang w:val="fr-FR"/>
        </w:rPr>
      </w:pPr>
      <w:r>
        <w:rPr>
          <w:i/>
          <w:lang w:val="fr-FR"/>
        </w:rPr>
        <w:t>(Document de référence : ECE/TRANS/WP.15/AC.1/2017/43 tel que modifié)</w:t>
      </w:r>
    </w:p>
    <w:p w14:paraId="7EFCF49C" w14:textId="77777777" w:rsidR="007A7A2C" w:rsidRDefault="007A7A2C" w:rsidP="007A7A2C">
      <w:pPr>
        <w:pStyle w:val="H1G"/>
        <w:rPr>
          <w:lang w:val="fr-FR"/>
        </w:rPr>
      </w:pPr>
      <w:r>
        <w:rPr>
          <w:lang w:val="fr-FR"/>
        </w:rPr>
        <w:lastRenderedPageBreak/>
        <w:tab/>
      </w:r>
      <w:r>
        <w:rPr>
          <w:lang w:val="fr-FR"/>
        </w:rPr>
        <w:tab/>
        <w:t>Chapitre 6.2</w:t>
      </w:r>
    </w:p>
    <w:p w14:paraId="6BD3E30A" w14:textId="77777777" w:rsidR="00681B4D" w:rsidRDefault="00681B4D" w:rsidP="00681B4D">
      <w:pPr>
        <w:pStyle w:val="SingleTxtG"/>
        <w:rPr>
          <w:lang w:val="fr-FR"/>
        </w:rPr>
      </w:pPr>
      <w:r>
        <w:rPr>
          <w:lang w:val="fr-FR"/>
        </w:rPr>
        <w:t>Ajouter un nouveau 6.2.3.5.3 libellé comme suit :</w:t>
      </w:r>
    </w:p>
    <w:p w14:paraId="3AB9E142" w14:textId="77777777" w:rsidR="00681B4D" w:rsidRDefault="00681B4D" w:rsidP="00681B4D">
      <w:pPr>
        <w:pStyle w:val="SingleTxtG"/>
        <w:rPr>
          <w:lang w:val="fr-FR"/>
        </w:rPr>
      </w:pPr>
      <w:r>
        <w:rPr>
          <w:lang w:val="fr-FR"/>
        </w:rPr>
        <w:t>« 6.2.3.5.3</w:t>
      </w:r>
      <w:r>
        <w:rPr>
          <w:lang w:val="fr-FR"/>
        </w:rPr>
        <w:tab/>
      </w:r>
      <w:r>
        <w:rPr>
          <w:i/>
          <w:lang w:val="fr-FR"/>
        </w:rPr>
        <w:t>Dispositions générales applicables à la substitution de contrôles spécifiques requis pour les contrôles et épreuves périodiques prescrits au 6.2.3.5.1</w:t>
      </w:r>
    </w:p>
    <w:p w14:paraId="080366BD" w14:textId="77777777" w:rsidR="00681B4D" w:rsidRDefault="00681B4D" w:rsidP="00681B4D">
      <w:pPr>
        <w:pStyle w:val="SingleTxtG"/>
        <w:rPr>
          <w:i/>
          <w:lang w:val="fr-FR"/>
        </w:rPr>
      </w:pPr>
      <w:r>
        <w:rPr>
          <w:lang w:val="fr-FR"/>
        </w:rPr>
        <w:t>6.2.3.5.3.1</w:t>
      </w:r>
      <w:r>
        <w:rPr>
          <w:lang w:val="fr-FR"/>
        </w:rPr>
        <w:tab/>
        <w:t>Ce paragraphe ne s’applique qu’à des types de récipients à pression conçus et fabriqués selon les normes indiquées au 6.2.4.1 ou selon un code technique conformément au 6.2.5, et dont les propriétés inhérentes à leur conception empêchent d’effectuer les contrôles et épreuves prescrits au 6.2.1.6.1 b) ou d) ou ne permettent pas d’interpréter les résultats.</w:t>
      </w:r>
    </w:p>
    <w:p w14:paraId="05891843" w14:textId="77777777" w:rsidR="00681B4D" w:rsidRDefault="00681B4D" w:rsidP="00681B4D">
      <w:pPr>
        <w:pStyle w:val="SingleTxtG"/>
        <w:rPr>
          <w:lang w:val="fr-FR"/>
        </w:rPr>
      </w:pPr>
      <w:r>
        <w:rPr>
          <w:lang w:val="fr-FR"/>
        </w:rPr>
        <w:t xml:space="preserve">Pour de tels récipients à pression, lesdits contrôles doivent être remplacés par des méthodes alternatives adaptées à leurs caractéristiques particulières de conception, comme indiqué au 6.2.3.5.4 et détaillé dans une disposition spéciale du chapitre 3.3 ou une norme référencée au 6.2.4.2. </w:t>
      </w:r>
    </w:p>
    <w:p w14:paraId="77746D45" w14:textId="77777777" w:rsidR="00681B4D" w:rsidRDefault="00681B4D" w:rsidP="00681B4D">
      <w:pPr>
        <w:pStyle w:val="SingleTxtG"/>
        <w:rPr>
          <w:lang w:val="fr-FR"/>
        </w:rPr>
      </w:pPr>
      <w:r>
        <w:rPr>
          <w:lang w:val="fr-FR"/>
        </w:rPr>
        <w:t xml:space="preserve">Les méthodes alternatives doivent spécifier quels contrôles et épreuves périodiques visés aux 6.2.1.6.1 b) et d) doivent être remplacés. </w:t>
      </w:r>
    </w:p>
    <w:p w14:paraId="4890F357" w14:textId="77777777" w:rsidR="00681B4D" w:rsidRDefault="00681B4D" w:rsidP="00681B4D">
      <w:pPr>
        <w:pStyle w:val="SingleTxtG"/>
        <w:rPr>
          <w:lang w:val="fr-FR"/>
        </w:rPr>
      </w:pPr>
      <w:r>
        <w:rPr>
          <w:lang w:val="fr-FR"/>
        </w:rPr>
        <w:t>Les méthodes alternatives, combinées aux contrôles restants selon les 6.2.1.6.1 a) à e) doivent garantir un niveau de sécurité au moins équivalent à celui appliqué aux récipients à pression de taille et d’utilisation similaires contrôlés et éprouvés périodiquement conformément au 6.2.3.5.1.</w:t>
      </w:r>
    </w:p>
    <w:p w14:paraId="7BD4336F" w14:textId="77777777" w:rsidR="00681B4D" w:rsidRDefault="00681B4D" w:rsidP="00681B4D">
      <w:pPr>
        <w:pStyle w:val="SingleTxtG"/>
        <w:rPr>
          <w:lang w:val="fr-FR"/>
        </w:rPr>
      </w:pPr>
      <w:r>
        <w:rPr>
          <w:lang w:val="fr-FR"/>
        </w:rPr>
        <w:t>Les méthodes alternatives doivent en outre préciser tous les éléments suivants :</w:t>
      </w:r>
    </w:p>
    <w:p w14:paraId="16C61992" w14:textId="36F0BD39" w:rsidR="00681B4D" w:rsidRDefault="00681B4D" w:rsidP="00681B4D">
      <w:pPr>
        <w:pStyle w:val="SingleTxtG"/>
        <w:rPr>
          <w:lang w:val="fr-FR"/>
        </w:rPr>
      </w:pPr>
      <w:r>
        <w:rPr>
          <w:lang w:val="fr-FR"/>
        </w:rPr>
        <w:t>-</w:t>
      </w:r>
      <w:r>
        <w:rPr>
          <w:lang w:val="fr-FR"/>
        </w:rPr>
        <w:tab/>
        <w:t>Une description des types de récipients à pression visés ;</w:t>
      </w:r>
    </w:p>
    <w:p w14:paraId="48CFAD69" w14:textId="56B74253" w:rsidR="00681B4D" w:rsidRDefault="00681B4D" w:rsidP="00681B4D">
      <w:pPr>
        <w:pStyle w:val="SingleTxtG"/>
        <w:rPr>
          <w:lang w:val="fr-FR"/>
        </w:rPr>
      </w:pPr>
      <w:r>
        <w:rPr>
          <w:lang w:val="fr-FR"/>
        </w:rPr>
        <w:t>-</w:t>
      </w:r>
      <w:r>
        <w:rPr>
          <w:lang w:val="fr-FR"/>
        </w:rPr>
        <w:tab/>
        <w:t>Les procédures d’essais ;</w:t>
      </w:r>
    </w:p>
    <w:p w14:paraId="623C77E6" w14:textId="4C86D78F" w:rsidR="00681B4D" w:rsidRDefault="00681B4D" w:rsidP="00681B4D">
      <w:pPr>
        <w:pStyle w:val="SingleTxtG"/>
        <w:rPr>
          <w:lang w:val="fr-FR"/>
        </w:rPr>
      </w:pPr>
      <w:r>
        <w:rPr>
          <w:lang w:val="fr-FR"/>
        </w:rPr>
        <w:t>-</w:t>
      </w:r>
      <w:r>
        <w:rPr>
          <w:lang w:val="fr-FR"/>
        </w:rPr>
        <w:tab/>
        <w:t xml:space="preserve">Les spécifications des critères d’acceptation ; </w:t>
      </w:r>
    </w:p>
    <w:p w14:paraId="44D09BD4" w14:textId="01CDE442" w:rsidR="00681B4D" w:rsidRDefault="00681B4D" w:rsidP="00681B4D">
      <w:pPr>
        <w:pStyle w:val="SingleTxtG"/>
        <w:rPr>
          <w:lang w:val="fr-FR"/>
        </w:rPr>
      </w:pPr>
      <w:r>
        <w:rPr>
          <w:lang w:val="fr-FR"/>
        </w:rPr>
        <w:t>-</w:t>
      </w:r>
      <w:r>
        <w:rPr>
          <w:lang w:val="fr-FR"/>
        </w:rPr>
        <w:tab/>
        <w:t>Une description des mesures à prendre en cas de rejet de récipients à pression.</w:t>
      </w:r>
    </w:p>
    <w:p w14:paraId="11F6F5BA" w14:textId="77777777" w:rsidR="00681B4D" w:rsidRDefault="00681B4D" w:rsidP="00681B4D">
      <w:pPr>
        <w:pStyle w:val="SingleTxtG"/>
        <w:keepNext/>
        <w:rPr>
          <w:lang w:val="fr-FR"/>
        </w:rPr>
      </w:pPr>
      <w:r>
        <w:rPr>
          <w:lang w:val="fr-FR"/>
        </w:rPr>
        <w:t>6.2.3.5.3.2</w:t>
      </w:r>
      <w:r>
        <w:rPr>
          <w:lang w:val="fr-FR"/>
        </w:rPr>
        <w:tab/>
        <w:t>Contrôle non destructif en tant que méthode alternative</w:t>
      </w:r>
    </w:p>
    <w:p w14:paraId="4A3D8EA7" w14:textId="77777777" w:rsidR="00681B4D" w:rsidRDefault="00681B4D" w:rsidP="00681B4D">
      <w:pPr>
        <w:pStyle w:val="SingleTxtG"/>
        <w:rPr>
          <w:lang w:val="fr-FR"/>
        </w:rPr>
      </w:pPr>
      <w:r>
        <w:rPr>
          <w:lang w:val="fr-FR"/>
        </w:rPr>
        <w:t>Les contrôles précisés au 6.2.3.5.3.1 doivent être complétés ou remplacés par une ou plusieurs méthodes de contrôle non destructif effectuées sur chaque récipient à pression.</w:t>
      </w:r>
    </w:p>
    <w:p w14:paraId="36966B58" w14:textId="77777777" w:rsidR="00681B4D" w:rsidRDefault="00681B4D" w:rsidP="00681B4D">
      <w:pPr>
        <w:pStyle w:val="SingleTxtG"/>
        <w:keepNext/>
        <w:rPr>
          <w:lang w:val="fr-FR"/>
        </w:rPr>
      </w:pPr>
      <w:r>
        <w:rPr>
          <w:lang w:val="fr-FR"/>
        </w:rPr>
        <w:t>6.2.3.5.3.3</w:t>
      </w:r>
      <w:r>
        <w:rPr>
          <w:lang w:val="fr-FR"/>
        </w:rPr>
        <w:tab/>
        <w:t>Essai destructif en tant que méthode alternative</w:t>
      </w:r>
    </w:p>
    <w:p w14:paraId="43A0DE2B" w14:textId="77777777" w:rsidR="00681B4D" w:rsidRDefault="00681B4D" w:rsidP="00681B4D">
      <w:pPr>
        <w:pStyle w:val="SingleTxtG"/>
        <w:rPr>
          <w:lang w:val="fr-FR"/>
        </w:rPr>
      </w:pPr>
      <w:r>
        <w:rPr>
          <w:lang w:val="fr-FR"/>
        </w:rPr>
        <w:t>Si aucune méthode de contrôle non destructif n’assure un niveau de sécurité équivalent, le ou les contrôles identifiés au 6.2.3.5.3.1, à l’exception du contrôle de l’état intérieur mentionné au 6.2.1.6.1 b), doivent être complétés ou remplacés par une ou plusieurs méthodes d’essai destructif en combinaison avec leur évaluation statistique.</w:t>
      </w:r>
    </w:p>
    <w:p w14:paraId="0D77F13D" w14:textId="77777777" w:rsidR="00681B4D" w:rsidRDefault="00681B4D" w:rsidP="00681B4D">
      <w:pPr>
        <w:pStyle w:val="SingleTxtG"/>
        <w:keepNext/>
        <w:rPr>
          <w:lang w:val="fr-FR"/>
        </w:rPr>
      </w:pPr>
      <w:r>
        <w:rPr>
          <w:lang w:val="fr-FR"/>
        </w:rPr>
        <w:t xml:space="preserve">Outre les éléments décrits ci-dessus, la méthode d’essai destructif détaillée doit préciser les éléments suivants : </w:t>
      </w:r>
    </w:p>
    <w:p w14:paraId="4D6E6DED" w14:textId="3D857A4D" w:rsidR="00681B4D" w:rsidRDefault="00681B4D" w:rsidP="00681B4D">
      <w:pPr>
        <w:pStyle w:val="SingleTxtG"/>
        <w:rPr>
          <w:lang w:val="fr-FR"/>
        </w:rPr>
      </w:pPr>
      <w:r>
        <w:rPr>
          <w:lang w:val="fr-FR"/>
        </w:rPr>
        <w:t>-</w:t>
      </w:r>
      <w:r>
        <w:rPr>
          <w:lang w:val="fr-FR"/>
        </w:rPr>
        <w:tab/>
        <w:t>Une description de la population de base des récipients à pression visée ;</w:t>
      </w:r>
    </w:p>
    <w:p w14:paraId="207C02DA" w14:textId="6A9180AC" w:rsidR="00681B4D" w:rsidRDefault="00681B4D" w:rsidP="00681B4D">
      <w:pPr>
        <w:pStyle w:val="SingleTxtG"/>
        <w:rPr>
          <w:lang w:val="fr-FR"/>
        </w:rPr>
      </w:pPr>
      <w:r>
        <w:rPr>
          <w:lang w:val="fr-FR"/>
        </w:rPr>
        <w:t>-</w:t>
      </w:r>
      <w:r>
        <w:rPr>
          <w:lang w:val="fr-FR"/>
        </w:rPr>
        <w:tab/>
        <w:t>Une procédure d’échantillonnage aléatoire des récipients à pression individuels devant être testés ;</w:t>
      </w:r>
    </w:p>
    <w:p w14:paraId="5086324C" w14:textId="11940F7F" w:rsidR="00681B4D" w:rsidRDefault="00681B4D" w:rsidP="00681B4D">
      <w:pPr>
        <w:pStyle w:val="SingleTxtG"/>
        <w:rPr>
          <w:lang w:val="fr-FR"/>
        </w:rPr>
      </w:pPr>
      <w:r>
        <w:rPr>
          <w:lang w:val="fr-FR"/>
        </w:rPr>
        <w:t>-</w:t>
      </w:r>
      <w:r>
        <w:rPr>
          <w:lang w:val="fr-FR"/>
        </w:rPr>
        <w:tab/>
        <w:t>Une procédure d’évaluation statistique des résultats d’essai, intégrant des critères de rejet ;</w:t>
      </w:r>
    </w:p>
    <w:p w14:paraId="474463ED" w14:textId="47A70CFE" w:rsidR="00681B4D" w:rsidRDefault="00681B4D" w:rsidP="00681B4D">
      <w:pPr>
        <w:pStyle w:val="SingleTxtG"/>
        <w:rPr>
          <w:lang w:val="fr-FR"/>
        </w:rPr>
      </w:pPr>
      <w:r>
        <w:rPr>
          <w:lang w:val="fr-FR"/>
        </w:rPr>
        <w:t>-</w:t>
      </w:r>
      <w:r>
        <w:rPr>
          <w:lang w:val="fr-FR"/>
        </w:rPr>
        <w:tab/>
        <w:t xml:space="preserve">Une spécification de la périodicité des essais destructifs ; </w:t>
      </w:r>
    </w:p>
    <w:p w14:paraId="25BA5E88" w14:textId="01557B3D" w:rsidR="00681B4D" w:rsidRDefault="00681B4D" w:rsidP="00681B4D">
      <w:pPr>
        <w:pStyle w:val="SingleTxtG"/>
        <w:rPr>
          <w:lang w:val="fr-FR"/>
        </w:rPr>
      </w:pPr>
      <w:r>
        <w:rPr>
          <w:lang w:val="fr-FR"/>
        </w:rPr>
        <w:lastRenderedPageBreak/>
        <w:t>-</w:t>
      </w:r>
      <w:r>
        <w:rPr>
          <w:lang w:val="fr-FR"/>
        </w:rPr>
        <w:tab/>
        <w:t>Une description des mesures à prendre si les critères d’acceptation sont remplis mais qu’on observe une dégradation des propriétés des matériaux présentant un danger, qui doit être prise en considération pour déterminer la fin de la durée de service ;</w:t>
      </w:r>
    </w:p>
    <w:p w14:paraId="67FB74ED" w14:textId="79B4E6C6" w:rsidR="00681B4D" w:rsidRDefault="00681B4D" w:rsidP="00681B4D">
      <w:pPr>
        <w:pStyle w:val="SingleTxtG"/>
        <w:rPr>
          <w:lang w:val="fr-FR"/>
        </w:rPr>
      </w:pPr>
      <w:r>
        <w:rPr>
          <w:lang w:val="fr-FR"/>
        </w:rPr>
        <w:t>-</w:t>
      </w:r>
      <w:r>
        <w:rPr>
          <w:lang w:val="fr-FR"/>
        </w:rPr>
        <w:tab/>
        <w:t>Une évaluation statistique du niveau de sécurité atteint au moyen de la méthode alternative. ».</w:t>
      </w:r>
    </w:p>
    <w:p w14:paraId="162E24A8" w14:textId="77777777" w:rsidR="00681B4D" w:rsidRDefault="00681B4D" w:rsidP="00681B4D">
      <w:pPr>
        <w:pStyle w:val="SingleTxtG"/>
        <w:rPr>
          <w:i/>
          <w:lang w:val="fr-FR"/>
        </w:rPr>
      </w:pPr>
      <w:r>
        <w:rPr>
          <w:i/>
          <w:lang w:val="fr-FR"/>
        </w:rPr>
        <w:t>(Document de référence : ECE/TRANS/WP.15/AC.1/2017/33 tel que modifié dans les documents informels INF.55 et INF.56)</w:t>
      </w:r>
    </w:p>
    <w:p w14:paraId="3523972B" w14:textId="77777777" w:rsidR="00681B4D" w:rsidRDefault="00681B4D" w:rsidP="00681B4D">
      <w:pPr>
        <w:pStyle w:val="SingleTxtG"/>
        <w:rPr>
          <w:lang w:val="fr-FR"/>
        </w:rPr>
      </w:pPr>
      <w:r>
        <w:rPr>
          <w:lang w:val="fr-FR"/>
        </w:rPr>
        <w:t>Ajouter un nouveau 6.2.3.5.4 libellé comme suit :</w:t>
      </w:r>
    </w:p>
    <w:p w14:paraId="6B4BCE20" w14:textId="77777777" w:rsidR="00681B4D" w:rsidRDefault="00681B4D" w:rsidP="00681B4D">
      <w:pPr>
        <w:pStyle w:val="SingleTxtG"/>
        <w:rPr>
          <w:lang w:val="fr-FR"/>
        </w:rPr>
      </w:pPr>
      <w:r>
        <w:rPr>
          <w:lang w:val="fr-FR"/>
        </w:rPr>
        <w:t>« 6.2.3.5.4</w:t>
      </w:r>
      <w:r>
        <w:rPr>
          <w:lang w:val="fr-FR"/>
        </w:rPr>
        <w:tab/>
        <w:t>Les bouteilles surmoulées pour lesquelles le 6.2.3.5.3.1 s’applique doivent subir des contrôles et épreuves périodiques conformément à la disposition spéciale 674 du chapitre 3.3. ».</w:t>
      </w:r>
    </w:p>
    <w:p w14:paraId="77BFFB5A" w14:textId="7828257E" w:rsidR="00681B4D" w:rsidRPr="00681B4D" w:rsidRDefault="00681B4D" w:rsidP="00681B4D">
      <w:pPr>
        <w:pStyle w:val="SingleTxtG"/>
        <w:rPr>
          <w:i/>
          <w:lang w:val="fr-FR"/>
        </w:rPr>
      </w:pPr>
      <w:r>
        <w:rPr>
          <w:i/>
          <w:lang w:val="fr-FR"/>
        </w:rPr>
        <w:t>(Document de référence : ECE/TRANS/WP.15/AC.1/2017/33 tel que modifié dans les documents informels INF.55 et INF.56)</w:t>
      </w:r>
    </w:p>
    <w:p w14:paraId="494100E7" w14:textId="256D2A46" w:rsidR="007A7A2C" w:rsidRDefault="007A7A2C" w:rsidP="007A7A2C">
      <w:pPr>
        <w:pStyle w:val="SingleTxtG"/>
        <w:rPr>
          <w:lang w:val="fr-FR"/>
        </w:rPr>
      </w:pPr>
      <w:r>
        <w:rPr>
          <w:lang w:val="fr-FR"/>
        </w:rPr>
        <w:t>6.2.3.6.1</w:t>
      </w:r>
      <w:r>
        <w:rPr>
          <w:lang w:val="fr-FR"/>
        </w:rPr>
        <w:tab/>
        <w:t>Modifier le premier paragraphe après le tableau pour lire comme suit :</w:t>
      </w:r>
    </w:p>
    <w:p w14:paraId="5DCC7E0D" w14:textId="77777777" w:rsidR="007A7A2C" w:rsidRDefault="007A7A2C" w:rsidP="007A7A2C">
      <w:pPr>
        <w:pStyle w:val="SingleTxtG"/>
        <w:rPr>
          <w:lang w:val="fr-FR"/>
        </w:rPr>
      </w:pPr>
      <w:r>
        <w:t>« </w:t>
      </w:r>
      <w:r w:rsidRPr="0036183F">
        <w:t>Pour les récipients à pression rechargeables, l'évaluation de la conformité des robinets et autres accessoires démontables</w:t>
      </w:r>
      <w:r w:rsidRPr="0036183F" w:rsidDel="00BB3ACC">
        <w:rPr>
          <w:color w:val="000000"/>
        </w:rPr>
        <w:t xml:space="preserve"> </w:t>
      </w:r>
      <w:r w:rsidRPr="0036183F">
        <w:rPr>
          <w:color w:val="000000"/>
        </w:rPr>
        <w:t>ayant une fonction directe de sécurité peut être effectuée séparément de celle des récipients à pression</w:t>
      </w:r>
      <w:r>
        <w:rPr>
          <w:color w:val="000000"/>
        </w:rPr>
        <w:t xml:space="preserve">. Pour les </w:t>
      </w:r>
      <w:r w:rsidRPr="0036183F">
        <w:t xml:space="preserve">récipients à pression </w:t>
      </w:r>
      <w:r>
        <w:t>non-</w:t>
      </w:r>
      <w:r w:rsidRPr="0036183F">
        <w:t>rechargeables</w:t>
      </w:r>
      <w:r w:rsidRPr="003E5FA5">
        <w:t xml:space="preserve"> </w:t>
      </w:r>
      <w:r w:rsidRPr="0036183F">
        <w:t>l'évaluation de la conformité des robinets et autres accessoires démontables</w:t>
      </w:r>
      <w:r w:rsidRPr="0036183F" w:rsidDel="00BB3ACC">
        <w:rPr>
          <w:color w:val="000000"/>
        </w:rPr>
        <w:t xml:space="preserve"> </w:t>
      </w:r>
      <w:r w:rsidRPr="0036183F">
        <w:rPr>
          <w:color w:val="000000"/>
        </w:rPr>
        <w:t>ayant une fonction directe de sécurité</w:t>
      </w:r>
      <w:r>
        <w:rPr>
          <w:color w:val="000000"/>
        </w:rPr>
        <w:t xml:space="preserve"> doit être effectuée en même temps que celle des récipients à pression. ».</w:t>
      </w:r>
    </w:p>
    <w:p w14:paraId="090C944A" w14:textId="77777777" w:rsidR="007A7A2C" w:rsidRDefault="007A7A2C" w:rsidP="007A7A2C">
      <w:pPr>
        <w:pStyle w:val="SingleTxtG"/>
        <w:rPr>
          <w:i/>
          <w:lang w:val="fr-FR"/>
        </w:rPr>
      </w:pPr>
      <w:r w:rsidRPr="003C4DD5">
        <w:rPr>
          <w:i/>
          <w:lang w:val="fr-FR"/>
        </w:rPr>
        <w:t>(Document de référence : document informel INF.</w:t>
      </w:r>
      <w:r>
        <w:rPr>
          <w:i/>
          <w:lang w:val="fr-FR"/>
        </w:rPr>
        <w:t>20</w:t>
      </w:r>
      <w:r w:rsidRPr="003C4DD5">
        <w:rPr>
          <w:i/>
          <w:lang w:val="fr-FR"/>
        </w:rPr>
        <w:t>)</w:t>
      </w:r>
    </w:p>
    <w:p w14:paraId="4FFD463B" w14:textId="77777777" w:rsidR="009C7A41" w:rsidRDefault="009C7A41" w:rsidP="009C7A41">
      <w:pPr>
        <w:pStyle w:val="SingleTxtG"/>
      </w:pPr>
      <w:r>
        <w:t>6.2.4.1</w:t>
      </w:r>
      <w:r>
        <w:tab/>
      </w:r>
      <w:r>
        <w:tab/>
        <w:t>Dans le tableau, sous « Pour la conception et la fabrication », pour « EN 14140:2014 +AC:2015 », dans la colonne 1), supprimer « (sauf bouteilles surmoulées).</w:t>
      </w:r>
    </w:p>
    <w:p w14:paraId="427C2079" w14:textId="77777777" w:rsidR="009C7A41" w:rsidRDefault="009C7A41" w:rsidP="009C7A41">
      <w:pPr>
        <w:pStyle w:val="SingleTxtG"/>
        <w:rPr>
          <w:i/>
          <w:lang w:val="fr-FR"/>
        </w:rPr>
      </w:pPr>
      <w:r>
        <w:rPr>
          <w:i/>
          <w:lang w:val="fr-FR"/>
        </w:rPr>
        <w:t>(Document de référence : ECE/TRANS/WP.15/AC.1/2017/33 tel que modifié dans les documents informels INF.55 et INF.56)</w:t>
      </w:r>
    </w:p>
    <w:p w14:paraId="42A18D03" w14:textId="77777777" w:rsidR="007A7A2C" w:rsidRPr="00BA2919" w:rsidRDefault="007A7A2C" w:rsidP="007A7A2C">
      <w:pPr>
        <w:pStyle w:val="SingleTxtG"/>
        <w:rPr>
          <w:lang w:val="fr-FR"/>
        </w:rPr>
      </w:pPr>
      <w:r w:rsidRPr="00BA2919">
        <w:rPr>
          <w:bCs/>
          <w:lang w:val="fr-FR"/>
        </w:rPr>
        <w:t>6.2.4.1</w:t>
      </w:r>
      <w:r w:rsidRPr="00BA2919">
        <w:rPr>
          <w:b/>
          <w:lang w:val="fr-FR"/>
        </w:rPr>
        <w:tab/>
      </w:r>
      <w:r>
        <w:rPr>
          <w:b/>
          <w:lang w:val="fr-FR"/>
        </w:rPr>
        <w:tab/>
      </w:r>
      <w:r w:rsidRPr="00BA2919">
        <w:rPr>
          <w:rFonts w:cs="Arial"/>
          <w:szCs w:val="22"/>
          <w:lang w:val="fr-FR"/>
        </w:rPr>
        <w:t>Dans</w:t>
      </w:r>
      <w:r w:rsidRPr="00BA2919">
        <w:rPr>
          <w:lang w:val="fr-FR"/>
        </w:rPr>
        <w:t xml:space="preserve"> le tableau, sous « Pour les fermetures »</w:t>
      </w:r>
      <w:r>
        <w:rPr>
          <w:lang w:val="fr-FR"/>
        </w:rPr>
        <w:t>, p</w:t>
      </w:r>
      <w:r w:rsidRPr="00BA2919">
        <w:rPr>
          <w:lang w:val="fr-FR"/>
        </w:rPr>
        <w:t>our la norme « </w:t>
      </w:r>
      <w:r w:rsidRPr="00BA2919">
        <w:rPr>
          <w:rFonts w:eastAsia="MS Mincho"/>
          <w:lang w:val="fr-FR" w:eastAsia="de-DE"/>
        </w:rPr>
        <w:t>EN ISO 17871:2015</w:t>
      </w:r>
      <w:r>
        <w:rPr>
          <w:rFonts w:eastAsia="MS Mincho"/>
          <w:lang w:val="fr-FR" w:eastAsia="de-DE"/>
        </w:rPr>
        <w:t> »</w:t>
      </w:r>
      <w:r w:rsidRPr="00BA2919">
        <w:rPr>
          <w:lang w:val="fr-FR"/>
        </w:rPr>
        <w:t>, dans la colonne (4), remplacer «</w:t>
      </w:r>
      <w:r>
        <w:rPr>
          <w:lang w:val="fr-FR"/>
        </w:rPr>
        <w:t> </w:t>
      </w:r>
      <w:r w:rsidRPr="00BA2919">
        <w:rPr>
          <w:lang w:val="fr-FR"/>
        </w:rPr>
        <w:t>Jusqu’à nouvel ordre</w:t>
      </w:r>
      <w:r>
        <w:rPr>
          <w:lang w:val="fr-FR"/>
        </w:rPr>
        <w:t> </w:t>
      </w:r>
      <w:r w:rsidRPr="00BA2919">
        <w:rPr>
          <w:lang w:val="fr-FR"/>
        </w:rPr>
        <w:t>» par «</w:t>
      </w:r>
      <w:r>
        <w:rPr>
          <w:lang w:val="fr-FR"/>
        </w:rPr>
        <w:t> </w:t>
      </w:r>
      <w:r w:rsidRPr="00BA2919">
        <w:rPr>
          <w:lang w:val="fr-FR"/>
        </w:rPr>
        <w:t>Entre le 1</w:t>
      </w:r>
      <w:r w:rsidRPr="00BA2919">
        <w:rPr>
          <w:vertAlign w:val="superscript"/>
          <w:lang w:val="fr-FR"/>
        </w:rPr>
        <w:t>er</w:t>
      </w:r>
      <w:r w:rsidRPr="00BA2919">
        <w:rPr>
          <w:lang w:val="fr-FR"/>
        </w:rPr>
        <w:t xml:space="preserve"> janvier </w:t>
      </w:r>
      <w:r>
        <w:rPr>
          <w:lang w:val="fr-FR"/>
        </w:rPr>
        <w:t>2017</w:t>
      </w:r>
      <w:r w:rsidRPr="00BA2919">
        <w:rPr>
          <w:lang w:val="fr-FR"/>
        </w:rPr>
        <w:t xml:space="preserve"> et le 31 décembre 2020</w:t>
      </w:r>
      <w:r>
        <w:rPr>
          <w:lang w:val="fr-FR"/>
        </w:rPr>
        <w:t> </w:t>
      </w:r>
      <w:r w:rsidRPr="00BA2919">
        <w:rPr>
          <w:lang w:val="fr-FR"/>
        </w:rPr>
        <w:t>».</w:t>
      </w:r>
      <w:r>
        <w:rPr>
          <w:lang w:val="fr-FR"/>
        </w:rPr>
        <w:t xml:space="preserve"> </w:t>
      </w:r>
      <w:r w:rsidRPr="00BA2919">
        <w:rPr>
          <w:lang w:val="fr-FR"/>
        </w:rPr>
        <w:t>Après la norme « </w:t>
      </w:r>
      <w:r w:rsidRPr="00BA2919">
        <w:rPr>
          <w:rFonts w:eastAsia="MS Mincho"/>
          <w:lang w:val="fr-FR" w:eastAsia="de-DE"/>
        </w:rPr>
        <w:t>EN ISO 17871:2015</w:t>
      </w:r>
      <w:r>
        <w:rPr>
          <w:rFonts w:eastAsia="MS Mincho"/>
          <w:lang w:val="fr-FR" w:eastAsia="de-DE"/>
        </w:rPr>
        <w:t> »</w:t>
      </w:r>
      <w:r w:rsidRPr="00BA2919">
        <w:rPr>
          <w:lang w:val="fr-FR"/>
        </w:rPr>
        <w:t xml:space="preserve">, </w:t>
      </w:r>
      <w:r>
        <w:rPr>
          <w:lang w:val="fr-FR"/>
        </w:rPr>
        <w:t>ajouter</w:t>
      </w:r>
      <w:r w:rsidRPr="00BA2919">
        <w:rPr>
          <w:lang w:val="fr-FR"/>
        </w:rPr>
        <w:t xml:space="preserve"> la nouvelle norme suivante</w:t>
      </w:r>
      <w:r>
        <w:rPr>
          <w:lang w:val="fr-FR"/>
        </w:rPr>
        <w:t> </w:t>
      </w:r>
      <w:r w:rsidRPr="00BA2919">
        <w:rPr>
          <w:lang w:val="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530"/>
        <w:gridCol w:w="1290"/>
        <w:gridCol w:w="828"/>
        <w:gridCol w:w="866"/>
      </w:tblGrid>
      <w:tr w:rsidR="007A7A2C" w:rsidRPr="00BA2919" w14:paraId="0F9B2C74" w14:textId="77777777" w:rsidTr="00681B4D">
        <w:trPr>
          <w:cantSplit/>
        </w:trPr>
        <w:tc>
          <w:tcPr>
            <w:tcW w:w="2015" w:type="dxa"/>
          </w:tcPr>
          <w:p w14:paraId="4AAB736C" w14:textId="77777777" w:rsidR="007A7A2C" w:rsidRPr="004578A8" w:rsidRDefault="007A7A2C" w:rsidP="00681B4D">
            <w:pPr>
              <w:tabs>
                <w:tab w:val="left" w:pos="1418"/>
              </w:tabs>
              <w:rPr>
                <w:lang w:val="fr-FR"/>
              </w:rPr>
            </w:pPr>
            <w:r w:rsidRPr="004578A8">
              <w:rPr>
                <w:lang w:val="fr-FR"/>
              </w:rPr>
              <w:t>EN ISO 17871:2015 + A1:[2018]</w:t>
            </w:r>
          </w:p>
        </w:tc>
        <w:tc>
          <w:tcPr>
            <w:tcW w:w="3597" w:type="dxa"/>
            <w:vAlign w:val="center"/>
          </w:tcPr>
          <w:p w14:paraId="2E77CD14" w14:textId="77777777" w:rsidR="007A7A2C" w:rsidRPr="004578A8" w:rsidRDefault="007A7A2C" w:rsidP="00681B4D">
            <w:pPr>
              <w:rPr>
                <w:lang w:val="fr-FR"/>
              </w:rPr>
            </w:pPr>
            <w:r w:rsidRPr="004578A8">
              <w:rPr>
                <w:bCs/>
                <w:lang w:val="fr-FR"/>
              </w:rPr>
              <w:t>Bouteilles à gaz transportables − Robinets de bouteilles à ouverture rapide – Spécifications et essais de type</w:t>
            </w:r>
          </w:p>
        </w:tc>
        <w:tc>
          <w:tcPr>
            <w:tcW w:w="1305" w:type="dxa"/>
            <w:vAlign w:val="center"/>
          </w:tcPr>
          <w:p w14:paraId="45033FBF" w14:textId="77777777" w:rsidR="007A7A2C" w:rsidRPr="004578A8" w:rsidRDefault="007A7A2C" w:rsidP="00681B4D">
            <w:pPr>
              <w:rPr>
                <w:lang w:val="fr-FR"/>
              </w:rPr>
            </w:pPr>
            <w:r w:rsidRPr="004578A8">
              <w:rPr>
                <w:lang w:val="fr-FR"/>
              </w:rPr>
              <w:t>6.2.3.1, 6.2.3.3 et 6.2.3.4</w:t>
            </w:r>
          </w:p>
        </w:tc>
        <w:tc>
          <w:tcPr>
            <w:tcW w:w="702" w:type="dxa"/>
            <w:vAlign w:val="center"/>
          </w:tcPr>
          <w:p w14:paraId="28B1672B" w14:textId="77777777" w:rsidR="007A7A2C" w:rsidRPr="00BA2919" w:rsidRDefault="007A7A2C" w:rsidP="00681B4D">
            <w:pPr>
              <w:jc w:val="center"/>
              <w:rPr>
                <w:lang w:val="fr-FR"/>
              </w:rPr>
            </w:pPr>
            <w:r w:rsidRPr="004578A8">
              <w:rPr>
                <w:bCs/>
                <w:lang w:val="fr-FR"/>
              </w:rPr>
              <w:t>Jusqu’à nouvel ordre</w:t>
            </w:r>
          </w:p>
        </w:tc>
        <w:tc>
          <w:tcPr>
            <w:tcW w:w="886" w:type="dxa"/>
          </w:tcPr>
          <w:p w14:paraId="38CF9BDD" w14:textId="77777777" w:rsidR="007A7A2C" w:rsidRPr="00BA2919" w:rsidRDefault="007A7A2C" w:rsidP="00681B4D">
            <w:pPr>
              <w:tabs>
                <w:tab w:val="left" w:pos="1418"/>
              </w:tabs>
              <w:rPr>
                <w:lang w:val="fr-FR"/>
              </w:rPr>
            </w:pPr>
          </w:p>
        </w:tc>
      </w:tr>
    </w:tbl>
    <w:p w14:paraId="4F051656" w14:textId="77777777" w:rsidR="007A7A2C" w:rsidRDefault="007A7A2C" w:rsidP="007A7A2C">
      <w:pPr>
        <w:pStyle w:val="SingleTxtG"/>
        <w:rPr>
          <w:i/>
          <w:iCs/>
          <w:lang w:val="fr-FR"/>
        </w:rPr>
      </w:pPr>
      <w:r w:rsidRPr="00BA2919">
        <w:rPr>
          <w:i/>
          <w:iCs/>
          <w:lang w:val="fr-FR"/>
        </w:rPr>
        <w:t>(Document</w:t>
      </w:r>
      <w:r w:rsidRPr="00BA2919">
        <w:rPr>
          <w:i/>
          <w:lang w:val="fr-FR"/>
        </w:rPr>
        <w:t xml:space="preserve"> </w:t>
      </w:r>
      <w:r w:rsidRPr="00BA2919">
        <w:rPr>
          <w:i/>
          <w:iCs/>
          <w:lang w:val="fr-FR"/>
        </w:rPr>
        <w:t>de référence: document informel INF.</w:t>
      </w:r>
      <w:r>
        <w:rPr>
          <w:i/>
          <w:iCs/>
          <w:lang w:val="fr-FR"/>
        </w:rPr>
        <w:t>53, proposition 1</w:t>
      </w:r>
      <w:r w:rsidRPr="00BA2919">
        <w:rPr>
          <w:i/>
          <w:iCs/>
          <w:lang w:val="fr-FR"/>
        </w:rPr>
        <w:t>)</w:t>
      </w:r>
    </w:p>
    <w:p w14:paraId="1136C3ED" w14:textId="77777777" w:rsidR="007A7A2C" w:rsidRDefault="007A7A2C" w:rsidP="007A7A2C">
      <w:pPr>
        <w:pStyle w:val="SingleTxtG"/>
        <w:rPr>
          <w:lang w:val="fr-FR"/>
        </w:rPr>
      </w:pPr>
      <w:r>
        <w:rPr>
          <w:iCs/>
          <w:lang w:val="fr-FR"/>
        </w:rPr>
        <w:t>6.2.4.1</w:t>
      </w:r>
      <w:r>
        <w:rPr>
          <w:iCs/>
          <w:lang w:val="fr-FR"/>
        </w:rPr>
        <w:tab/>
      </w:r>
      <w:r>
        <w:rPr>
          <w:iCs/>
          <w:lang w:val="fr-FR"/>
        </w:rPr>
        <w:tab/>
        <w:t xml:space="preserve">Dans le tableau, </w:t>
      </w:r>
      <w:r w:rsidRPr="00BA2919">
        <w:rPr>
          <w:lang w:val="fr-FR"/>
        </w:rPr>
        <w:t>sous « Pour les fermetures »</w:t>
      </w:r>
      <w:r>
        <w:rPr>
          <w:lang w:val="fr-FR"/>
        </w:rPr>
        <w:t>, ajouter la nouvelle ligne suivante à la fin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618"/>
        <w:gridCol w:w="992"/>
        <w:gridCol w:w="979"/>
        <w:gridCol w:w="892"/>
      </w:tblGrid>
      <w:tr w:rsidR="007A7A2C" w:rsidRPr="00BA2919" w14:paraId="7EF23FB9" w14:textId="77777777" w:rsidTr="00681B4D">
        <w:trPr>
          <w:cantSplit/>
        </w:trPr>
        <w:tc>
          <w:tcPr>
            <w:tcW w:w="2024" w:type="dxa"/>
          </w:tcPr>
          <w:p w14:paraId="7D071709" w14:textId="77777777" w:rsidR="007A7A2C" w:rsidRPr="00BA2919" w:rsidRDefault="007A7A2C" w:rsidP="00681B4D">
            <w:pPr>
              <w:tabs>
                <w:tab w:val="left" w:pos="1418"/>
              </w:tabs>
              <w:rPr>
                <w:lang w:val="fr-FR"/>
              </w:rPr>
            </w:pPr>
            <w:r w:rsidRPr="00E85BC1">
              <w:rPr>
                <w:bCs/>
                <w:lang w:val="fr-FR"/>
              </w:rPr>
              <w:t>EN ISO 17879:2017</w:t>
            </w:r>
          </w:p>
        </w:tc>
        <w:tc>
          <w:tcPr>
            <w:tcW w:w="3618" w:type="dxa"/>
            <w:vAlign w:val="center"/>
          </w:tcPr>
          <w:p w14:paraId="140BC077" w14:textId="77777777" w:rsidR="007A7A2C" w:rsidRPr="00BA2919" w:rsidRDefault="007A7A2C" w:rsidP="00681B4D">
            <w:pPr>
              <w:rPr>
                <w:lang w:val="fr-FR"/>
              </w:rPr>
            </w:pPr>
            <w:r w:rsidRPr="00E85BC1">
              <w:rPr>
                <w:bCs/>
                <w:lang w:val="fr-FR"/>
              </w:rPr>
              <w:t>Bouteilles à gaz − Robinets de bouteilles équipés de clapets auto-obturants − Spécifications et essais de type</w:t>
            </w:r>
          </w:p>
        </w:tc>
        <w:tc>
          <w:tcPr>
            <w:tcW w:w="992" w:type="dxa"/>
            <w:vAlign w:val="center"/>
          </w:tcPr>
          <w:p w14:paraId="21E34304" w14:textId="77777777" w:rsidR="007A7A2C" w:rsidRPr="00BA2919" w:rsidRDefault="007A7A2C" w:rsidP="00681B4D">
            <w:pPr>
              <w:rPr>
                <w:lang w:val="fr-FR"/>
              </w:rPr>
            </w:pPr>
            <w:r w:rsidRPr="00E85BC1">
              <w:rPr>
                <w:bCs/>
                <w:lang w:val="fr-FR"/>
              </w:rPr>
              <w:t xml:space="preserve">6.2.3.1 </w:t>
            </w:r>
            <w:r>
              <w:rPr>
                <w:bCs/>
                <w:lang w:val="fr-FR"/>
              </w:rPr>
              <w:t>et</w:t>
            </w:r>
            <w:r w:rsidRPr="00E85BC1">
              <w:rPr>
                <w:bCs/>
                <w:lang w:val="fr-FR"/>
              </w:rPr>
              <w:t xml:space="preserve"> 6.2.3.4</w:t>
            </w:r>
          </w:p>
        </w:tc>
        <w:tc>
          <w:tcPr>
            <w:tcW w:w="979" w:type="dxa"/>
            <w:vAlign w:val="center"/>
          </w:tcPr>
          <w:p w14:paraId="268EA342" w14:textId="77777777" w:rsidR="007A7A2C" w:rsidRPr="00BA2919" w:rsidRDefault="007A7A2C" w:rsidP="00681B4D">
            <w:pPr>
              <w:jc w:val="center"/>
              <w:rPr>
                <w:lang w:val="fr-FR"/>
              </w:rPr>
            </w:pPr>
            <w:r w:rsidRPr="00BA2919">
              <w:rPr>
                <w:bCs/>
                <w:lang w:val="fr-FR"/>
              </w:rPr>
              <w:t>Jusqu’à nouvel ordre</w:t>
            </w:r>
          </w:p>
        </w:tc>
        <w:tc>
          <w:tcPr>
            <w:tcW w:w="892" w:type="dxa"/>
          </w:tcPr>
          <w:p w14:paraId="4919D44C" w14:textId="77777777" w:rsidR="007A7A2C" w:rsidRPr="00BA2919" w:rsidRDefault="007A7A2C" w:rsidP="00681B4D">
            <w:pPr>
              <w:tabs>
                <w:tab w:val="left" w:pos="1418"/>
              </w:tabs>
              <w:rPr>
                <w:lang w:val="fr-FR"/>
              </w:rPr>
            </w:pPr>
          </w:p>
        </w:tc>
      </w:tr>
    </w:tbl>
    <w:p w14:paraId="2E838D6D" w14:textId="77777777" w:rsidR="007A7A2C" w:rsidRDefault="007A7A2C" w:rsidP="007A7A2C">
      <w:pPr>
        <w:pStyle w:val="SingleTxtG"/>
        <w:rPr>
          <w:i/>
          <w:iCs/>
          <w:lang w:val="fr-FR"/>
        </w:rPr>
      </w:pPr>
      <w:r w:rsidRPr="00BA2919">
        <w:rPr>
          <w:i/>
          <w:iCs/>
          <w:lang w:val="fr-FR"/>
        </w:rPr>
        <w:t>(Document</w:t>
      </w:r>
      <w:r w:rsidRPr="00BA2919">
        <w:rPr>
          <w:i/>
          <w:lang w:val="fr-FR"/>
        </w:rPr>
        <w:t xml:space="preserve"> </w:t>
      </w:r>
      <w:r w:rsidRPr="00BA2919">
        <w:rPr>
          <w:i/>
          <w:iCs/>
          <w:lang w:val="fr-FR"/>
        </w:rPr>
        <w:t>de référence: document informel INF.</w:t>
      </w:r>
      <w:r>
        <w:rPr>
          <w:i/>
          <w:iCs/>
          <w:lang w:val="fr-FR"/>
        </w:rPr>
        <w:t>53, proposition 4</w:t>
      </w:r>
      <w:r w:rsidRPr="00BA2919">
        <w:rPr>
          <w:i/>
          <w:iCs/>
          <w:lang w:val="fr-FR"/>
        </w:rPr>
        <w:t>)</w:t>
      </w:r>
    </w:p>
    <w:p w14:paraId="07D553C3" w14:textId="77777777" w:rsidR="007A7A2C" w:rsidRDefault="007A7A2C" w:rsidP="007A7A2C">
      <w:pPr>
        <w:pStyle w:val="SingleTxtG"/>
      </w:pPr>
      <w:r>
        <w:t>6.2.4.2</w:t>
      </w:r>
      <w:r>
        <w:tab/>
      </w:r>
      <w:r w:rsidR="00DF1610">
        <w:tab/>
      </w:r>
      <w:r>
        <w:t xml:space="preserve">Dans le tableau, supprimer les lignes pour « EN ISO 11623:2002 (sauf article 4) », « EN 14912:2005 » et « EN 1440:2008 +A1:2012 (sauf annexes G et H) ». Pour la norme « EN 1440:2016 (sauf annexe C) », en colonne 3), remplacer </w:t>
      </w:r>
      <w:r w:rsidRPr="00BA2919">
        <w:rPr>
          <w:lang w:val="fr-FR"/>
        </w:rPr>
        <w:t>«</w:t>
      </w:r>
      <w:r>
        <w:rPr>
          <w:lang w:val="fr-FR"/>
        </w:rPr>
        <w:t> </w:t>
      </w:r>
      <w:r w:rsidRPr="00865A8C">
        <w:rPr>
          <w:lang w:val="fr-FR"/>
        </w:rPr>
        <w:t>Obligatoirement</w:t>
      </w:r>
      <w:r>
        <w:rPr>
          <w:lang w:val="fr-FR"/>
        </w:rPr>
        <w:t xml:space="preserve"> </w:t>
      </w:r>
      <w:r w:rsidRPr="00865A8C">
        <w:rPr>
          <w:lang w:val="fr-FR"/>
        </w:rPr>
        <w:t>à partir du</w:t>
      </w:r>
      <w:r>
        <w:rPr>
          <w:lang w:val="fr-FR"/>
        </w:rPr>
        <w:t xml:space="preserve"> </w:t>
      </w:r>
      <w:r w:rsidRPr="00865A8C">
        <w:rPr>
          <w:lang w:val="fr-FR"/>
        </w:rPr>
        <w:t>1er janvier 2019</w:t>
      </w:r>
      <w:r>
        <w:rPr>
          <w:lang w:val="fr-FR"/>
        </w:rPr>
        <w:t> </w:t>
      </w:r>
      <w:r w:rsidRPr="00BA2919">
        <w:rPr>
          <w:lang w:val="fr-FR"/>
        </w:rPr>
        <w:t>» par «</w:t>
      </w:r>
      <w:r>
        <w:rPr>
          <w:lang w:val="fr-FR"/>
        </w:rPr>
        <w:t> Jusqu’au</w:t>
      </w:r>
      <w:r w:rsidRPr="00BA2919">
        <w:rPr>
          <w:lang w:val="fr-FR"/>
        </w:rPr>
        <w:t xml:space="preserve"> 31 décembre 2020</w:t>
      </w:r>
      <w:r>
        <w:rPr>
          <w:lang w:val="fr-FR"/>
        </w:rPr>
        <w:t> </w:t>
      </w:r>
      <w:r w:rsidRPr="00BA2919">
        <w:rPr>
          <w:lang w:val="fr-FR"/>
        </w:rPr>
        <w:t>»</w:t>
      </w:r>
      <w:r>
        <w:rPr>
          <w:lang w:val="fr-FR"/>
        </w:rPr>
        <w:t xml:space="preserve">. Après </w:t>
      </w:r>
      <w:r>
        <w:t>la norme « EN 1440:2016 (sauf annexe C)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7A7A2C" w:rsidRPr="00BA2919" w14:paraId="032B704C" w14:textId="77777777" w:rsidTr="00681B4D">
        <w:trPr>
          <w:cantSplit/>
        </w:trPr>
        <w:tc>
          <w:tcPr>
            <w:tcW w:w="2113" w:type="dxa"/>
          </w:tcPr>
          <w:p w14:paraId="1DFB060E" w14:textId="77777777" w:rsidR="007A7A2C" w:rsidRPr="00BA2919" w:rsidRDefault="007A7A2C" w:rsidP="00681B4D">
            <w:pPr>
              <w:tabs>
                <w:tab w:val="left" w:pos="1418"/>
              </w:tabs>
              <w:rPr>
                <w:lang w:val="fr-FR"/>
              </w:rPr>
            </w:pPr>
            <w:r>
              <w:rPr>
                <w:bCs/>
                <w:lang w:val="fr-FR"/>
              </w:rPr>
              <w:lastRenderedPageBreak/>
              <w:t>EN 1440:2016 +A1:</w:t>
            </w:r>
            <w:r w:rsidRPr="005E4FDD">
              <w:rPr>
                <w:bCs/>
                <w:lang w:val="fr-FR"/>
              </w:rPr>
              <w:t>[2018] (</w:t>
            </w:r>
            <w:r>
              <w:rPr>
                <w:bCs/>
                <w:lang w:val="fr-FR"/>
              </w:rPr>
              <w:t>sauf annexe</w:t>
            </w:r>
            <w:r w:rsidRPr="005E4FDD">
              <w:rPr>
                <w:bCs/>
                <w:lang w:val="fr-FR"/>
              </w:rPr>
              <w:t xml:space="preserve"> C)</w:t>
            </w:r>
          </w:p>
        </w:tc>
        <w:tc>
          <w:tcPr>
            <w:tcW w:w="3474" w:type="dxa"/>
            <w:vAlign w:val="center"/>
          </w:tcPr>
          <w:p w14:paraId="422412FD" w14:textId="77777777" w:rsidR="007A7A2C" w:rsidRPr="00BA2919" w:rsidRDefault="007A7A2C" w:rsidP="00681B4D">
            <w:pPr>
              <w:rPr>
                <w:lang w:val="fr-FR"/>
              </w:rPr>
            </w:pPr>
            <w:r w:rsidRPr="005E4FDD">
              <w:rPr>
                <w:bCs/>
                <w:lang w:val="fr-FR"/>
              </w:rPr>
              <w:t xml:space="preserve">Équipement pour GPL et leurs accessoires </w:t>
            </w:r>
            <w:r>
              <w:rPr>
                <w:bCs/>
                <w:lang w:val="fr-FR"/>
              </w:rPr>
              <w:t xml:space="preserve">– </w:t>
            </w:r>
            <w:r w:rsidRPr="005E4FDD">
              <w:rPr>
                <w:bCs/>
                <w:lang w:val="fr-FR"/>
              </w:rPr>
              <w:t>Bouteilles transportables et rechargeables pour GPL</w:t>
            </w:r>
            <w:r>
              <w:rPr>
                <w:bCs/>
                <w:lang w:val="fr-FR"/>
              </w:rPr>
              <w:t xml:space="preserve"> </w:t>
            </w:r>
            <w:r w:rsidRPr="005E4FDD">
              <w:rPr>
                <w:bCs/>
                <w:lang w:val="fr-FR"/>
              </w:rPr>
              <w:t xml:space="preserve">en acier soudé et brasé </w:t>
            </w:r>
            <w:r>
              <w:rPr>
                <w:bCs/>
                <w:lang w:val="fr-FR"/>
              </w:rPr>
              <w:t>–</w:t>
            </w:r>
            <w:r w:rsidRPr="005E4FDD">
              <w:rPr>
                <w:bCs/>
                <w:lang w:val="fr-FR"/>
              </w:rPr>
              <w:t xml:space="preserve"> Contrôle périodique</w:t>
            </w:r>
          </w:p>
        </w:tc>
        <w:tc>
          <w:tcPr>
            <w:tcW w:w="1784" w:type="dxa"/>
            <w:vAlign w:val="center"/>
          </w:tcPr>
          <w:p w14:paraId="7CF94DD2" w14:textId="77777777" w:rsidR="007A7A2C" w:rsidRPr="00BA2919" w:rsidRDefault="007A7A2C" w:rsidP="00681B4D">
            <w:pPr>
              <w:jc w:val="center"/>
              <w:rPr>
                <w:lang w:val="fr-FR"/>
              </w:rPr>
            </w:pPr>
            <w:r w:rsidRPr="005E4FDD">
              <w:rPr>
                <w:bCs/>
                <w:lang w:val="fr-FR"/>
              </w:rPr>
              <w:t>Obligatoirement</w:t>
            </w:r>
            <w:r>
              <w:rPr>
                <w:bCs/>
                <w:lang w:val="fr-FR"/>
              </w:rPr>
              <w:t xml:space="preserve"> </w:t>
            </w:r>
            <w:r w:rsidRPr="005E4FDD">
              <w:rPr>
                <w:bCs/>
                <w:lang w:val="fr-FR"/>
              </w:rPr>
              <w:t>à partir du</w:t>
            </w:r>
            <w:r>
              <w:rPr>
                <w:bCs/>
                <w:lang w:val="fr-FR"/>
              </w:rPr>
              <w:t xml:space="preserve"> </w:t>
            </w:r>
            <w:r w:rsidRPr="005E4FDD">
              <w:rPr>
                <w:bCs/>
                <w:lang w:val="fr-FR"/>
              </w:rPr>
              <w:t xml:space="preserve">1er janvier </w:t>
            </w:r>
            <w:r>
              <w:rPr>
                <w:bCs/>
                <w:lang w:val="fr-FR"/>
              </w:rPr>
              <w:t>2021</w:t>
            </w:r>
          </w:p>
        </w:tc>
      </w:tr>
    </w:tbl>
    <w:p w14:paraId="347FC297" w14:textId="77777777" w:rsidR="007A7A2C" w:rsidRPr="00164BF7" w:rsidRDefault="007A7A2C" w:rsidP="007A7A2C">
      <w:pPr>
        <w:pStyle w:val="SingleTxtG"/>
        <w:spacing w:before="120"/>
        <w:rPr>
          <w:iCs/>
          <w:lang w:val="fr-FR"/>
        </w:rPr>
      </w:pPr>
      <w:r>
        <w:t xml:space="preserve">Pour la norme « EN 16728:2016 (sauf article 3.5, annexe F et annexe G) », en colonne 3), remplacer </w:t>
      </w:r>
      <w:r w:rsidRPr="00BA2919">
        <w:rPr>
          <w:lang w:val="fr-FR"/>
        </w:rPr>
        <w:t>«</w:t>
      </w:r>
      <w:r>
        <w:rPr>
          <w:lang w:val="fr-FR"/>
        </w:rPr>
        <w:t> </w:t>
      </w:r>
      <w:r w:rsidRPr="00865A8C">
        <w:rPr>
          <w:lang w:val="fr-FR"/>
        </w:rPr>
        <w:t>Obligatoirement</w:t>
      </w:r>
      <w:r>
        <w:rPr>
          <w:lang w:val="fr-FR"/>
        </w:rPr>
        <w:t xml:space="preserve"> </w:t>
      </w:r>
      <w:r w:rsidRPr="00865A8C">
        <w:rPr>
          <w:lang w:val="fr-FR"/>
        </w:rPr>
        <w:t>à partir du</w:t>
      </w:r>
      <w:r>
        <w:rPr>
          <w:lang w:val="fr-FR"/>
        </w:rPr>
        <w:t xml:space="preserve"> </w:t>
      </w:r>
      <w:r w:rsidRPr="00865A8C">
        <w:rPr>
          <w:lang w:val="fr-FR"/>
        </w:rPr>
        <w:t>1er janvier 2019</w:t>
      </w:r>
      <w:r>
        <w:rPr>
          <w:lang w:val="fr-FR"/>
        </w:rPr>
        <w:t> </w:t>
      </w:r>
      <w:r w:rsidRPr="00BA2919">
        <w:rPr>
          <w:lang w:val="fr-FR"/>
        </w:rPr>
        <w:t>» par «</w:t>
      </w:r>
      <w:r>
        <w:rPr>
          <w:lang w:val="fr-FR"/>
        </w:rPr>
        <w:t> Jusqu’au</w:t>
      </w:r>
      <w:r w:rsidRPr="00BA2919">
        <w:rPr>
          <w:lang w:val="fr-FR"/>
        </w:rPr>
        <w:t xml:space="preserve"> 31 décembre 2020</w:t>
      </w:r>
      <w:r>
        <w:rPr>
          <w:lang w:val="fr-FR"/>
        </w:rPr>
        <w:t> </w:t>
      </w:r>
      <w:r w:rsidRPr="00BA2919">
        <w:rPr>
          <w:lang w:val="fr-FR"/>
        </w:rPr>
        <w:t>»</w:t>
      </w:r>
      <w:r>
        <w:rPr>
          <w:lang w:val="fr-FR"/>
        </w:rPr>
        <w:t xml:space="preserve">. Après </w:t>
      </w:r>
      <w:r>
        <w:t>la norme « EN 16728:2016 (sauf article 3.5, annexe F et annexe G)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7A7A2C" w:rsidRPr="00BA2919" w14:paraId="143E33F5" w14:textId="77777777" w:rsidTr="00681B4D">
        <w:trPr>
          <w:cantSplit/>
        </w:trPr>
        <w:tc>
          <w:tcPr>
            <w:tcW w:w="2113" w:type="dxa"/>
          </w:tcPr>
          <w:p w14:paraId="2458F06E" w14:textId="6BB354BE" w:rsidR="007A7A2C" w:rsidRPr="00BA2919" w:rsidRDefault="007A7A2C" w:rsidP="00EC2C33">
            <w:pPr>
              <w:tabs>
                <w:tab w:val="left" w:pos="1418"/>
              </w:tabs>
              <w:rPr>
                <w:lang w:val="fr-FR"/>
              </w:rPr>
            </w:pPr>
            <w:r>
              <w:rPr>
                <w:bCs/>
                <w:lang w:val="fr-FR"/>
              </w:rPr>
              <w:t>EN 16728:2016 +A1:</w:t>
            </w:r>
            <w:r w:rsidRPr="00164BF7">
              <w:rPr>
                <w:bCs/>
                <w:lang w:val="fr-FR"/>
              </w:rPr>
              <w:t xml:space="preserve">[2018] </w:t>
            </w:r>
          </w:p>
        </w:tc>
        <w:tc>
          <w:tcPr>
            <w:tcW w:w="3474" w:type="dxa"/>
            <w:vAlign w:val="center"/>
          </w:tcPr>
          <w:p w14:paraId="030C60B7" w14:textId="77777777" w:rsidR="007A7A2C" w:rsidRPr="00BA2919" w:rsidRDefault="007A7A2C" w:rsidP="00681B4D">
            <w:pPr>
              <w:rPr>
                <w:lang w:val="fr-FR"/>
              </w:rPr>
            </w:pPr>
            <w:r w:rsidRPr="00164BF7">
              <w:rPr>
                <w:bCs/>
                <w:lang w:val="fr-FR"/>
              </w:rPr>
              <w:t xml:space="preserve">Équipement pour GPL et leurs accessoires </w:t>
            </w:r>
            <w:r>
              <w:rPr>
                <w:bCs/>
                <w:lang w:val="fr-FR"/>
              </w:rPr>
              <w:t xml:space="preserve">– </w:t>
            </w:r>
            <w:r w:rsidRPr="00164BF7">
              <w:rPr>
                <w:bCs/>
                <w:lang w:val="fr-FR"/>
              </w:rPr>
              <w:t>Bouteilles transportables et rechargeables pour GPL</w:t>
            </w:r>
            <w:r>
              <w:rPr>
                <w:bCs/>
                <w:lang w:val="fr-FR"/>
              </w:rPr>
              <w:t xml:space="preserve"> </w:t>
            </w:r>
            <w:r w:rsidRPr="00164BF7">
              <w:rPr>
                <w:bCs/>
                <w:lang w:val="fr-FR"/>
              </w:rPr>
              <w:t xml:space="preserve">autres que celles en acier soudé et brasé </w:t>
            </w:r>
            <w:r>
              <w:rPr>
                <w:bCs/>
                <w:lang w:val="fr-FR"/>
              </w:rPr>
              <w:t>–</w:t>
            </w:r>
            <w:r w:rsidRPr="00164BF7">
              <w:rPr>
                <w:bCs/>
                <w:lang w:val="fr-FR"/>
              </w:rPr>
              <w:t xml:space="preserve"> Contrôle</w:t>
            </w:r>
            <w:r>
              <w:rPr>
                <w:bCs/>
                <w:lang w:val="fr-FR"/>
              </w:rPr>
              <w:t xml:space="preserve"> </w:t>
            </w:r>
            <w:r w:rsidRPr="00164BF7">
              <w:rPr>
                <w:bCs/>
                <w:lang w:val="fr-FR"/>
              </w:rPr>
              <w:t>périodique</w:t>
            </w:r>
          </w:p>
        </w:tc>
        <w:tc>
          <w:tcPr>
            <w:tcW w:w="1784" w:type="dxa"/>
            <w:vAlign w:val="center"/>
          </w:tcPr>
          <w:p w14:paraId="0CE6FB2A" w14:textId="77777777" w:rsidR="007A7A2C" w:rsidRPr="00BA2919" w:rsidRDefault="007A7A2C" w:rsidP="00681B4D">
            <w:pPr>
              <w:jc w:val="center"/>
              <w:rPr>
                <w:lang w:val="fr-FR"/>
              </w:rPr>
            </w:pPr>
            <w:r w:rsidRPr="005E4FDD">
              <w:rPr>
                <w:bCs/>
                <w:lang w:val="fr-FR"/>
              </w:rPr>
              <w:t>Obligatoirement</w:t>
            </w:r>
            <w:r>
              <w:rPr>
                <w:bCs/>
                <w:lang w:val="fr-FR"/>
              </w:rPr>
              <w:t xml:space="preserve"> </w:t>
            </w:r>
            <w:r w:rsidRPr="005E4FDD">
              <w:rPr>
                <w:bCs/>
                <w:lang w:val="fr-FR"/>
              </w:rPr>
              <w:t>à partir du</w:t>
            </w:r>
            <w:r>
              <w:rPr>
                <w:bCs/>
                <w:lang w:val="fr-FR"/>
              </w:rPr>
              <w:t xml:space="preserve"> </w:t>
            </w:r>
            <w:r w:rsidRPr="005E4FDD">
              <w:rPr>
                <w:bCs/>
                <w:lang w:val="fr-FR"/>
              </w:rPr>
              <w:t xml:space="preserve">1er janvier </w:t>
            </w:r>
            <w:r>
              <w:rPr>
                <w:bCs/>
                <w:lang w:val="fr-FR"/>
              </w:rPr>
              <w:t>2021</w:t>
            </w:r>
          </w:p>
        </w:tc>
      </w:tr>
    </w:tbl>
    <w:p w14:paraId="315C033B" w14:textId="77777777" w:rsidR="007A7A2C" w:rsidRDefault="007A7A2C" w:rsidP="007A7A2C">
      <w:pPr>
        <w:pStyle w:val="SingleTxtG"/>
        <w:rPr>
          <w:i/>
          <w:iCs/>
          <w:lang w:val="fr-FR"/>
        </w:rPr>
      </w:pPr>
      <w:r w:rsidRPr="00BA2919">
        <w:rPr>
          <w:i/>
          <w:iCs/>
          <w:lang w:val="fr-FR"/>
        </w:rPr>
        <w:t>(Document</w:t>
      </w:r>
      <w:r w:rsidRPr="00BA2919">
        <w:rPr>
          <w:i/>
          <w:lang w:val="fr-FR"/>
        </w:rPr>
        <w:t xml:space="preserve"> </w:t>
      </w:r>
      <w:r w:rsidRPr="00BA2919">
        <w:rPr>
          <w:i/>
          <w:iCs/>
          <w:lang w:val="fr-FR"/>
        </w:rPr>
        <w:t>de référence: document informel INF.</w:t>
      </w:r>
      <w:r>
        <w:rPr>
          <w:i/>
          <w:iCs/>
          <w:lang w:val="fr-FR"/>
        </w:rPr>
        <w:t>53, proposition 6</w:t>
      </w:r>
      <w:r w:rsidRPr="00BA2919">
        <w:rPr>
          <w:i/>
          <w:iCs/>
          <w:lang w:val="fr-FR"/>
        </w:rPr>
        <w:t>)</w:t>
      </w:r>
    </w:p>
    <w:p w14:paraId="31F4B2BB" w14:textId="77777777" w:rsidR="007A7A2C" w:rsidRDefault="007A7A2C" w:rsidP="007A7A2C">
      <w:pPr>
        <w:pStyle w:val="H1G"/>
        <w:rPr>
          <w:lang w:val="fr-FR"/>
        </w:rPr>
      </w:pPr>
      <w:r>
        <w:rPr>
          <w:lang w:val="fr-FR"/>
        </w:rPr>
        <w:tab/>
      </w:r>
      <w:r>
        <w:rPr>
          <w:lang w:val="fr-FR"/>
        </w:rPr>
        <w:tab/>
        <w:t>Chapitre 6.8</w:t>
      </w:r>
    </w:p>
    <w:p w14:paraId="13798C49" w14:textId="0C43B5F2" w:rsidR="002E58BA" w:rsidRDefault="002E58BA" w:rsidP="002E58BA">
      <w:pPr>
        <w:pStyle w:val="SingleTxtG"/>
        <w:rPr>
          <w:lang w:val="fr-FR"/>
        </w:rPr>
      </w:pPr>
      <w:r>
        <w:rPr>
          <w:lang w:val="fr-FR"/>
        </w:rPr>
        <w:t>[6.8.2.1.18</w:t>
      </w:r>
      <w:r>
        <w:rPr>
          <w:lang w:val="fr-FR"/>
        </w:rPr>
        <w:tab/>
        <w:t xml:space="preserve">Ajouter la phrase suivante à la fin de la </w:t>
      </w:r>
      <w:r w:rsidR="00554220">
        <w:rPr>
          <w:lang w:val="fr-FR"/>
        </w:rPr>
        <w:t xml:space="preserve">note de bas de page 4 / </w:t>
      </w:r>
      <w:r>
        <w:rPr>
          <w:lang w:val="fr-FR"/>
        </w:rPr>
        <w:t>note de bas de page</w:t>
      </w:r>
      <w:r w:rsidR="00554220">
        <w:rPr>
          <w:lang w:val="fr-FR"/>
        </w:rPr>
        <w:t xml:space="preserve"> 2</w:t>
      </w:r>
      <w:r>
        <w:rPr>
          <w:lang w:val="fr-FR"/>
        </w:rPr>
        <w:t xml:space="preserve"> : </w:t>
      </w:r>
      <w:r w:rsidRPr="002E58BA">
        <w:rPr>
          <w:lang w:val="fr-FR"/>
        </w:rPr>
        <w:t xml:space="preserve">« Cependant, la section en coupe transversale des réservoirs prévue </w:t>
      </w:r>
      <w:r w:rsidR="00554220">
        <w:rPr>
          <w:lang w:val="fr-FR"/>
        </w:rPr>
        <w:t>au</w:t>
      </w:r>
      <w:r w:rsidRPr="002E58BA">
        <w:rPr>
          <w:lang w:val="fr-FR"/>
        </w:rPr>
        <w:t xml:space="preserve"> 6.8.2.1.14 a) peut présenter des renfoncements ou des saillies, comme des puisards, des évidements ou des regards encastrés, qui peuvent être en tôle plate ou façonnée (concave ou convexe). Les bosses et autres déformations involontaires ne doivent pas être considérées comme des renfoncements ou des saillies</w:t>
      </w:r>
      <w:r>
        <w:rPr>
          <w:lang w:val="fr-FR"/>
        </w:rPr>
        <w:t>.</w:t>
      </w:r>
      <w:r w:rsidRPr="002E58BA">
        <w:rPr>
          <w:lang w:val="fr-FR"/>
        </w:rPr>
        <w:t>»</w:t>
      </w:r>
      <w:r>
        <w:rPr>
          <w:lang w:val="fr-FR"/>
        </w:rPr>
        <w:t>.]</w:t>
      </w:r>
    </w:p>
    <w:p w14:paraId="39078E45" w14:textId="77777777" w:rsidR="002E58BA" w:rsidRPr="002E58BA" w:rsidRDefault="002E58BA" w:rsidP="00701A0C">
      <w:pPr>
        <w:pStyle w:val="SingleTxtG"/>
        <w:rPr>
          <w:i/>
          <w:iCs/>
          <w:lang w:val="fr-FR"/>
        </w:rPr>
      </w:pPr>
      <w:r w:rsidRPr="002E58BA">
        <w:rPr>
          <w:i/>
          <w:iCs/>
          <w:lang w:val="fr-FR"/>
        </w:rPr>
        <w:t>(Document de référence : document informel INF.46</w:t>
      </w:r>
      <w:r>
        <w:rPr>
          <w:i/>
          <w:iCs/>
          <w:lang w:val="fr-FR"/>
        </w:rPr>
        <w:t>, proposition 6</w:t>
      </w:r>
      <w:r w:rsidRPr="002E58BA">
        <w:rPr>
          <w:i/>
          <w:iCs/>
          <w:lang w:val="fr-FR"/>
        </w:rPr>
        <w:t>)</w:t>
      </w:r>
    </w:p>
    <w:p w14:paraId="71E9C2AB" w14:textId="77777777" w:rsidR="00701A0C" w:rsidRDefault="00701A0C" w:rsidP="00701A0C">
      <w:pPr>
        <w:pStyle w:val="SingleTxtG"/>
        <w:rPr>
          <w:lang w:val="fr-FR"/>
        </w:rPr>
      </w:pPr>
      <w:r>
        <w:rPr>
          <w:lang w:val="fr-FR"/>
        </w:rPr>
        <w:t>6.8.2.1.23</w:t>
      </w:r>
      <w:r>
        <w:rPr>
          <w:lang w:val="fr-FR"/>
        </w:rPr>
        <w:tab/>
        <w:t>Dans la première phrase du premier paragraphe, après « L’aptitude du constructeur » ajouter « , ou de l’atelier de maintenance ou de réparation, » et, à la fin, supprimer « , qui délivre l’agrément de type ». Dans la deuxième phrase du premier paragraphe, à la fin, ajouter « ou l’atelier de maintenance ou de réparation ».</w:t>
      </w:r>
    </w:p>
    <w:p w14:paraId="2FDE1B4C" w14:textId="77777777" w:rsidR="00701A0C" w:rsidRPr="00701A0C" w:rsidRDefault="00701A0C" w:rsidP="00701A0C">
      <w:pPr>
        <w:pStyle w:val="SingleTxtG"/>
        <w:rPr>
          <w:i/>
          <w:lang w:val="fr-FR"/>
        </w:rPr>
      </w:pPr>
      <w:r w:rsidRPr="004F1740">
        <w:rPr>
          <w:i/>
          <w:lang w:val="fr-FR"/>
        </w:rPr>
        <w:t xml:space="preserve">(Document de référence : document informel INF.46, proposition </w:t>
      </w:r>
      <w:r>
        <w:rPr>
          <w:i/>
          <w:lang w:val="fr-FR"/>
        </w:rPr>
        <w:t>5</w:t>
      </w:r>
      <w:r w:rsidRPr="004F1740">
        <w:rPr>
          <w:i/>
          <w:lang w:val="fr-FR"/>
        </w:rPr>
        <w:t>)</w:t>
      </w:r>
    </w:p>
    <w:p w14:paraId="76CA1224" w14:textId="77777777" w:rsidR="007A7A2C" w:rsidRDefault="007A7A2C" w:rsidP="007A7A2C">
      <w:pPr>
        <w:pStyle w:val="SingleTxtG"/>
        <w:rPr>
          <w:lang w:val="fr-FR"/>
        </w:rPr>
      </w:pPr>
      <w:r>
        <w:t>(ADR:) 6.8.2.6.1</w:t>
      </w:r>
      <w:r>
        <w:tab/>
        <w:t xml:space="preserve">Sous « Pour les équipements », pour la norme « EN 13317:2002 + A1:2006 », en colonne 4), remplacer « Jusqu’à nouvel ordre » par </w:t>
      </w:r>
      <w:r w:rsidRPr="00BA2919">
        <w:rPr>
          <w:lang w:val="fr-FR"/>
        </w:rPr>
        <w:t>«</w:t>
      </w:r>
      <w:r>
        <w:rPr>
          <w:lang w:val="fr-FR"/>
        </w:rPr>
        <w:t> </w:t>
      </w:r>
      <w:r w:rsidRPr="00BA2919">
        <w:rPr>
          <w:lang w:val="fr-FR"/>
        </w:rPr>
        <w:t>Entre le 1</w:t>
      </w:r>
      <w:r w:rsidRPr="00BA2919">
        <w:rPr>
          <w:vertAlign w:val="superscript"/>
          <w:lang w:val="fr-FR"/>
        </w:rPr>
        <w:t>er</w:t>
      </w:r>
      <w:r w:rsidRPr="00BA2919">
        <w:rPr>
          <w:lang w:val="fr-FR"/>
        </w:rPr>
        <w:t xml:space="preserve"> janvier </w:t>
      </w:r>
      <w:r>
        <w:rPr>
          <w:lang w:val="fr-FR"/>
        </w:rPr>
        <w:t>2009</w:t>
      </w:r>
      <w:r w:rsidRPr="00BA2919">
        <w:rPr>
          <w:lang w:val="fr-FR"/>
        </w:rPr>
        <w:t xml:space="preserve"> et le 31 décembre 2020</w:t>
      </w:r>
      <w:r>
        <w:rPr>
          <w:lang w:val="fr-FR"/>
        </w:rPr>
        <w:t> </w:t>
      </w:r>
      <w:r w:rsidRPr="00BA2919">
        <w:rPr>
          <w:lang w:val="fr-FR"/>
        </w:rPr>
        <w:t>»</w:t>
      </w:r>
      <w:r>
        <w:t xml:space="preserve">. </w:t>
      </w:r>
      <w:r w:rsidRPr="00BA2919">
        <w:rPr>
          <w:lang w:val="fr-FR"/>
        </w:rPr>
        <w:t xml:space="preserve">Après la norme </w:t>
      </w:r>
      <w:r>
        <w:t>« EN 13317:2002 + A1:2006 »</w:t>
      </w:r>
      <w:r w:rsidRPr="00BA2919">
        <w:rPr>
          <w:lang w:val="fr-FR"/>
        </w:rPr>
        <w:t xml:space="preserve">, </w:t>
      </w:r>
      <w:r>
        <w:rPr>
          <w:lang w:val="fr-FR"/>
        </w:rPr>
        <w:t>ajouter</w:t>
      </w:r>
      <w:r w:rsidRPr="00BA2919">
        <w:rPr>
          <w:lang w:val="fr-FR"/>
        </w:rPr>
        <w:t xml:space="preserve"> la nouvelle norme suivante</w:t>
      </w:r>
      <w:r>
        <w:rPr>
          <w:lang w:val="fr-FR"/>
        </w:rPr>
        <w:t> </w:t>
      </w:r>
      <w:r w:rsidRPr="00BA2919">
        <w:rPr>
          <w:lang w:val="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328"/>
        <w:gridCol w:w="1067"/>
        <w:gridCol w:w="1194"/>
        <w:gridCol w:w="892"/>
      </w:tblGrid>
      <w:tr w:rsidR="007A7A2C" w:rsidRPr="00BA2919" w14:paraId="22D569F4" w14:textId="77777777" w:rsidTr="00681B4D">
        <w:trPr>
          <w:cantSplit/>
        </w:trPr>
        <w:tc>
          <w:tcPr>
            <w:tcW w:w="1808" w:type="dxa"/>
          </w:tcPr>
          <w:p w14:paraId="4126DF9F" w14:textId="77777777" w:rsidR="007A7A2C" w:rsidRPr="00BA2919" w:rsidRDefault="007A7A2C" w:rsidP="00681B4D">
            <w:pPr>
              <w:tabs>
                <w:tab w:val="left" w:pos="1418"/>
              </w:tabs>
              <w:rPr>
                <w:lang w:val="fr-FR"/>
              </w:rPr>
            </w:pPr>
            <w:r>
              <w:rPr>
                <w:lang w:val="fr-FR"/>
              </w:rPr>
              <w:t>EN 13317:[2018]</w:t>
            </w:r>
          </w:p>
        </w:tc>
        <w:tc>
          <w:tcPr>
            <w:tcW w:w="2973" w:type="dxa"/>
            <w:vAlign w:val="center"/>
          </w:tcPr>
          <w:p w14:paraId="0B5DAA03" w14:textId="77777777" w:rsidR="007A7A2C" w:rsidRPr="00BA2919" w:rsidRDefault="007A7A2C" w:rsidP="00681B4D">
            <w:pPr>
              <w:rPr>
                <w:lang w:val="fr-FR"/>
              </w:rPr>
            </w:pPr>
            <w:r w:rsidRPr="00B51D1C">
              <w:rPr>
                <w:bCs/>
                <w:lang w:val="fr-FR"/>
              </w:rPr>
              <w:t>Citernes destinées au transport de matières dangereuses - Équipements de service pour citernes - Couvercles de trou d'homme</w:t>
            </w:r>
          </w:p>
        </w:tc>
        <w:tc>
          <w:tcPr>
            <w:tcW w:w="953" w:type="dxa"/>
            <w:vAlign w:val="center"/>
          </w:tcPr>
          <w:p w14:paraId="234FE100" w14:textId="77777777" w:rsidR="007A7A2C" w:rsidRPr="00BA2919" w:rsidRDefault="007A7A2C" w:rsidP="00681B4D">
            <w:pPr>
              <w:rPr>
                <w:lang w:val="fr-FR"/>
              </w:rPr>
            </w:pPr>
            <w:r w:rsidRPr="00B51D1C">
              <w:rPr>
                <w:bCs/>
                <w:lang w:val="fr-FR"/>
              </w:rPr>
              <w:t xml:space="preserve">6.8.2.2 </w:t>
            </w:r>
            <w:r>
              <w:rPr>
                <w:bCs/>
                <w:lang w:val="fr-FR"/>
              </w:rPr>
              <w:t>et</w:t>
            </w:r>
            <w:r w:rsidRPr="00B51D1C">
              <w:rPr>
                <w:bCs/>
                <w:lang w:val="fr-FR"/>
              </w:rPr>
              <w:t xml:space="preserve"> 6.8.2.4.1</w:t>
            </w:r>
          </w:p>
        </w:tc>
        <w:tc>
          <w:tcPr>
            <w:tcW w:w="1067" w:type="dxa"/>
            <w:vAlign w:val="center"/>
          </w:tcPr>
          <w:p w14:paraId="4A778169" w14:textId="77777777" w:rsidR="007A7A2C" w:rsidRPr="00BA2919" w:rsidRDefault="007A7A2C" w:rsidP="00681B4D">
            <w:pPr>
              <w:jc w:val="center"/>
              <w:rPr>
                <w:lang w:val="fr-FR"/>
              </w:rPr>
            </w:pPr>
            <w:r w:rsidRPr="00BA2919">
              <w:rPr>
                <w:bCs/>
                <w:lang w:val="fr-FR"/>
              </w:rPr>
              <w:t>Jusqu’à nouvel ordre</w:t>
            </w:r>
          </w:p>
        </w:tc>
        <w:tc>
          <w:tcPr>
            <w:tcW w:w="797" w:type="dxa"/>
          </w:tcPr>
          <w:p w14:paraId="65AC6CC3" w14:textId="77777777" w:rsidR="007A7A2C" w:rsidRPr="00BA2919" w:rsidRDefault="007A7A2C" w:rsidP="00681B4D">
            <w:pPr>
              <w:tabs>
                <w:tab w:val="left" w:pos="1418"/>
              </w:tabs>
              <w:rPr>
                <w:lang w:val="fr-FR"/>
              </w:rPr>
            </w:pPr>
          </w:p>
        </w:tc>
      </w:tr>
    </w:tbl>
    <w:p w14:paraId="704E8BCE" w14:textId="77777777" w:rsidR="007A7A2C" w:rsidRDefault="007A7A2C" w:rsidP="007A7A2C">
      <w:pPr>
        <w:pStyle w:val="SingleTxtG"/>
        <w:rPr>
          <w:i/>
          <w:iCs/>
          <w:lang w:val="fr-FR"/>
        </w:rPr>
      </w:pPr>
      <w:r w:rsidRPr="00BA2919">
        <w:rPr>
          <w:i/>
          <w:iCs/>
          <w:lang w:val="fr-FR"/>
        </w:rPr>
        <w:t>(Document</w:t>
      </w:r>
      <w:r w:rsidRPr="00BA2919">
        <w:rPr>
          <w:i/>
          <w:lang w:val="fr-FR"/>
        </w:rPr>
        <w:t xml:space="preserve"> </w:t>
      </w:r>
      <w:r w:rsidRPr="00BA2919">
        <w:rPr>
          <w:i/>
          <w:iCs/>
          <w:lang w:val="fr-FR"/>
        </w:rPr>
        <w:t>de référence: document informel INF.</w:t>
      </w:r>
      <w:r>
        <w:rPr>
          <w:i/>
          <w:iCs/>
          <w:lang w:val="fr-FR"/>
        </w:rPr>
        <w:t>53, proposition 5</w:t>
      </w:r>
      <w:r w:rsidRPr="00BA2919">
        <w:rPr>
          <w:i/>
          <w:iCs/>
          <w:lang w:val="fr-FR"/>
        </w:rPr>
        <w:t>)</w:t>
      </w:r>
    </w:p>
    <w:p w14:paraId="105659B2" w14:textId="77777777" w:rsidR="00701A0C" w:rsidRDefault="00701A0C" w:rsidP="00701A0C">
      <w:pPr>
        <w:pStyle w:val="SingleTxtG"/>
        <w:rPr>
          <w:lang w:val="fr-FR"/>
        </w:rPr>
      </w:pPr>
      <w:r>
        <w:rPr>
          <w:lang w:val="fr-FR"/>
        </w:rPr>
        <w:t>6.8.3.2.21</w:t>
      </w:r>
      <w:r>
        <w:rPr>
          <w:lang w:val="fr-FR"/>
        </w:rPr>
        <w:tab/>
        <w:t>À la fin, supprimer « </w:t>
      </w:r>
      <w:r w:rsidRPr="00222058">
        <w:rPr>
          <w:lang w:val="fr-FR"/>
        </w:rPr>
        <w:t>Il est réputé satisfait aux dispositions fondamentales de ce paragraphe si les normes suivantes sont</w:t>
      </w:r>
      <w:r>
        <w:rPr>
          <w:lang w:val="fr-FR"/>
        </w:rPr>
        <w:t xml:space="preserve"> </w:t>
      </w:r>
      <w:r w:rsidRPr="00222058">
        <w:rPr>
          <w:lang w:val="fr-FR"/>
        </w:rPr>
        <w:t xml:space="preserve">appliquées: </w:t>
      </w:r>
      <w:r w:rsidRPr="00222058">
        <w:rPr>
          <w:i/>
          <w:lang w:val="fr-FR"/>
        </w:rPr>
        <w:t>(Réservé)</w:t>
      </w:r>
      <w:r w:rsidRPr="00222058">
        <w:rPr>
          <w:lang w:val="fr-FR"/>
        </w:rPr>
        <w:t>.</w:t>
      </w:r>
      <w:r>
        <w:rPr>
          <w:lang w:val="fr-FR"/>
        </w:rPr>
        <w:t> ».</w:t>
      </w:r>
    </w:p>
    <w:p w14:paraId="5BBBBEE1" w14:textId="77777777" w:rsidR="00701A0C" w:rsidRDefault="00701A0C" w:rsidP="00701A0C">
      <w:pPr>
        <w:pStyle w:val="SingleTxtG"/>
        <w:rPr>
          <w:i/>
          <w:lang w:val="fr-FR"/>
        </w:rPr>
      </w:pPr>
      <w:r w:rsidRPr="004F1740">
        <w:rPr>
          <w:i/>
          <w:lang w:val="fr-FR"/>
        </w:rPr>
        <w:t xml:space="preserve">(Document de référence : </w:t>
      </w:r>
      <w:r>
        <w:rPr>
          <w:i/>
          <w:lang w:val="fr-FR"/>
        </w:rPr>
        <w:t>ECE/TRANS/WP.15/AC.1/2017/43</w:t>
      </w:r>
      <w:r w:rsidRPr="004F1740">
        <w:rPr>
          <w:i/>
          <w:lang w:val="fr-FR"/>
        </w:rPr>
        <w:t>)</w:t>
      </w:r>
    </w:p>
    <w:p w14:paraId="4C96A6F0" w14:textId="77777777" w:rsidR="007A7A2C" w:rsidRDefault="007A7A2C" w:rsidP="007A7A2C">
      <w:pPr>
        <w:pStyle w:val="SingleTxtG"/>
      </w:pPr>
      <w:r>
        <w:t>6.8.3.6</w:t>
      </w:r>
      <w:r>
        <w:tab/>
      </w:r>
      <w:r>
        <w:tab/>
        <w:t xml:space="preserve">Dans le tableau, pour la norme « EN 13807:2003 », en colonne 4), remplacer « Jusqu’à nouvel ordre » par </w:t>
      </w:r>
      <w:r w:rsidRPr="00BA2919">
        <w:rPr>
          <w:lang w:val="fr-FR"/>
        </w:rPr>
        <w:t>«</w:t>
      </w:r>
      <w:r>
        <w:rPr>
          <w:lang w:val="fr-FR"/>
        </w:rPr>
        <w:t> </w:t>
      </w:r>
      <w:r w:rsidRPr="00BA2919">
        <w:rPr>
          <w:lang w:val="fr-FR"/>
        </w:rPr>
        <w:t>Entre le 1</w:t>
      </w:r>
      <w:r w:rsidRPr="00BA2919">
        <w:rPr>
          <w:vertAlign w:val="superscript"/>
          <w:lang w:val="fr-FR"/>
        </w:rPr>
        <w:t>er</w:t>
      </w:r>
      <w:r w:rsidRPr="00BA2919">
        <w:rPr>
          <w:lang w:val="fr-FR"/>
        </w:rPr>
        <w:t xml:space="preserve"> janvier </w:t>
      </w:r>
      <w:r>
        <w:rPr>
          <w:lang w:val="fr-FR"/>
        </w:rPr>
        <w:t>2005</w:t>
      </w:r>
      <w:r w:rsidRPr="00BA2919">
        <w:rPr>
          <w:lang w:val="fr-FR"/>
        </w:rPr>
        <w:t xml:space="preserve"> et le 31 décembre 2020</w:t>
      </w:r>
      <w:r>
        <w:rPr>
          <w:lang w:val="fr-FR"/>
        </w:rPr>
        <w:t> </w:t>
      </w:r>
      <w:r w:rsidRPr="00BA2919">
        <w:rPr>
          <w:lang w:val="fr-FR"/>
        </w:rPr>
        <w:t>».</w:t>
      </w:r>
      <w:r>
        <w:t xml:space="preserve"> Après la norme « EN 13807:2003 », </w:t>
      </w:r>
      <w:r>
        <w:rPr>
          <w:lang w:val="fr-FR"/>
        </w:rPr>
        <w:t>ajouter</w:t>
      </w:r>
      <w:r w:rsidRPr="00BA2919">
        <w:rPr>
          <w:lang w:val="fr-FR"/>
        </w:rPr>
        <w:t xml:space="preserve"> la nouvelle norme suivante</w:t>
      </w:r>
      <w:r>
        <w:rPr>
          <w:lang w:val="fr-FR"/>
        </w:rPr>
        <w:t> </w:t>
      </w:r>
      <w:r w:rsidRPr="00BA2919">
        <w:rPr>
          <w:lang w:val="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884"/>
        <w:gridCol w:w="1985"/>
        <w:gridCol w:w="992"/>
        <w:gridCol w:w="799"/>
      </w:tblGrid>
      <w:tr w:rsidR="007A7A2C" w:rsidRPr="00BA2919" w14:paraId="2F7B3F20" w14:textId="77777777" w:rsidTr="00681B4D">
        <w:trPr>
          <w:cantSplit/>
        </w:trPr>
        <w:tc>
          <w:tcPr>
            <w:tcW w:w="0" w:type="auto"/>
          </w:tcPr>
          <w:p w14:paraId="4A8F1FED" w14:textId="77777777" w:rsidR="007A7A2C" w:rsidRPr="00BA2919" w:rsidRDefault="007A7A2C" w:rsidP="00681B4D">
            <w:pPr>
              <w:tabs>
                <w:tab w:val="left" w:pos="1418"/>
              </w:tabs>
              <w:rPr>
                <w:lang w:val="fr-FR"/>
              </w:rPr>
            </w:pPr>
            <w:r w:rsidRPr="00BF1868">
              <w:rPr>
                <w:lang w:val="fr-FR"/>
              </w:rPr>
              <w:lastRenderedPageBreak/>
              <w:t>EN 13807:20</w:t>
            </w:r>
            <w:r>
              <w:rPr>
                <w:lang w:val="fr-FR"/>
              </w:rPr>
              <w:t>17</w:t>
            </w:r>
          </w:p>
        </w:tc>
        <w:tc>
          <w:tcPr>
            <w:tcW w:w="2884" w:type="dxa"/>
          </w:tcPr>
          <w:p w14:paraId="6FC89FA9" w14:textId="77777777" w:rsidR="007A7A2C" w:rsidRPr="00BA2919" w:rsidRDefault="007A7A2C" w:rsidP="00681B4D">
            <w:pPr>
              <w:rPr>
                <w:lang w:val="fr-FR"/>
              </w:rPr>
            </w:pPr>
            <w:r w:rsidRPr="00BF1868">
              <w:rPr>
                <w:lang w:val="fr-FR"/>
              </w:rPr>
              <w:t>Bouteilles à gaz transportables</w:t>
            </w:r>
            <w:r>
              <w:rPr>
                <w:lang w:val="fr-FR"/>
              </w:rPr>
              <w:t xml:space="preserve"> – </w:t>
            </w:r>
            <w:r w:rsidRPr="00BF1868">
              <w:rPr>
                <w:lang w:val="fr-FR"/>
              </w:rPr>
              <w:t>Véhicules-batteries et conteneurs à gaz à éléments multiples (CGEM)</w:t>
            </w:r>
            <w:r>
              <w:rPr>
                <w:lang w:val="fr-FR"/>
              </w:rPr>
              <w:t xml:space="preserve"> –</w:t>
            </w:r>
            <w:r w:rsidRPr="00BF1868">
              <w:rPr>
                <w:lang w:val="fr-FR"/>
              </w:rPr>
              <w:t xml:space="preserve"> Conception, fabrication, identification et essai</w:t>
            </w:r>
          </w:p>
        </w:tc>
        <w:tc>
          <w:tcPr>
            <w:tcW w:w="1985" w:type="dxa"/>
          </w:tcPr>
          <w:p w14:paraId="7EA20B0E" w14:textId="68C007E9" w:rsidR="007A7A2C" w:rsidRPr="00BA2919" w:rsidRDefault="007A7A2C" w:rsidP="00EC2C33">
            <w:pPr>
              <w:jc w:val="center"/>
              <w:rPr>
                <w:lang w:val="fr-FR"/>
              </w:rPr>
            </w:pPr>
            <w:r w:rsidRPr="00BF1868">
              <w:rPr>
                <w:lang w:val="fr-FR"/>
              </w:rPr>
              <w:t>6.8.3.1.4</w:t>
            </w:r>
            <w:r w:rsidR="00EC2C33">
              <w:rPr>
                <w:lang w:val="fr-FR"/>
              </w:rPr>
              <w:t xml:space="preserve">, </w:t>
            </w:r>
            <w:r w:rsidRPr="00BF1868">
              <w:rPr>
                <w:lang w:val="fr-FR"/>
              </w:rPr>
              <w:t xml:space="preserve">6.8.3.1.5, 6.8.3.2.18 </w:t>
            </w:r>
            <w:r>
              <w:rPr>
                <w:lang w:val="fr-FR"/>
              </w:rPr>
              <w:t>à</w:t>
            </w:r>
            <w:r w:rsidRPr="00BF1868">
              <w:rPr>
                <w:lang w:val="fr-FR"/>
              </w:rPr>
              <w:t xml:space="preserve"> 6.8.3.2.28, 6.8.3.4.12 </w:t>
            </w:r>
            <w:r>
              <w:rPr>
                <w:lang w:val="fr-FR"/>
              </w:rPr>
              <w:t>à</w:t>
            </w:r>
            <w:r w:rsidRPr="00BF1868">
              <w:rPr>
                <w:lang w:val="fr-FR"/>
              </w:rPr>
              <w:t xml:space="preserve"> 6.8.3.4.14 </w:t>
            </w:r>
            <w:r>
              <w:rPr>
                <w:lang w:val="fr-FR"/>
              </w:rPr>
              <w:t>et</w:t>
            </w:r>
            <w:r w:rsidRPr="00BF1868">
              <w:rPr>
                <w:lang w:val="fr-FR"/>
              </w:rPr>
              <w:t xml:space="preserve"> 6.8.3.5.10 </w:t>
            </w:r>
            <w:r>
              <w:rPr>
                <w:lang w:val="fr-FR"/>
              </w:rPr>
              <w:t>à</w:t>
            </w:r>
            <w:r w:rsidRPr="00BF1868">
              <w:rPr>
                <w:lang w:val="fr-FR"/>
              </w:rPr>
              <w:t xml:space="preserve"> 6.8.3.5.13</w:t>
            </w:r>
          </w:p>
        </w:tc>
        <w:tc>
          <w:tcPr>
            <w:tcW w:w="992" w:type="dxa"/>
          </w:tcPr>
          <w:p w14:paraId="298F113F" w14:textId="77777777" w:rsidR="007A7A2C" w:rsidRPr="00BA2919" w:rsidRDefault="007A7A2C" w:rsidP="00681B4D">
            <w:pPr>
              <w:jc w:val="center"/>
              <w:rPr>
                <w:lang w:val="fr-FR"/>
              </w:rPr>
            </w:pPr>
            <w:r>
              <w:rPr>
                <w:lang w:val="fr-FR"/>
              </w:rPr>
              <w:t>Jusqu’à nouvel ordre</w:t>
            </w:r>
          </w:p>
        </w:tc>
        <w:tc>
          <w:tcPr>
            <w:tcW w:w="799" w:type="dxa"/>
          </w:tcPr>
          <w:p w14:paraId="70956CC9" w14:textId="77777777" w:rsidR="007A7A2C" w:rsidRPr="00BA2919" w:rsidRDefault="007A7A2C" w:rsidP="00681B4D">
            <w:pPr>
              <w:tabs>
                <w:tab w:val="left" w:pos="1418"/>
              </w:tabs>
              <w:rPr>
                <w:lang w:val="fr-FR"/>
              </w:rPr>
            </w:pPr>
          </w:p>
        </w:tc>
      </w:tr>
    </w:tbl>
    <w:p w14:paraId="26317BE1" w14:textId="77777777" w:rsidR="00701A0C" w:rsidRPr="00701A0C" w:rsidRDefault="007A7A2C" w:rsidP="00701A0C">
      <w:pPr>
        <w:pStyle w:val="SingleTxtG"/>
        <w:rPr>
          <w:i/>
          <w:iCs/>
          <w:lang w:val="fr-FR"/>
        </w:rPr>
      </w:pPr>
      <w:r w:rsidRPr="00BA2919">
        <w:rPr>
          <w:i/>
          <w:iCs/>
          <w:lang w:val="fr-FR"/>
        </w:rPr>
        <w:t>(Document</w:t>
      </w:r>
      <w:r w:rsidRPr="00BA2919">
        <w:rPr>
          <w:i/>
          <w:lang w:val="fr-FR"/>
        </w:rPr>
        <w:t xml:space="preserve"> </w:t>
      </w:r>
      <w:r w:rsidRPr="00BA2919">
        <w:rPr>
          <w:i/>
          <w:iCs/>
          <w:lang w:val="fr-FR"/>
        </w:rPr>
        <w:t>de référence: document informel INF.</w:t>
      </w:r>
      <w:r>
        <w:rPr>
          <w:i/>
          <w:iCs/>
          <w:lang w:val="fr-FR"/>
        </w:rPr>
        <w:t>53, proposition 2</w:t>
      </w:r>
      <w:r w:rsidRPr="00BA2919">
        <w:rPr>
          <w:i/>
          <w:iCs/>
          <w:lang w:val="fr-FR"/>
        </w:rPr>
        <w:t>)</w:t>
      </w:r>
    </w:p>
    <w:p w14:paraId="536A24A1" w14:textId="77777777" w:rsidR="00701A0C" w:rsidRDefault="00701A0C" w:rsidP="00701A0C">
      <w:pPr>
        <w:pStyle w:val="SingleTxtG"/>
        <w:rPr>
          <w:lang w:val="fr-FR"/>
        </w:rPr>
      </w:pPr>
      <w:r w:rsidRPr="00A837F5">
        <w:rPr>
          <w:lang w:val="fr-FR"/>
        </w:rPr>
        <w:t>6.8.4 d), disposition spéciale TT2</w:t>
      </w:r>
      <w:r w:rsidRPr="00A837F5">
        <w:rPr>
          <w:lang w:val="fr-FR"/>
        </w:rPr>
        <w:tab/>
        <w:t>À la fin, ajouter « (voir disposition spéciale TU43 au 4.3.5) ».</w:t>
      </w:r>
    </w:p>
    <w:p w14:paraId="2A0C0FAD" w14:textId="77777777" w:rsidR="00701A0C" w:rsidRDefault="00701A0C" w:rsidP="00701A0C">
      <w:pPr>
        <w:pStyle w:val="SingleTxtG"/>
        <w:rPr>
          <w:i/>
          <w:lang w:val="fr-FR"/>
        </w:rPr>
      </w:pPr>
      <w:r w:rsidRPr="004F1740">
        <w:rPr>
          <w:i/>
          <w:lang w:val="fr-FR"/>
        </w:rPr>
        <w:t xml:space="preserve">(Document de référence : document informel INF.46, proposition </w:t>
      </w:r>
      <w:r>
        <w:rPr>
          <w:i/>
          <w:lang w:val="fr-FR"/>
        </w:rPr>
        <w:t>3</w:t>
      </w:r>
      <w:r w:rsidRPr="004F1740">
        <w:rPr>
          <w:i/>
          <w:lang w:val="fr-FR"/>
        </w:rPr>
        <w:t>)</w:t>
      </w:r>
    </w:p>
    <w:p w14:paraId="2BC23BDC" w14:textId="77777777" w:rsidR="00701A0C" w:rsidRDefault="00701A0C" w:rsidP="00701A0C">
      <w:pPr>
        <w:pStyle w:val="SingleTxtG"/>
        <w:rPr>
          <w:lang w:val="fr-FR"/>
        </w:rPr>
      </w:pPr>
      <w:r>
        <w:rPr>
          <w:lang w:val="fr-FR"/>
        </w:rPr>
        <w:t>6.8.5.1.2 a)</w:t>
      </w:r>
      <w:r>
        <w:rPr>
          <w:lang w:val="fr-FR"/>
        </w:rPr>
        <w:tab/>
        <w:t>À la fin, ajouter le nouveau tiret suivant :</w:t>
      </w:r>
    </w:p>
    <w:p w14:paraId="557F42DC" w14:textId="77777777" w:rsidR="00701A0C" w:rsidRPr="00227F50" w:rsidRDefault="00701A0C" w:rsidP="00701A0C">
      <w:pPr>
        <w:pStyle w:val="SingleTxtG"/>
        <w:rPr>
          <w:lang w:val="fr-FR"/>
        </w:rPr>
      </w:pPr>
      <w:r>
        <w:rPr>
          <w:lang w:val="fr-FR"/>
        </w:rPr>
        <w:t>« -</w:t>
      </w:r>
      <w:r>
        <w:rPr>
          <w:lang w:val="fr-FR"/>
        </w:rPr>
        <w:tab/>
      </w:r>
      <w:r w:rsidRPr="00CC7257">
        <w:t xml:space="preserve">les aciers </w:t>
      </w:r>
      <w:r>
        <w:t xml:space="preserve">inoxydables </w:t>
      </w:r>
      <w:r w:rsidRPr="00CC7257">
        <w:t>austén</w:t>
      </w:r>
      <w:r>
        <w:t xml:space="preserve">o-ferritiques, jusqu'à une température de </w:t>
      </w:r>
      <w:r>
        <w:sym w:font="Symbol" w:char="F05B"/>
      </w:r>
      <w:r>
        <w:t>-4</w:t>
      </w:r>
      <w:r w:rsidRPr="00CC7257">
        <w:t>0 °C</w:t>
      </w:r>
      <w:r>
        <w:sym w:font="Symbol" w:char="F05D"/>
      </w:r>
      <w:r w:rsidRPr="00CC7257">
        <w:t>;</w:t>
      </w:r>
      <w:r>
        <w:t> ».</w:t>
      </w:r>
    </w:p>
    <w:p w14:paraId="0E34C6E5" w14:textId="77777777" w:rsidR="00701A0C" w:rsidRDefault="00701A0C" w:rsidP="00701A0C">
      <w:pPr>
        <w:pStyle w:val="SingleTxtG"/>
        <w:rPr>
          <w:i/>
          <w:lang w:val="fr-FR"/>
        </w:rPr>
      </w:pPr>
      <w:r w:rsidRPr="004F1740">
        <w:rPr>
          <w:i/>
          <w:lang w:val="fr-FR"/>
        </w:rPr>
        <w:t xml:space="preserve">(Document de référence : document informel INF.46, proposition </w:t>
      </w:r>
      <w:r>
        <w:rPr>
          <w:i/>
          <w:lang w:val="fr-FR"/>
        </w:rPr>
        <w:t>11</w:t>
      </w:r>
      <w:r w:rsidRPr="004F1740">
        <w:rPr>
          <w:i/>
          <w:lang w:val="fr-FR"/>
        </w:rPr>
        <w:t>)</w:t>
      </w:r>
    </w:p>
    <w:p w14:paraId="19BEF1EC" w14:textId="77777777" w:rsidR="00701A0C" w:rsidRDefault="00701A0C" w:rsidP="00701A0C">
      <w:pPr>
        <w:pStyle w:val="SingleTxtG"/>
        <w:rPr>
          <w:lang w:val="fr-FR"/>
        </w:rPr>
      </w:pPr>
      <w:r>
        <w:rPr>
          <w:lang w:val="fr-FR"/>
        </w:rPr>
        <w:t>6.8.5.2.1</w:t>
      </w:r>
      <w:r>
        <w:rPr>
          <w:lang w:val="fr-FR"/>
        </w:rPr>
        <w:tab/>
        <w:t>À la fin du deuxième tiret, remplacer « </w:t>
      </w:r>
      <w:r w:rsidRPr="00227F50">
        <w:rPr>
          <w:lang w:val="fr-FR"/>
        </w:rPr>
        <w:t>ou l'acier austénitique</w:t>
      </w:r>
      <w:r>
        <w:rPr>
          <w:lang w:val="fr-FR"/>
        </w:rPr>
        <w:t xml:space="preserve"> </w:t>
      </w:r>
      <w:r w:rsidRPr="00227F50">
        <w:rPr>
          <w:lang w:val="fr-FR"/>
        </w:rPr>
        <w:t xml:space="preserve">au Cr </w:t>
      </w:r>
      <w:r>
        <w:rPr>
          <w:lang w:val="fr-FR"/>
        </w:rPr>
        <w:t>–</w:t>
      </w:r>
      <w:r w:rsidRPr="00227F50">
        <w:rPr>
          <w:lang w:val="fr-FR"/>
        </w:rPr>
        <w:t xml:space="preserve"> Ni</w:t>
      </w:r>
      <w:r>
        <w:rPr>
          <w:lang w:val="fr-FR"/>
        </w:rPr>
        <w:t> » par « </w:t>
      </w:r>
      <w:r w:rsidRPr="00227F50">
        <w:rPr>
          <w:lang w:val="fr-FR"/>
        </w:rPr>
        <w:t>l'acier austénitique</w:t>
      </w:r>
      <w:r>
        <w:rPr>
          <w:lang w:val="fr-FR"/>
        </w:rPr>
        <w:t xml:space="preserve"> </w:t>
      </w:r>
      <w:r w:rsidRPr="00227F50">
        <w:rPr>
          <w:lang w:val="fr-FR"/>
        </w:rPr>
        <w:t xml:space="preserve">au Cr </w:t>
      </w:r>
      <w:r>
        <w:rPr>
          <w:lang w:val="fr-FR"/>
        </w:rPr>
        <w:t>–</w:t>
      </w:r>
      <w:r w:rsidRPr="00227F50">
        <w:rPr>
          <w:lang w:val="fr-FR"/>
        </w:rPr>
        <w:t xml:space="preserve"> Ni</w:t>
      </w:r>
      <w:r>
        <w:rPr>
          <w:lang w:val="fr-FR"/>
        </w:rPr>
        <w:t xml:space="preserve">, ou l’acier </w:t>
      </w:r>
      <w:r>
        <w:t xml:space="preserve">inoxydable </w:t>
      </w:r>
      <w:r w:rsidRPr="00CC7257">
        <w:t>austén</w:t>
      </w:r>
      <w:r>
        <w:t>o-ferritique ».</w:t>
      </w:r>
    </w:p>
    <w:p w14:paraId="4D539D16" w14:textId="77777777" w:rsidR="00701A0C" w:rsidRDefault="00701A0C" w:rsidP="00701A0C">
      <w:pPr>
        <w:pStyle w:val="SingleTxtG"/>
        <w:rPr>
          <w:i/>
          <w:lang w:val="fr-FR"/>
        </w:rPr>
      </w:pPr>
      <w:r w:rsidRPr="004F1740">
        <w:rPr>
          <w:i/>
          <w:lang w:val="fr-FR"/>
        </w:rPr>
        <w:t xml:space="preserve">(Document de référence : document informel INF.46, proposition </w:t>
      </w:r>
      <w:r>
        <w:rPr>
          <w:i/>
          <w:lang w:val="fr-FR"/>
        </w:rPr>
        <w:t>12</w:t>
      </w:r>
      <w:r w:rsidRPr="004F1740">
        <w:rPr>
          <w:i/>
          <w:lang w:val="fr-FR"/>
        </w:rPr>
        <w:t>)</w:t>
      </w:r>
    </w:p>
    <w:p w14:paraId="1BBE313B" w14:textId="77777777" w:rsidR="00701A0C" w:rsidRDefault="00701A0C" w:rsidP="00701A0C">
      <w:pPr>
        <w:pStyle w:val="H1G"/>
        <w:rPr>
          <w:lang w:val="fr-FR"/>
        </w:rPr>
      </w:pPr>
      <w:r>
        <w:rPr>
          <w:lang w:val="fr-FR"/>
        </w:rPr>
        <w:tab/>
      </w:r>
      <w:r>
        <w:rPr>
          <w:lang w:val="fr-FR"/>
        </w:rPr>
        <w:tab/>
        <w:t>Chapitre 6.9</w:t>
      </w:r>
    </w:p>
    <w:p w14:paraId="6A736EE9" w14:textId="77777777" w:rsidR="00701A0C" w:rsidRPr="00D55C47" w:rsidRDefault="00701A0C" w:rsidP="00701A0C">
      <w:pPr>
        <w:pStyle w:val="SingleTxtG"/>
        <w:rPr>
          <w:lang w:val="fr-FR"/>
        </w:rPr>
      </w:pPr>
      <w:r>
        <w:rPr>
          <w:lang w:val="fr-FR"/>
        </w:rPr>
        <w:t>6.9.3.1</w:t>
      </w:r>
      <w:r>
        <w:rPr>
          <w:lang w:val="fr-FR"/>
        </w:rPr>
        <w:tab/>
      </w:r>
      <w:r>
        <w:rPr>
          <w:lang w:val="fr-FR"/>
        </w:rPr>
        <w:tab/>
        <w:t>Remplacer « </w:t>
      </w:r>
      <w:r w:rsidRPr="00D55C47">
        <w:rPr>
          <w:lang w:val="fr-FR"/>
        </w:rPr>
        <w:t>et 6.8.2.2.4</w:t>
      </w:r>
      <w:r>
        <w:rPr>
          <w:lang w:val="fr-FR"/>
        </w:rPr>
        <w:t> » par « </w:t>
      </w:r>
      <w:r w:rsidRPr="00D55C47">
        <w:rPr>
          <w:lang w:val="fr-FR"/>
        </w:rPr>
        <w:t>, 6.8.2.2.4 et 6.8.2.2.6</w:t>
      </w:r>
      <w:r>
        <w:rPr>
          <w:lang w:val="fr-FR"/>
        </w:rPr>
        <w:t> ».</w:t>
      </w:r>
    </w:p>
    <w:p w14:paraId="6972CF9C" w14:textId="77777777" w:rsidR="00701A0C" w:rsidRDefault="00701A0C" w:rsidP="00701A0C">
      <w:pPr>
        <w:pStyle w:val="SingleTxtG"/>
        <w:rPr>
          <w:i/>
          <w:lang w:val="fr-FR"/>
        </w:rPr>
      </w:pPr>
      <w:r w:rsidRPr="004F1740">
        <w:rPr>
          <w:i/>
          <w:lang w:val="fr-FR"/>
        </w:rPr>
        <w:t xml:space="preserve">(Document de référence : </w:t>
      </w:r>
      <w:r>
        <w:rPr>
          <w:i/>
          <w:lang w:val="fr-FR"/>
        </w:rPr>
        <w:t>ECE/TRANS/WP.15/AC.1/2017/43</w:t>
      </w:r>
      <w:r w:rsidRPr="004F1740">
        <w:rPr>
          <w:i/>
          <w:lang w:val="fr-FR"/>
        </w:rPr>
        <w:t>)</w:t>
      </w:r>
    </w:p>
    <w:p w14:paraId="7493943F" w14:textId="77777777" w:rsidR="00701A0C" w:rsidRDefault="00701A0C" w:rsidP="00701A0C">
      <w:pPr>
        <w:pStyle w:val="H1G"/>
        <w:rPr>
          <w:lang w:val="fr-FR"/>
        </w:rPr>
      </w:pPr>
      <w:r>
        <w:rPr>
          <w:lang w:val="fr-FR"/>
        </w:rPr>
        <w:tab/>
      </w:r>
      <w:r>
        <w:rPr>
          <w:lang w:val="fr-FR"/>
        </w:rPr>
        <w:tab/>
        <w:t>Chapitre 6.10</w:t>
      </w:r>
    </w:p>
    <w:p w14:paraId="5CAB2966" w14:textId="77777777" w:rsidR="00701A0C" w:rsidRDefault="00701A0C" w:rsidP="00701A0C">
      <w:pPr>
        <w:pStyle w:val="SingleTxtG"/>
        <w:rPr>
          <w:lang w:val="fr-FR"/>
        </w:rPr>
      </w:pPr>
      <w:r>
        <w:rPr>
          <w:lang w:val="fr-FR"/>
        </w:rPr>
        <w:t>6.10.1.2.1</w:t>
      </w:r>
      <w:r>
        <w:rPr>
          <w:lang w:val="fr-FR"/>
        </w:rPr>
        <w:tab/>
        <w:t>Au troisième paragraphe, dans la première phrase remplacer « sauf lorsqu’une disposition spéciale différente figure » par « sauf lorsque des prescriptions spéciales différentes figurent ».</w:t>
      </w:r>
    </w:p>
    <w:p w14:paraId="2D601947" w14:textId="77777777" w:rsidR="00701A0C" w:rsidRPr="00701A0C" w:rsidRDefault="00701A0C" w:rsidP="00701A0C">
      <w:pPr>
        <w:pStyle w:val="SingleTxtG"/>
        <w:rPr>
          <w:i/>
          <w:lang w:val="fr-FR"/>
        </w:rPr>
      </w:pPr>
      <w:r w:rsidRPr="004F1740">
        <w:rPr>
          <w:i/>
          <w:lang w:val="fr-FR"/>
        </w:rPr>
        <w:t xml:space="preserve">(Document de référence : document informel INF.46, proposition </w:t>
      </w:r>
      <w:r>
        <w:rPr>
          <w:i/>
          <w:lang w:val="fr-FR"/>
        </w:rPr>
        <w:t>7</w:t>
      </w:r>
      <w:r w:rsidRPr="004F1740">
        <w:rPr>
          <w:i/>
          <w:lang w:val="fr-FR"/>
        </w:rPr>
        <w:t>)</w:t>
      </w:r>
    </w:p>
    <w:p w14:paraId="5AB68FDC" w14:textId="59857A79" w:rsidR="007A7A2C" w:rsidRDefault="00EA31EE" w:rsidP="0093236F">
      <w:pPr>
        <w:pStyle w:val="H1G"/>
        <w:rPr>
          <w:lang w:val="fr-FR"/>
        </w:rPr>
      </w:pPr>
      <w:r>
        <w:rPr>
          <w:lang w:val="fr-FR"/>
        </w:rPr>
        <w:tab/>
      </w:r>
      <w:r>
        <w:rPr>
          <w:lang w:val="fr-FR"/>
        </w:rPr>
        <w:tab/>
      </w:r>
      <w:r w:rsidR="007A7A2C">
        <w:rPr>
          <w:lang w:val="fr-FR"/>
        </w:rPr>
        <w:t>Chapitre 7.5</w:t>
      </w:r>
    </w:p>
    <w:p w14:paraId="28B9C74F" w14:textId="77777777" w:rsidR="00701A0C" w:rsidRDefault="00701A0C" w:rsidP="00701A0C">
      <w:pPr>
        <w:pStyle w:val="SingleTxtG"/>
      </w:pPr>
      <w:r>
        <w:rPr>
          <w:lang w:val="fr-FR"/>
        </w:rPr>
        <w:t>7.5.2.2</w:t>
      </w:r>
      <w:r>
        <w:rPr>
          <w:lang w:val="fr-FR"/>
        </w:rPr>
        <w:tab/>
      </w:r>
      <w:r w:rsidRPr="001F4044">
        <w:rPr>
          <w:lang w:val="fr-FR"/>
        </w:rPr>
        <w:tab/>
      </w:r>
      <w:r>
        <w:t xml:space="preserve">Dans la note de bas de tableau b, remplacer « risque supplémentaire de détonation » par « danger supplémentaire de détonation ». </w:t>
      </w:r>
    </w:p>
    <w:p w14:paraId="37CB1143" w14:textId="7F0660C5" w:rsidR="007A7A2C" w:rsidRDefault="00EC2C33" w:rsidP="007A7A2C">
      <w:pPr>
        <w:pStyle w:val="SingleTxtG"/>
        <w:rPr>
          <w:lang w:val="fr-FR"/>
        </w:rPr>
      </w:pPr>
      <w:r>
        <w:rPr>
          <w:lang w:val="fr-FR"/>
        </w:rPr>
        <w:t xml:space="preserve">(ADR :) </w:t>
      </w:r>
      <w:r w:rsidR="007A7A2C">
        <w:rPr>
          <w:lang w:val="fr-FR"/>
        </w:rPr>
        <w:t>7.5.11, disposition spéciale CV20</w:t>
      </w:r>
      <w:r w:rsidR="007A7A2C">
        <w:rPr>
          <w:lang w:val="fr-FR"/>
        </w:rPr>
        <w:tab/>
      </w:r>
      <w:r w:rsidR="007A7A2C">
        <w:rPr>
          <w:lang w:val="fr-FR"/>
        </w:rPr>
        <w:tab/>
        <w:t>Remplacer « </w:t>
      </w:r>
      <w:r w:rsidR="007A7A2C" w:rsidRPr="00D71FC3">
        <w:rPr>
          <w:lang w:val="fr-FR"/>
        </w:rPr>
        <w:t>et les dispositions spéciales V1 et V8 (5) et (6) du chapitre</w:t>
      </w:r>
      <w:r w:rsidR="007A7A2C">
        <w:rPr>
          <w:lang w:val="fr-FR"/>
        </w:rPr>
        <w:t xml:space="preserve"> </w:t>
      </w:r>
      <w:r w:rsidR="007A7A2C" w:rsidRPr="00D71FC3">
        <w:rPr>
          <w:lang w:val="fr-FR"/>
        </w:rPr>
        <w:t>7.2</w:t>
      </w:r>
      <w:r w:rsidR="007A7A2C">
        <w:rPr>
          <w:lang w:val="fr-FR"/>
        </w:rPr>
        <w:t xml:space="preserve"> » par « , du 7.1.7.4.7 et du 7.1.7.4.8 ainsi que la disposition spéciale V1 </w:t>
      </w:r>
      <w:r w:rsidR="007A7A2C" w:rsidRPr="00D71FC3">
        <w:rPr>
          <w:lang w:val="fr-FR"/>
        </w:rPr>
        <w:t>du chapitre</w:t>
      </w:r>
      <w:r w:rsidR="007A7A2C">
        <w:rPr>
          <w:lang w:val="fr-FR"/>
        </w:rPr>
        <w:t xml:space="preserve"> </w:t>
      </w:r>
      <w:r w:rsidR="007A7A2C" w:rsidRPr="00D71FC3">
        <w:rPr>
          <w:lang w:val="fr-FR"/>
        </w:rPr>
        <w:t>7.2</w:t>
      </w:r>
      <w:r w:rsidR="007A7A2C">
        <w:rPr>
          <w:lang w:val="fr-FR"/>
        </w:rPr>
        <w:t> ».</w:t>
      </w:r>
    </w:p>
    <w:p w14:paraId="04621262" w14:textId="77777777" w:rsidR="007A7A2C" w:rsidRDefault="007A7A2C" w:rsidP="007A7A2C">
      <w:pPr>
        <w:pStyle w:val="SingleTxtG"/>
        <w:rPr>
          <w:i/>
          <w:lang w:val="fr-FR"/>
        </w:rPr>
      </w:pPr>
      <w:r>
        <w:rPr>
          <w:i/>
          <w:lang w:val="fr-FR"/>
        </w:rPr>
        <w:t>(Document de référence : document informel INF.9)</w:t>
      </w:r>
    </w:p>
    <w:p w14:paraId="4167E150" w14:textId="77777777" w:rsidR="007A7A2C" w:rsidRDefault="007A7A2C" w:rsidP="007A7A2C">
      <w:pPr>
        <w:pStyle w:val="SingleTxtG"/>
        <w:rPr>
          <w:lang w:val="fr-FR"/>
        </w:rPr>
      </w:pPr>
      <w:r>
        <w:rPr>
          <w:lang w:val="fr-FR"/>
        </w:rPr>
        <w:t>7.5.11, disposition spéciale CV21</w:t>
      </w:r>
      <w:r>
        <w:rPr>
          <w:lang w:val="fr-FR"/>
        </w:rPr>
        <w:tab/>
      </w:r>
      <w:r>
        <w:rPr>
          <w:lang w:val="fr-FR"/>
        </w:rPr>
        <w:tab/>
        <w:t>Dans le troisième paragraphe, remplacer « </w:t>
      </w:r>
      <w:r w:rsidRPr="00585DF8">
        <w:rPr>
          <w:lang w:val="fr-FR"/>
        </w:rPr>
        <w:t>selon les méthodes R2 ou R4 de la disposition</w:t>
      </w:r>
      <w:r>
        <w:rPr>
          <w:lang w:val="fr-FR"/>
        </w:rPr>
        <w:t xml:space="preserve"> </w:t>
      </w:r>
      <w:r w:rsidRPr="00585DF8">
        <w:rPr>
          <w:lang w:val="fr-FR"/>
        </w:rPr>
        <w:t>spéciale V8</w:t>
      </w:r>
      <w:r w:rsidR="0057160E">
        <w:rPr>
          <w:lang w:val="fr-FR"/>
        </w:rPr>
        <w:t xml:space="preserve"> </w:t>
      </w:r>
      <w:r w:rsidRPr="00585DF8">
        <w:rPr>
          <w:lang w:val="fr-FR"/>
        </w:rPr>
        <w:t>(3) du chapitre 7.2</w:t>
      </w:r>
      <w:r>
        <w:rPr>
          <w:lang w:val="fr-FR"/>
        </w:rPr>
        <w:t> » par « selon les méthodes décrites au 7.1.7.4.5 b) ou d) ».</w:t>
      </w:r>
    </w:p>
    <w:p w14:paraId="493B9E3E" w14:textId="77777777" w:rsidR="00701A0C" w:rsidRDefault="007A7A2C" w:rsidP="00B33C4A">
      <w:pPr>
        <w:pStyle w:val="SingleTxtG"/>
        <w:rPr>
          <w:i/>
          <w:lang w:val="fr-FR"/>
        </w:rPr>
      </w:pPr>
      <w:r>
        <w:rPr>
          <w:i/>
          <w:lang w:val="fr-FR"/>
        </w:rPr>
        <w:t>(Document de référence : document informel INF.9)</w:t>
      </w:r>
    </w:p>
    <w:p w14:paraId="0F3284BF" w14:textId="77777777" w:rsidR="007A7A2C" w:rsidRDefault="007A7A2C" w:rsidP="00EA31EE">
      <w:pPr>
        <w:pStyle w:val="H1G"/>
        <w:rPr>
          <w:lang w:val="fr-FR"/>
        </w:rPr>
      </w:pPr>
      <w:r>
        <w:rPr>
          <w:lang w:val="fr-FR"/>
        </w:rPr>
        <w:lastRenderedPageBreak/>
        <w:tab/>
      </w:r>
      <w:r>
        <w:rPr>
          <w:lang w:val="fr-FR"/>
        </w:rPr>
        <w:tab/>
        <w:t>(ADR) Chapitre 9.6</w:t>
      </w:r>
    </w:p>
    <w:p w14:paraId="201B4D29" w14:textId="77777777" w:rsidR="007A7A2C" w:rsidRPr="00585DF8" w:rsidRDefault="007A7A2C" w:rsidP="007A7A2C">
      <w:pPr>
        <w:pStyle w:val="SingleTxtG"/>
        <w:rPr>
          <w:lang w:val="fr-FR"/>
        </w:rPr>
      </w:pPr>
      <w:r>
        <w:rPr>
          <w:lang w:val="fr-FR"/>
        </w:rPr>
        <w:t>9.6.2</w:t>
      </w:r>
      <w:r>
        <w:rPr>
          <w:lang w:val="fr-FR"/>
        </w:rPr>
        <w:tab/>
        <w:t>Modifier la première phrase pour lire comme suit : « </w:t>
      </w:r>
      <w:r w:rsidRPr="00585DF8">
        <w:rPr>
          <w:lang w:val="fr-FR"/>
        </w:rPr>
        <w:t>Des méthodes appropriées pour empêcher le dépassement de la température de régulation</w:t>
      </w:r>
      <w:r>
        <w:rPr>
          <w:lang w:val="fr-FR"/>
        </w:rPr>
        <w:t xml:space="preserve"> </w:t>
      </w:r>
      <w:r w:rsidRPr="00585DF8">
        <w:rPr>
          <w:lang w:val="fr-FR"/>
        </w:rPr>
        <w:t xml:space="preserve">sont énumérées au </w:t>
      </w:r>
      <w:r>
        <w:rPr>
          <w:lang w:val="fr-FR"/>
        </w:rPr>
        <w:t>7.1.7.4.5. ».</w:t>
      </w:r>
    </w:p>
    <w:p w14:paraId="526BD318" w14:textId="77777777" w:rsidR="007A7A2C" w:rsidRDefault="007A7A2C" w:rsidP="007A7A2C">
      <w:pPr>
        <w:pStyle w:val="SingleTxtG"/>
        <w:rPr>
          <w:i/>
          <w:lang w:val="fr-FR"/>
        </w:rPr>
      </w:pPr>
      <w:r>
        <w:rPr>
          <w:i/>
          <w:lang w:val="fr-FR"/>
        </w:rPr>
        <w:t>(Document de référence : document informel INF.9)</w:t>
      </w:r>
    </w:p>
    <w:p w14:paraId="0D8E1836" w14:textId="77777777" w:rsidR="007A7A2C" w:rsidRPr="00677703" w:rsidRDefault="0093236F" w:rsidP="00677703">
      <w:pPr>
        <w:pStyle w:val="H1G"/>
        <w:rPr>
          <w:rStyle w:val="H1GChar"/>
          <w:b/>
        </w:rPr>
      </w:pPr>
      <w:r w:rsidRPr="00677703">
        <w:tab/>
      </w:r>
      <w:r w:rsidR="007A7A2C" w:rsidRPr="00677703">
        <w:tab/>
        <w:t xml:space="preserve">Modifications à l’annexe II du </w:t>
      </w:r>
      <w:r w:rsidR="007A7A2C" w:rsidRPr="00677703">
        <w:rPr>
          <w:rStyle w:val="H1GChar"/>
          <w:b/>
        </w:rPr>
        <w:t>document ECE/TRANS/WP.15/AC.1/144</w:t>
      </w:r>
    </w:p>
    <w:p w14:paraId="1F4396F4" w14:textId="77777777" w:rsidR="007A7A2C" w:rsidRDefault="007A7A2C" w:rsidP="007A7A2C">
      <w:pPr>
        <w:pStyle w:val="SingleTxtG"/>
      </w:pPr>
      <w:r>
        <w:t>1.6.3.48 et 1.6.4.50</w:t>
      </w:r>
      <w:r>
        <w:tab/>
        <w:t>Remplacer « 2022 » par « 2026 ».</w:t>
      </w:r>
    </w:p>
    <w:p w14:paraId="7F02BF1E" w14:textId="77777777" w:rsidR="007A7A2C" w:rsidRDefault="007A7A2C" w:rsidP="007A7A2C">
      <w:pPr>
        <w:pStyle w:val="SingleTxtG"/>
        <w:rPr>
          <w:i/>
          <w:lang w:val="fr-FR"/>
        </w:rPr>
      </w:pPr>
      <w:r w:rsidRPr="004F1740">
        <w:rPr>
          <w:i/>
          <w:lang w:val="fr-FR"/>
        </w:rPr>
        <w:t xml:space="preserve">(Document de référence : document informel INF.46, proposition </w:t>
      </w:r>
      <w:r>
        <w:rPr>
          <w:i/>
          <w:lang w:val="fr-FR"/>
        </w:rPr>
        <w:t>13</w:t>
      </w:r>
      <w:r w:rsidRPr="004F1740">
        <w:rPr>
          <w:i/>
          <w:lang w:val="fr-FR"/>
        </w:rPr>
        <w:t>)</w:t>
      </w:r>
    </w:p>
    <w:p w14:paraId="276ACFBF" w14:textId="77777777" w:rsidR="007A7A2C" w:rsidRPr="00677703" w:rsidRDefault="007A7A2C" w:rsidP="00677703">
      <w:pPr>
        <w:pStyle w:val="H1G"/>
        <w:rPr>
          <w:rStyle w:val="H1GChar"/>
          <w:b/>
        </w:rPr>
      </w:pPr>
      <w:r w:rsidRPr="00677703">
        <w:tab/>
      </w:r>
      <w:r w:rsidRPr="00677703">
        <w:tab/>
        <w:t xml:space="preserve">Modifications à l’annexe II du </w:t>
      </w:r>
      <w:r w:rsidRPr="00677703">
        <w:rPr>
          <w:rStyle w:val="H1GChar"/>
          <w:b/>
        </w:rPr>
        <w:t>document ECE/TRANS/WP.15/AC.1/146</w:t>
      </w:r>
    </w:p>
    <w:p w14:paraId="47B090F4" w14:textId="77777777" w:rsidR="007A7A2C" w:rsidRDefault="007A7A2C" w:rsidP="007A7A2C">
      <w:pPr>
        <w:pStyle w:val="SingleTxtG"/>
      </w:pPr>
      <w:r>
        <w:t>1.6.3.49</w:t>
      </w:r>
      <w:r>
        <w:tab/>
        <w:t>Supprimer le texte entre crochets.</w:t>
      </w:r>
    </w:p>
    <w:p w14:paraId="5BB5ADD1" w14:textId="77777777" w:rsidR="007A7A2C" w:rsidRDefault="007A7A2C" w:rsidP="007A7A2C">
      <w:pPr>
        <w:pStyle w:val="SingleTxtG"/>
        <w:rPr>
          <w:i/>
          <w:lang w:val="fr-FR"/>
        </w:rPr>
      </w:pPr>
      <w:r w:rsidRPr="004F1740">
        <w:rPr>
          <w:i/>
          <w:lang w:val="fr-FR"/>
        </w:rPr>
        <w:t xml:space="preserve">(Document de référence : document informel INF.46, proposition </w:t>
      </w:r>
      <w:r>
        <w:rPr>
          <w:i/>
          <w:lang w:val="fr-FR"/>
        </w:rPr>
        <w:t>9</w:t>
      </w:r>
      <w:r w:rsidRPr="004F1740">
        <w:rPr>
          <w:i/>
          <w:lang w:val="fr-FR"/>
        </w:rPr>
        <w:t>)</w:t>
      </w:r>
    </w:p>
    <w:p w14:paraId="63DA0836" w14:textId="77777777" w:rsidR="007A7A2C" w:rsidRDefault="007A7A2C" w:rsidP="007A7A2C">
      <w:pPr>
        <w:pStyle w:val="SingleTxtG"/>
      </w:pPr>
      <w:r>
        <w:t>1.6.3.53</w:t>
      </w:r>
      <w:r>
        <w:tab/>
        <w:t>Supprimer les crochets.</w:t>
      </w:r>
    </w:p>
    <w:p w14:paraId="3E79DEED" w14:textId="77777777" w:rsidR="007A7A2C" w:rsidRDefault="007A7A2C" w:rsidP="007A7A2C">
      <w:pPr>
        <w:pStyle w:val="SingleTxtG"/>
        <w:rPr>
          <w:i/>
          <w:lang w:val="fr-FR"/>
        </w:rPr>
      </w:pPr>
      <w:r w:rsidRPr="004F1740">
        <w:rPr>
          <w:i/>
          <w:lang w:val="fr-FR"/>
        </w:rPr>
        <w:t xml:space="preserve">(Document de référence : document informel INF.46, proposition </w:t>
      </w:r>
      <w:r>
        <w:rPr>
          <w:i/>
          <w:lang w:val="fr-FR"/>
        </w:rPr>
        <w:t>8</w:t>
      </w:r>
      <w:r w:rsidRPr="004F1740">
        <w:rPr>
          <w:i/>
          <w:lang w:val="fr-FR"/>
        </w:rPr>
        <w:t>)</w:t>
      </w:r>
    </w:p>
    <w:p w14:paraId="646A05BC" w14:textId="77777777" w:rsidR="007A7A2C" w:rsidRDefault="007A7A2C" w:rsidP="007A7A2C">
      <w:pPr>
        <w:pStyle w:val="SingleTxtG"/>
      </w:pPr>
      <w:r>
        <w:t>1.6.4.51</w:t>
      </w:r>
      <w:r>
        <w:tab/>
        <w:t>Supprimer le texte entre crochets.</w:t>
      </w:r>
    </w:p>
    <w:p w14:paraId="526ADCC1" w14:textId="77777777" w:rsidR="007A7A2C" w:rsidRDefault="007A7A2C" w:rsidP="007A7A2C">
      <w:pPr>
        <w:pStyle w:val="SingleTxtG"/>
        <w:rPr>
          <w:i/>
          <w:lang w:val="fr-FR"/>
        </w:rPr>
      </w:pPr>
      <w:r w:rsidRPr="004F1740">
        <w:rPr>
          <w:i/>
          <w:lang w:val="fr-FR"/>
        </w:rPr>
        <w:t xml:space="preserve">(Document de référence : document informel INF.46, proposition </w:t>
      </w:r>
      <w:r>
        <w:rPr>
          <w:i/>
          <w:lang w:val="fr-FR"/>
        </w:rPr>
        <w:t>9</w:t>
      </w:r>
      <w:r w:rsidRPr="004F1740">
        <w:rPr>
          <w:i/>
          <w:lang w:val="fr-FR"/>
        </w:rPr>
        <w:t>)</w:t>
      </w:r>
    </w:p>
    <w:p w14:paraId="68A3C1AF" w14:textId="77777777" w:rsidR="007A7A2C" w:rsidRPr="008227AD" w:rsidRDefault="007A7A2C" w:rsidP="007A7A2C">
      <w:pPr>
        <w:pStyle w:val="SingleTxtG"/>
        <w:rPr>
          <w:lang w:val="fr-FR"/>
        </w:rPr>
      </w:pPr>
      <w:r w:rsidRPr="008227AD">
        <w:rPr>
          <w:lang w:val="fr-FR"/>
        </w:rPr>
        <w:t>6.8.2.2.3</w:t>
      </w:r>
      <w:r>
        <w:rPr>
          <w:lang w:val="fr-FR"/>
        </w:rPr>
        <w:tab/>
        <w:t>Dans le nouveau paragraphe, avant le tableau, remplacer « EN ISO 16852:[2010] » par « EN ISO 16852:2016 (Arrête-flammes – Exigences de performance, méthodes d’essai et limites d’utilisation) ». Dans le tableau, dans la deuxième colonne, remplacer « EN ISO 16852:[2010] » par « EN ISO 16852:2016 » dans chacune des lignes sous le titre.</w:t>
      </w:r>
    </w:p>
    <w:p w14:paraId="6D4A5427" w14:textId="77777777" w:rsidR="007A7A2C" w:rsidRDefault="007A7A2C" w:rsidP="007A7A2C">
      <w:pPr>
        <w:pStyle w:val="SingleTxtG"/>
        <w:rPr>
          <w:i/>
          <w:lang w:val="fr-FR"/>
        </w:rPr>
      </w:pPr>
      <w:r w:rsidRPr="004F1740">
        <w:rPr>
          <w:i/>
          <w:lang w:val="fr-FR"/>
        </w:rPr>
        <w:t xml:space="preserve">(Document de référence : document informel INF.46, proposition </w:t>
      </w:r>
      <w:r>
        <w:rPr>
          <w:i/>
          <w:lang w:val="fr-FR"/>
        </w:rPr>
        <w:t>10</w:t>
      </w:r>
      <w:r w:rsidRPr="004F1740">
        <w:rPr>
          <w:i/>
          <w:lang w:val="fr-FR"/>
        </w:rPr>
        <w:t>)</w:t>
      </w:r>
    </w:p>
    <w:p w14:paraId="578B467D" w14:textId="77777777" w:rsidR="007A7A2C" w:rsidRPr="009E6124" w:rsidRDefault="007A7A2C" w:rsidP="007A7A2C">
      <w:pPr>
        <w:pStyle w:val="SingleTxtG"/>
      </w:pPr>
      <w:r>
        <w:t>6.8.2.3.1</w:t>
      </w:r>
      <w:r>
        <w:tab/>
        <w:t>Supprimer les crochets.</w:t>
      </w:r>
    </w:p>
    <w:p w14:paraId="151C2006" w14:textId="77777777" w:rsidR="007A7A2C" w:rsidRDefault="007A7A2C" w:rsidP="007A7A2C">
      <w:pPr>
        <w:pStyle w:val="SingleTxtG"/>
        <w:rPr>
          <w:i/>
          <w:lang w:val="fr-FR"/>
        </w:rPr>
      </w:pPr>
      <w:r w:rsidRPr="004F1740">
        <w:rPr>
          <w:i/>
          <w:lang w:val="fr-FR"/>
        </w:rPr>
        <w:t xml:space="preserve">(Document de référence : document informel INF.46, proposition </w:t>
      </w:r>
      <w:r>
        <w:rPr>
          <w:i/>
          <w:lang w:val="fr-FR"/>
        </w:rPr>
        <w:t>8</w:t>
      </w:r>
      <w:r w:rsidRPr="004F1740">
        <w:rPr>
          <w:i/>
          <w:lang w:val="fr-FR"/>
        </w:rPr>
        <w:t>)</w:t>
      </w:r>
    </w:p>
    <w:p w14:paraId="73054E42" w14:textId="71EACE3F" w:rsidR="007A7A2C" w:rsidRPr="00677703" w:rsidRDefault="00DE6122" w:rsidP="00677703">
      <w:pPr>
        <w:pStyle w:val="H1G"/>
      </w:pPr>
      <w:r w:rsidRPr="00677703">
        <w:tab/>
      </w:r>
      <w:r w:rsidRPr="00677703">
        <w:tab/>
      </w:r>
      <w:r w:rsidR="007A7A2C" w:rsidRPr="00677703">
        <w:rPr>
          <w:rStyle w:val="H1GChar"/>
          <w:b/>
        </w:rPr>
        <w:t>Document ECE/TRANS/WP.15/AC.1/</w:t>
      </w:r>
      <w:r w:rsidR="00554220">
        <w:rPr>
          <w:rStyle w:val="H1GChar"/>
          <w:b/>
        </w:rPr>
        <w:t>2017</w:t>
      </w:r>
      <w:r w:rsidR="007A7A2C" w:rsidRPr="00677703">
        <w:rPr>
          <w:rStyle w:val="H1GChar"/>
          <w:b/>
        </w:rPr>
        <w:t>/26/Add.1</w:t>
      </w:r>
      <w:r w:rsidR="007A7A2C" w:rsidRPr="00677703">
        <w:t xml:space="preserve"> </w:t>
      </w:r>
      <w:r w:rsidR="007A7A2C" w:rsidRPr="00677703">
        <w:rPr>
          <w:rStyle w:val="H1GChar"/>
          <w:b/>
        </w:rPr>
        <w:t xml:space="preserve">et son annexe </w:t>
      </w:r>
      <w:r w:rsidR="007A7A2C" w:rsidRPr="00677703">
        <w:t>adoptés avec les modifications suivantes :</w:t>
      </w:r>
    </w:p>
    <w:p w14:paraId="2D983024" w14:textId="77777777" w:rsidR="007A7A2C" w:rsidRPr="00505844" w:rsidRDefault="007A7A2C" w:rsidP="007A7A2C">
      <w:pPr>
        <w:pStyle w:val="SingleTxtG"/>
        <w:rPr>
          <w:lang w:val="fr-FR"/>
        </w:rPr>
      </w:pPr>
      <w:r>
        <w:rPr>
          <w:lang w:val="fr-FR"/>
        </w:rPr>
        <w:t>Supprimer les crochets dans l’ensemble du document sauf au chapitre 7.1.</w:t>
      </w:r>
    </w:p>
    <w:p w14:paraId="427B99CA" w14:textId="77777777" w:rsidR="007A7A2C" w:rsidRPr="00884179" w:rsidRDefault="007A7A2C" w:rsidP="00B50C0C">
      <w:pPr>
        <w:pStyle w:val="H23G"/>
        <w:rPr>
          <w:lang w:val="fr-FR"/>
        </w:rPr>
      </w:pPr>
      <w:r w:rsidRPr="00884179">
        <w:rPr>
          <w:lang w:val="fr-FR"/>
        </w:rPr>
        <w:tab/>
      </w:r>
      <w:r>
        <w:rPr>
          <w:lang w:val="fr-FR"/>
        </w:rPr>
        <w:tab/>
      </w:r>
      <w:r w:rsidRPr="00884179">
        <w:rPr>
          <w:lang w:val="fr-FR"/>
        </w:rPr>
        <w:t xml:space="preserve">Chapitre </w:t>
      </w:r>
      <w:r>
        <w:rPr>
          <w:lang w:val="fr-FR"/>
        </w:rPr>
        <w:t>1.6</w:t>
      </w:r>
    </w:p>
    <w:p w14:paraId="77D8BD37" w14:textId="1AD48ACC" w:rsidR="00B33C4A" w:rsidRDefault="00C86E25" w:rsidP="00B316A2">
      <w:pPr>
        <w:pStyle w:val="SingleTxtG"/>
        <w:rPr>
          <w:lang w:val="fr-FR"/>
        </w:rPr>
      </w:pPr>
      <w:r>
        <w:rPr>
          <w:lang w:val="fr-FR"/>
        </w:rPr>
        <w:t>1.6.1.XX</w:t>
      </w:r>
      <w:r>
        <w:rPr>
          <w:lang w:val="fr-FR"/>
        </w:rPr>
        <w:tab/>
        <w:t xml:space="preserve">Renuméroter en tant que </w:t>
      </w:r>
      <w:r w:rsidR="007A7A2C">
        <w:rPr>
          <w:lang w:val="fr-FR"/>
        </w:rPr>
        <w:t>1.6.1.</w:t>
      </w:r>
      <w:r w:rsidR="00B316A2">
        <w:rPr>
          <w:lang w:val="fr-FR"/>
        </w:rPr>
        <w:t>46</w:t>
      </w:r>
      <w:r>
        <w:rPr>
          <w:lang w:val="fr-FR"/>
        </w:rPr>
        <w:t xml:space="preserve"> et, à</w:t>
      </w:r>
      <w:r w:rsidR="007A7A2C">
        <w:rPr>
          <w:lang w:val="fr-FR"/>
        </w:rPr>
        <w:t xml:space="preserve"> la fin, après « jusqu’au », remplacer « […] » par « 31 décembre 2022 »</w:t>
      </w:r>
      <w:r>
        <w:rPr>
          <w:lang w:val="fr-FR"/>
        </w:rPr>
        <w:t xml:space="preserve"> et </w:t>
      </w:r>
      <w:r w:rsidR="00B33C4A" w:rsidRPr="00425ADF">
        <w:rPr>
          <w:lang w:val="fr-FR"/>
        </w:rPr>
        <w:t>remplacer « soient prises » par « aient été prises ».</w:t>
      </w:r>
    </w:p>
    <w:p w14:paraId="38616BA6" w14:textId="77777777" w:rsidR="007A7A2C" w:rsidRDefault="007A7A2C" w:rsidP="00B50C0C">
      <w:pPr>
        <w:pStyle w:val="H23G"/>
        <w:rPr>
          <w:lang w:val="fr-FR"/>
        </w:rPr>
      </w:pPr>
      <w:r w:rsidRPr="00884179">
        <w:rPr>
          <w:lang w:val="fr-FR"/>
        </w:rPr>
        <w:tab/>
      </w:r>
      <w:r w:rsidRPr="00884179">
        <w:rPr>
          <w:lang w:val="fr-FR"/>
        </w:rPr>
        <w:tab/>
        <w:t xml:space="preserve">Chapitre </w:t>
      </w:r>
      <w:r>
        <w:rPr>
          <w:lang w:val="fr-FR"/>
        </w:rPr>
        <w:t>2.1</w:t>
      </w:r>
    </w:p>
    <w:p w14:paraId="0C6B84B1" w14:textId="77777777" w:rsidR="00B33C4A" w:rsidRPr="00425ADF" w:rsidRDefault="00B33C4A" w:rsidP="00B33C4A">
      <w:pPr>
        <w:pStyle w:val="SingleTxtG"/>
        <w:rPr>
          <w:lang w:val="fr-FR"/>
        </w:rPr>
      </w:pPr>
      <w:r w:rsidRPr="00425ADF">
        <w:rPr>
          <w:iCs/>
          <w:lang w:val="fr-FR"/>
        </w:rPr>
        <w:t>2.1.4.3.1 a)</w:t>
      </w:r>
      <w:r w:rsidRPr="00425ADF">
        <w:rPr>
          <w:iCs/>
          <w:lang w:val="fr-FR"/>
        </w:rPr>
        <w:tab/>
      </w:r>
      <w:r w:rsidRPr="00425ADF">
        <w:rPr>
          <w:lang w:val="fr-FR"/>
        </w:rPr>
        <w:t>Au troisième tiret, remplacer « un effet explosif pratique ou un effet pyrotechnique » par « un effet pratique explosif ou pyrotechnique ».</w:t>
      </w:r>
    </w:p>
    <w:p w14:paraId="13CE356C" w14:textId="77777777" w:rsidR="00C90024" w:rsidRDefault="00C90024" w:rsidP="00C90024">
      <w:pPr>
        <w:pStyle w:val="SingleTxtG"/>
      </w:pPr>
      <w:r>
        <w:t>[2.1.5</w:t>
      </w:r>
      <w:r>
        <w:tab/>
        <w:t>Renuméroter le Nota en tant que Nota 1 et ajouter le nouveau Nota 2 suivant :</w:t>
      </w:r>
    </w:p>
    <w:p w14:paraId="68E42FC5" w14:textId="029490F6" w:rsidR="00C90024" w:rsidRPr="00EA31EE" w:rsidRDefault="00C90024" w:rsidP="00C90024">
      <w:pPr>
        <w:pStyle w:val="SingleTxtG"/>
      </w:pPr>
      <w:r w:rsidRPr="00DD696C">
        <w:lastRenderedPageBreak/>
        <w:t>« </w:t>
      </w:r>
      <w:r w:rsidR="00DD696C" w:rsidRPr="002320B1">
        <w:rPr>
          <w:b/>
          <w:i/>
        </w:rPr>
        <w:t>NOTA</w:t>
      </w:r>
      <w:r w:rsidRPr="002320B1">
        <w:rPr>
          <w:b/>
          <w:i/>
        </w:rPr>
        <w:t xml:space="preserve"> 2:</w:t>
      </w:r>
      <w:r w:rsidRPr="002320B1">
        <w:rPr>
          <w:i/>
        </w:rPr>
        <w:t xml:space="preserve"> </w:t>
      </w:r>
      <w:r w:rsidR="00554220">
        <w:rPr>
          <w:i/>
        </w:rPr>
        <w:t>Le terme «</w:t>
      </w:r>
      <w:r w:rsidR="00DD696C" w:rsidRPr="00DD696C">
        <w:rPr>
          <w:i/>
        </w:rPr>
        <w:t xml:space="preserve">désignation officielle de transport </w:t>
      </w:r>
      <w:r w:rsidR="00554220">
        <w:rPr>
          <w:i/>
        </w:rPr>
        <w:t>existante</w:t>
      </w:r>
      <w:r w:rsidR="00DD696C" w:rsidRPr="00DD696C">
        <w:rPr>
          <w:i/>
        </w:rPr>
        <w:t xml:space="preserve">» au Nota 1 ci-dessus, n’inclut pas les rubriques spécifiques </w:t>
      </w:r>
      <w:r w:rsidR="00BB5FE0">
        <w:rPr>
          <w:i/>
        </w:rPr>
        <w:t>n.s.a.</w:t>
      </w:r>
      <w:r w:rsidR="00DD696C" w:rsidRPr="00DD696C">
        <w:rPr>
          <w:i/>
        </w:rPr>
        <w:t xml:space="preserve"> pour les numéros ONU 3537 à 3548</w:t>
      </w:r>
      <w:r w:rsidRPr="00DD696C">
        <w:rPr>
          <w:i/>
        </w:rPr>
        <w:t>.».</w:t>
      </w:r>
      <w:r w:rsidRPr="00DD696C">
        <w:t xml:space="preserve"> ]</w:t>
      </w:r>
    </w:p>
    <w:p w14:paraId="150999F8" w14:textId="77777777" w:rsidR="00C90024" w:rsidRPr="00505844" w:rsidRDefault="00C90024" w:rsidP="00C90024">
      <w:pPr>
        <w:pStyle w:val="SingleTxtG"/>
        <w:rPr>
          <w:i/>
        </w:rPr>
      </w:pPr>
      <w:r>
        <w:rPr>
          <w:i/>
        </w:rPr>
        <w:t>(Document de référence : document informel INF.47)</w:t>
      </w:r>
    </w:p>
    <w:p w14:paraId="2C648D2C" w14:textId="77777777" w:rsidR="00B33C4A" w:rsidRPr="00425ADF" w:rsidRDefault="00B33C4A" w:rsidP="00B33C4A">
      <w:pPr>
        <w:pStyle w:val="SingleTxtG"/>
        <w:rPr>
          <w:lang w:val="fr-FR"/>
        </w:rPr>
      </w:pPr>
      <w:r w:rsidRPr="00425ADF">
        <w:rPr>
          <w:lang w:val="fr-FR"/>
        </w:rPr>
        <w:t>2.1.5.1</w:t>
      </w:r>
      <w:r w:rsidRPr="00425ADF">
        <w:rPr>
          <w:lang w:val="fr-FR"/>
        </w:rPr>
        <w:tab/>
      </w:r>
      <w:r w:rsidRPr="00425ADF">
        <w:rPr>
          <w:lang w:val="fr-FR"/>
        </w:rPr>
        <w:tab/>
        <w:t>À la fin du premier paragraphe, remplacer « être transportés » par « être classés ».</w:t>
      </w:r>
    </w:p>
    <w:p w14:paraId="28888ECD" w14:textId="77777777" w:rsidR="007A7A2C" w:rsidRDefault="007A7A2C" w:rsidP="007A7A2C">
      <w:pPr>
        <w:pStyle w:val="SingleTxtG"/>
      </w:pPr>
      <w:r>
        <w:rPr>
          <w:lang w:val="fr-FR"/>
        </w:rPr>
        <w:t>2.1.5.6</w:t>
      </w:r>
      <w:r>
        <w:rPr>
          <w:lang w:val="fr-FR"/>
        </w:rPr>
        <w:tab/>
      </w:r>
      <w:r w:rsidRPr="001F4044">
        <w:rPr>
          <w:lang w:val="fr-FR"/>
        </w:rPr>
        <w:tab/>
      </w:r>
      <w:r>
        <w:t>Le nouveau 2.1.5.6 prend la teneur suivante :</w:t>
      </w:r>
    </w:p>
    <w:p w14:paraId="19DB22B2" w14:textId="77777777" w:rsidR="007A7A2C" w:rsidRDefault="007A7A2C" w:rsidP="007A7A2C">
      <w:pPr>
        <w:pStyle w:val="SingleTxtG"/>
        <w:rPr>
          <w:lang w:val="fr-FR"/>
        </w:rPr>
      </w:pPr>
      <w:r>
        <w:t>« </w:t>
      </w:r>
      <w:r>
        <w:rPr>
          <w:lang w:val="fr-FR"/>
        </w:rPr>
        <w:t>2.1.5.6</w:t>
      </w:r>
      <w:r>
        <w:rPr>
          <w:lang w:val="fr-FR"/>
        </w:rPr>
        <w:tab/>
      </w:r>
      <w:r w:rsidRPr="00154472">
        <w:rPr>
          <w:lang w:val="fr-FR"/>
        </w:rPr>
        <w:t xml:space="preserve">Les dangers subsidiaires doivent être représentatifs </w:t>
      </w:r>
      <w:r>
        <w:rPr>
          <w:lang w:val="fr-FR"/>
        </w:rPr>
        <w:t>des dangers principaux posés</w:t>
      </w:r>
      <w:r w:rsidRPr="00154472">
        <w:rPr>
          <w:lang w:val="fr-FR"/>
        </w:rPr>
        <w:t xml:space="preserve"> par les autres marchandises dangereuses présentes dans l’objet. Lorsqu’une seule marchandise dangereuse est présente dans l’objet, les dangers subsidiaires doivent être ceux identifiés par les étiquettes de dangers subsidiaires en colonne (5) du tableau A du chapitre 3.2</w:t>
      </w:r>
      <w:r>
        <w:rPr>
          <w:lang w:val="fr-FR"/>
        </w:rPr>
        <w:t xml:space="preserve"> le cas échéant</w:t>
      </w:r>
      <w:r w:rsidRPr="00154472">
        <w:rPr>
          <w:lang w:val="fr-FR"/>
        </w:rPr>
        <w:t>. Si l’objet contient plusieurs marchandises dangereuses, et que celles-ci peuvent réagir dangereusement entre elles durant le transport, chacune d’elles doit être enfe</w:t>
      </w:r>
      <w:r>
        <w:rPr>
          <w:lang w:val="fr-FR"/>
        </w:rPr>
        <w:t>rmée séparément (voir 4.1.1.6). ».</w:t>
      </w:r>
    </w:p>
    <w:p w14:paraId="06CEC070" w14:textId="255101EA" w:rsidR="00B33C4A" w:rsidRDefault="007A7A2C" w:rsidP="004F5D7D">
      <w:pPr>
        <w:pStyle w:val="SingleTxtG"/>
        <w:rPr>
          <w:i/>
        </w:rPr>
      </w:pPr>
      <w:r>
        <w:rPr>
          <w:i/>
        </w:rPr>
        <w:t>(Reference : Option 2</w:t>
      </w:r>
      <w:r w:rsidR="00154FAC">
        <w:rPr>
          <w:i/>
        </w:rPr>
        <w:t xml:space="preserve"> du document </w:t>
      </w:r>
      <w:r w:rsidR="00154FAC">
        <w:rPr>
          <w:i/>
          <w:iCs/>
        </w:rPr>
        <w:t>ECE/TRANS/WP.15/AC.1/2017/26/Add.1</w:t>
      </w:r>
      <w:r>
        <w:rPr>
          <w:i/>
        </w:rPr>
        <w:t>, telle que modifiée)</w:t>
      </w:r>
    </w:p>
    <w:p w14:paraId="44B93DE3" w14:textId="77777777" w:rsidR="007A7A2C" w:rsidRDefault="007A7A2C" w:rsidP="00B50C0C">
      <w:pPr>
        <w:pStyle w:val="H23G"/>
        <w:rPr>
          <w:lang w:val="fr-FR"/>
        </w:rPr>
      </w:pPr>
      <w:r w:rsidRPr="00884179">
        <w:rPr>
          <w:lang w:val="fr-FR"/>
        </w:rPr>
        <w:tab/>
      </w:r>
      <w:r w:rsidRPr="00884179">
        <w:rPr>
          <w:lang w:val="fr-FR"/>
        </w:rPr>
        <w:tab/>
        <w:t xml:space="preserve">Chapitre </w:t>
      </w:r>
      <w:r>
        <w:rPr>
          <w:lang w:val="fr-FR"/>
        </w:rPr>
        <w:t>2.2</w:t>
      </w:r>
    </w:p>
    <w:p w14:paraId="118805F5" w14:textId="77777777" w:rsidR="009C6D99" w:rsidRPr="00425ADF" w:rsidRDefault="009C6D99" w:rsidP="009C6D99">
      <w:pPr>
        <w:pStyle w:val="SingleTxtG"/>
      </w:pPr>
      <w:r w:rsidRPr="00425ADF">
        <w:rPr>
          <w:lang w:val="fr-FR"/>
        </w:rPr>
        <w:t>2.2.1.1.1 c)</w:t>
      </w:r>
      <w:r w:rsidRPr="00425ADF">
        <w:rPr>
          <w:lang w:val="fr-FR"/>
        </w:rPr>
        <w:tab/>
      </w:r>
      <w:r w:rsidRPr="00425ADF">
        <w:t>L’amendement prend la teneur suivante:</w:t>
      </w:r>
    </w:p>
    <w:p w14:paraId="2A594F56" w14:textId="77777777" w:rsidR="009C6D99" w:rsidRPr="00425ADF" w:rsidRDefault="009C6D99" w:rsidP="009C6D99">
      <w:pPr>
        <w:pStyle w:val="SingleTxtG"/>
        <w:rPr>
          <w:lang w:val="fr-FR"/>
        </w:rPr>
      </w:pPr>
      <w:r w:rsidRPr="00425ADF">
        <w:rPr>
          <w:lang w:val="fr-FR"/>
        </w:rPr>
        <w:t>« 2.2.1.1.1 c)</w:t>
      </w:r>
      <w:r w:rsidRPr="00425ADF">
        <w:rPr>
          <w:lang w:val="fr-FR"/>
        </w:rPr>
        <w:tab/>
        <w:t>Remplacer « un effet pratique par explosion ou à des fins pyrotechniques » par « un effet pratique explosif ou pyrotechnique ».</w:t>
      </w:r>
    </w:p>
    <w:p w14:paraId="3F456D16" w14:textId="77777777" w:rsidR="009C6D99" w:rsidRDefault="009C6D99" w:rsidP="009C6D99">
      <w:pPr>
        <w:pStyle w:val="SingleTxtG"/>
        <w:rPr>
          <w:lang w:val="fr-FR"/>
        </w:rPr>
      </w:pPr>
      <w:r w:rsidRPr="00425ADF">
        <w:rPr>
          <w:lang w:val="fr-FR"/>
        </w:rPr>
        <w:t>2.2.3.3</w:t>
      </w:r>
      <w:r w:rsidRPr="00425ADF">
        <w:rPr>
          <w:lang w:val="fr-FR"/>
        </w:rPr>
        <w:tab/>
      </w:r>
      <w:r w:rsidRPr="00425ADF">
        <w:rPr>
          <w:lang w:val="fr-FR"/>
        </w:rPr>
        <w:tab/>
        <w:t>À la fin, remplacer « OBJETS CONTENANT DES LIQUIDES INFLAMMABLES » par « OBJETS CONTENANT DU LIQUIDE INFLAMMABLE ».</w:t>
      </w:r>
    </w:p>
    <w:p w14:paraId="2B7B4BE7" w14:textId="77777777" w:rsidR="007A7A2C" w:rsidRDefault="007A7A2C" w:rsidP="007A7A2C">
      <w:pPr>
        <w:pStyle w:val="SingleTxtG"/>
      </w:pPr>
      <w:r w:rsidRPr="001F4044">
        <w:rPr>
          <w:lang w:val="fr-FR"/>
        </w:rPr>
        <w:t>2.2.51.2.2</w:t>
      </w:r>
      <w:r w:rsidRPr="001F4044">
        <w:rPr>
          <w:lang w:val="fr-FR"/>
        </w:rPr>
        <w:tab/>
      </w:r>
      <w:r w:rsidRPr="001F4044">
        <w:t>L’amendement prend la teneur suivante:</w:t>
      </w:r>
    </w:p>
    <w:p w14:paraId="341B9C15" w14:textId="77777777" w:rsidR="007A7A2C" w:rsidRDefault="007A7A2C" w:rsidP="007A7A2C">
      <w:pPr>
        <w:pStyle w:val="SingleTxtG"/>
      </w:pPr>
      <w:r>
        <w:t>« 2.2.51.2.2</w:t>
      </w:r>
      <w:r>
        <w:tab/>
        <w:t>Remplacer le treizième tiret par le texte suivant :</w:t>
      </w:r>
    </w:p>
    <w:p w14:paraId="223FB031" w14:textId="77777777" w:rsidR="007A7A2C" w:rsidRDefault="007A7A2C" w:rsidP="007A7A2C">
      <w:pPr>
        <w:pStyle w:val="SingleTxtG"/>
      </w:pPr>
      <w:r>
        <w:t>« −</w:t>
      </w:r>
      <w:r>
        <w:tab/>
        <w:t>Les engrais au nitrate d’ammonium dont les compositions mènent aux cases de sortie 4, 6, 8, 15, 31 ou 33 du diagramme de décision du paragraphe 39.5.1 du Manuel d’épreuves et de critères, troisième partie, section 39, à moins qu’un numéro ONU approprié de la classe 1 ne leur ait été affecté;</w:t>
      </w:r>
    </w:p>
    <w:p w14:paraId="0057041F" w14:textId="77777777" w:rsidR="007A7A2C" w:rsidRDefault="007A7A2C" w:rsidP="007A7A2C">
      <w:pPr>
        <w:pStyle w:val="SingleTxtG"/>
      </w:pPr>
      <w:r>
        <w:t>−</w:t>
      </w:r>
      <w:r>
        <w:tab/>
        <w:t>Les engrais au nitrate d’ammonium dont les compositions mènent aux cases de sortie 20, 23 ou 39 du diagramme de décision du paragraphe 39.5.1 du Manuel d’épreuves et de critères, troisième partie, section 39, à moins qu’un numéro ONU approprié de la classe 1 ne leur ait été affecté ou, à condition que l’aptitude au transport ait été démontrée et que ceci ait été approuvé par l’autorité compétente, un numéro ONU approprié de la classe 5.1 autre que le numéro ONU 2067; ». ».</w:t>
      </w:r>
    </w:p>
    <w:p w14:paraId="4FCDB5BE" w14:textId="77777777" w:rsidR="003F641B" w:rsidRPr="00A040C9" w:rsidRDefault="003F641B" w:rsidP="003F641B">
      <w:pPr>
        <w:pStyle w:val="SingleTxtG"/>
      </w:pPr>
      <w:r>
        <w:t xml:space="preserve">L’amendement figurant en annexe est supprimé. </w:t>
      </w:r>
    </w:p>
    <w:p w14:paraId="2545D535" w14:textId="5C6E9F90" w:rsidR="007A7A2C" w:rsidRDefault="007A7A2C" w:rsidP="003F641B">
      <w:pPr>
        <w:pStyle w:val="SingleTxtG"/>
        <w:rPr>
          <w:i/>
        </w:rPr>
      </w:pPr>
      <w:r w:rsidRPr="001F4044">
        <w:rPr>
          <w:i/>
        </w:rPr>
        <w:t>(Document de référence : ECE/TRANS/WP.15/AC.1/2017/35 tel que modifié par le document informel INF.12)</w:t>
      </w:r>
    </w:p>
    <w:p w14:paraId="31ACADB0" w14:textId="7DCEF550" w:rsidR="00D6564E" w:rsidRDefault="00D6564E" w:rsidP="00D6564E">
      <w:pPr>
        <w:pStyle w:val="SingleTxtG"/>
      </w:pPr>
      <w:r>
        <w:t>2.2.8.1.6.3.2</w:t>
      </w:r>
      <w:r>
        <w:tab/>
      </w:r>
      <w:r w:rsidR="00154FAC">
        <w:tab/>
      </w:r>
      <w:r>
        <w:t>Modifier pour lire comme suit :</w:t>
      </w:r>
    </w:p>
    <w:p w14:paraId="489012DA" w14:textId="77777777" w:rsidR="00D6564E" w:rsidRDefault="00D6564E" w:rsidP="00D6564E">
      <w:pPr>
        <w:pStyle w:val="SingleTxtG"/>
        <w:rPr>
          <w:lang w:val="fr-FR"/>
        </w:rPr>
      </w:pPr>
      <w:r>
        <w:t>« 2.2.8.1.6.3.2</w:t>
      </w:r>
      <w:r>
        <w:tab/>
        <w:t>Lors de l’utilisation de la méthode de calcul, il faut tenir compte de tous les composants de la classe 8 présents dans le mélange à une concentration ≥ 1%, ou à &lt; 1% s’il est toujours pertinent de tenir compte de ces composants aux fins de classification du mélange comme corrosif pour la peau. ». </w:t>
      </w:r>
    </w:p>
    <w:p w14:paraId="031111B9" w14:textId="77777777" w:rsidR="007A7A2C" w:rsidRDefault="007A7A2C" w:rsidP="007A7A2C">
      <w:pPr>
        <w:pStyle w:val="SingleTxtG"/>
      </w:pPr>
      <w:r>
        <w:t>Avant 2.2.8.2, remplacer « </w:t>
      </w:r>
      <w:r w:rsidRPr="00154472">
        <w:rPr>
          <w:i/>
          <w:lang w:val="fr-FR"/>
        </w:rPr>
        <w:t>[2.2.8.1.9 et Nota</w:t>
      </w:r>
      <w:r w:rsidRPr="00154472">
        <w:rPr>
          <w:i/>
          <w:lang w:val="fr-FR"/>
        </w:rPr>
        <w:tab/>
        <w:t>Texte existant inchangé.]</w:t>
      </w:r>
      <w:r>
        <w:t> » par :</w:t>
      </w:r>
    </w:p>
    <w:p w14:paraId="40E1A24D" w14:textId="77777777" w:rsidR="007A7A2C" w:rsidRDefault="007A7A2C" w:rsidP="007A7A2C">
      <w:pPr>
        <w:pStyle w:val="SingleTxtG"/>
        <w:rPr>
          <w:i/>
        </w:rPr>
      </w:pPr>
      <w:r>
        <w:t xml:space="preserve">« 2.2.8.1.9 </w:t>
      </w:r>
      <w:r>
        <w:tab/>
      </w:r>
      <w:r>
        <w:rPr>
          <w:i/>
        </w:rPr>
        <w:t>(Supprimé)</w:t>
      </w:r>
    </w:p>
    <w:p w14:paraId="2B1C3161" w14:textId="77777777" w:rsidR="007A7A2C" w:rsidRDefault="007A7A2C" w:rsidP="007A7A2C">
      <w:pPr>
        <w:pStyle w:val="SingleTxtG"/>
        <w:rPr>
          <w:i/>
        </w:rPr>
      </w:pPr>
      <w:r>
        <w:rPr>
          <w:i/>
        </w:rPr>
        <w:lastRenderedPageBreak/>
        <w:t>Nota existant avant 2.2.8.2 inchangé.</w:t>
      </w:r>
      <w:r w:rsidRPr="00EC2F28">
        <w:t> »</w:t>
      </w:r>
      <w:r>
        <w:t>.</w:t>
      </w:r>
    </w:p>
    <w:p w14:paraId="739F12B4" w14:textId="77777777" w:rsidR="007A7A2C" w:rsidRPr="00EC2F28" w:rsidRDefault="007A7A2C" w:rsidP="007A7A2C">
      <w:pPr>
        <w:pStyle w:val="SingleTxtG"/>
        <w:rPr>
          <w:lang w:val="fr-FR"/>
        </w:rPr>
      </w:pPr>
      <w:r>
        <w:rPr>
          <w:lang w:val="fr-FR"/>
        </w:rPr>
        <w:t>2.2.8.2</w:t>
      </w:r>
      <w:r>
        <w:rPr>
          <w:lang w:val="fr-FR"/>
        </w:rPr>
        <w:tab/>
      </w:r>
      <w:r>
        <w:rPr>
          <w:lang w:val="fr-FR"/>
        </w:rPr>
        <w:tab/>
        <w:t>Modifier pour lire comme suit :</w:t>
      </w:r>
    </w:p>
    <w:p w14:paraId="389D73A2" w14:textId="77777777" w:rsidR="007A7A2C" w:rsidRPr="00154472" w:rsidRDefault="007A7A2C" w:rsidP="007A7A2C">
      <w:pPr>
        <w:spacing w:before="120" w:after="120" w:line="240" w:lineRule="auto"/>
        <w:ind w:left="1134" w:right="1134"/>
        <w:jc w:val="both"/>
        <w:rPr>
          <w:b/>
          <w:i/>
          <w:lang w:val="fr-FR"/>
        </w:rPr>
      </w:pPr>
      <w:r w:rsidRPr="00EC2F28">
        <w:rPr>
          <w:lang w:val="fr-FR"/>
        </w:rPr>
        <w:t>« </w:t>
      </w:r>
      <w:r w:rsidRPr="00154472">
        <w:rPr>
          <w:b/>
          <w:lang w:val="fr-FR"/>
        </w:rPr>
        <w:t xml:space="preserve">2.2.8.2 </w:t>
      </w:r>
      <w:r w:rsidRPr="00154472">
        <w:rPr>
          <w:b/>
          <w:lang w:val="fr-FR"/>
        </w:rPr>
        <w:tab/>
      </w:r>
      <w:r w:rsidRPr="00154472">
        <w:rPr>
          <w:b/>
          <w:i/>
          <w:lang w:val="fr-FR"/>
        </w:rPr>
        <w:t>Matières non acceptées au transport</w:t>
      </w:r>
    </w:p>
    <w:p w14:paraId="0B69EB97" w14:textId="77777777" w:rsidR="007A7A2C" w:rsidRDefault="007A7A2C" w:rsidP="007A7A2C">
      <w:pPr>
        <w:pStyle w:val="SingleTxtG"/>
        <w:rPr>
          <w:i/>
          <w:lang w:val="fr-FR"/>
        </w:rPr>
      </w:pPr>
      <w:r w:rsidRPr="00154472">
        <w:rPr>
          <w:i/>
          <w:lang w:val="fr-FR"/>
        </w:rPr>
        <w:t xml:space="preserve">2.2.8.2.1 et 2.2.8.2.2 </w:t>
      </w:r>
      <w:r w:rsidRPr="00154472">
        <w:rPr>
          <w:i/>
          <w:lang w:val="fr-FR"/>
        </w:rPr>
        <w:tab/>
        <w:t>Texte existant inchangé.</w:t>
      </w:r>
    </w:p>
    <w:p w14:paraId="797FBC3F" w14:textId="77777777" w:rsidR="007A7A2C" w:rsidRPr="00B9117C" w:rsidRDefault="007A7A2C" w:rsidP="007A7A2C">
      <w:pPr>
        <w:pStyle w:val="SingleTxtG"/>
        <w:rPr>
          <w:lang w:val="fr-FR"/>
        </w:rPr>
      </w:pPr>
      <w:r w:rsidRPr="00505844">
        <w:rPr>
          <w:i/>
          <w:lang w:val="fr-FR"/>
        </w:rPr>
        <w:t>2.2.8.3</w:t>
      </w:r>
      <w:r w:rsidRPr="00505844">
        <w:rPr>
          <w:i/>
          <w:lang w:val="fr-FR"/>
        </w:rPr>
        <w:tab/>
      </w:r>
      <w:r>
        <w:rPr>
          <w:i/>
          <w:lang w:val="fr-FR"/>
        </w:rPr>
        <w:tab/>
      </w:r>
      <w:r w:rsidRPr="00505844">
        <w:rPr>
          <w:i/>
          <w:lang w:val="fr-FR"/>
        </w:rPr>
        <w:t xml:space="preserve">Texte existant avec la modification suivante : </w:t>
      </w:r>
      <w:r w:rsidRPr="00505844">
        <w:rPr>
          <w:i/>
          <w:lang w:val="fr-FR" w:eastAsia="en-GB"/>
        </w:rPr>
        <w:t>Dans la « </w:t>
      </w:r>
      <w:r w:rsidRPr="00505844">
        <w:rPr>
          <w:i/>
          <w:iCs/>
          <w:lang w:val="fr-FR"/>
        </w:rPr>
        <w:t>Liste des rubriques collectives »,</w:t>
      </w:r>
      <w:r w:rsidRPr="00505844">
        <w:rPr>
          <w:i/>
          <w:lang w:val="fr-FR"/>
        </w:rPr>
        <w:t xml:space="preserve"> pour « Objets C11 », ajouter « 3547 OBJETS CONTENANT DE LA MATIÈRE CORROSIVE, N.S.A. ».</w:t>
      </w:r>
      <w:r>
        <w:rPr>
          <w:lang w:val="fr-FR"/>
        </w:rPr>
        <w:t> ».</w:t>
      </w:r>
    </w:p>
    <w:p w14:paraId="3465A629" w14:textId="77777777" w:rsidR="007A7A2C" w:rsidRPr="00425ADF" w:rsidRDefault="007A7A2C" w:rsidP="00B50C0C">
      <w:pPr>
        <w:pStyle w:val="H23G"/>
        <w:rPr>
          <w:lang w:val="fr-FR"/>
        </w:rPr>
      </w:pPr>
      <w:r w:rsidRPr="00884179">
        <w:rPr>
          <w:lang w:val="fr-FR"/>
        </w:rPr>
        <w:tab/>
      </w:r>
      <w:r>
        <w:rPr>
          <w:lang w:val="fr-FR"/>
        </w:rPr>
        <w:tab/>
      </w:r>
      <w:r w:rsidRPr="00425ADF">
        <w:rPr>
          <w:lang w:val="fr-FR"/>
        </w:rPr>
        <w:t xml:space="preserve">Chapitre </w:t>
      </w:r>
      <w:r>
        <w:rPr>
          <w:lang w:val="fr-FR"/>
        </w:rPr>
        <w:t>3.2</w:t>
      </w:r>
    </w:p>
    <w:p w14:paraId="3AA454AD" w14:textId="77777777" w:rsidR="007A7A2C" w:rsidRDefault="007A7A2C" w:rsidP="007A7A2C">
      <w:pPr>
        <w:pStyle w:val="SingleTxtG"/>
      </w:pPr>
      <w:r>
        <w:rPr>
          <w:lang w:val="fr-FR"/>
        </w:rPr>
        <w:t>3.2.1</w:t>
      </w:r>
      <w:r w:rsidRPr="00425ADF">
        <w:rPr>
          <w:lang w:val="fr-FR"/>
        </w:rPr>
        <w:tab/>
      </w:r>
      <w:r>
        <w:t xml:space="preserve">Le premier </w:t>
      </w:r>
      <w:r w:rsidRPr="00425ADF">
        <w:t>amendement prend la teneur suivante:</w:t>
      </w:r>
    </w:p>
    <w:p w14:paraId="4D514C42" w14:textId="627AB55F" w:rsidR="007A7A2C" w:rsidRDefault="007A7A2C" w:rsidP="007A7A2C">
      <w:pPr>
        <w:pStyle w:val="SingleTxtG"/>
        <w:rPr>
          <w:lang w:val="fr-FR"/>
        </w:rPr>
      </w:pPr>
      <w:r>
        <w:t>« 3.2.1</w:t>
      </w:r>
      <w:r>
        <w:tab/>
      </w:r>
      <w:r>
        <w:tab/>
      </w:r>
      <w:r w:rsidRPr="00154472">
        <w:rPr>
          <w:lang w:val="fr-FR"/>
        </w:rPr>
        <w:t xml:space="preserve">Dans l’explication </w:t>
      </w:r>
      <w:r w:rsidR="001F4613">
        <w:rPr>
          <w:lang w:val="fr-FR"/>
        </w:rPr>
        <w:t>relative à</w:t>
      </w:r>
      <w:r w:rsidR="001F4613" w:rsidRPr="00154472">
        <w:rPr>
          <w:lang w:val="fr-FR"/>
        </w:rPr>
        <w:t xml:space="preserve"> </w:t>
      </w:r>
      <w:r w:rsidRPr="00154472">
        <w:rPr>
          <w:lang w:val="fr-FR"/>
        </w:rPr>
        <w:t>la colonne (15), ajouter la nouvelle deuxième phrase suivante : « La mention "-" indique qu'aucun</w:t>
      </w:r>
      <w:r>
        <w:rPr>
          <w:lang w:val="fr-FR"/>
        </w:rPr>
        <w:t>e</w:t>
      </w:r>
      <w:r w:rsidRPr="00154472">
        <w:rPr>
          <w:lang w:val="fr-FR"/>
        </w:rPr>
        <w:t xml:space="preserve"> </w:t>
      </w:r>
      <w:r>
        <w:rPr>
          <w:lang w:val="fr-FR"/>
        </w:rPr>
        <w:t xml:space="preserve">catégorie de transport </w:t>
      </w:r>
      <w:r w:rsidRPr="00154472">
        <w:rPr>
          <w:lang w:val="fr-FR"/>
        </w:rPr>
        <w:t>n'a été affecté</w:t>
      </w:r>
      <w:r>
        <w:rPr>
          <w:lang w:val="fr-FR"/>
        </w:rPr>
        <w:t>e</w:t>
      </w:r>
      <w:r w:rsidRPr="00154472">
        <w:rPr>
          <w:lang w:val="fr-FR"/>
        </w:rPr>
        <w:t>. ».</w:t>
      </w:r>
      <w:r>
        <w:rPr>
          <w:lang w:val="fr-FR"/>
        </w:rPr>
        <w:t> ».</w:t>
      </w:r>
    </w:p>
    <w:p w14:paraId="42E770E5" w14:textId="77777777" w:rsidR="009C6D99" w:rsidRDefault="009C6D99" w:rsidP="004F5D7D">
      <w:pPr>
        <w:pStyle w:val="SingleTxtG"/>
        <w:rPr>
          <w:lang w:val="fr-FR"/>
        </w:rPr>
      </w:pPr>
      <w:r>
        <w:rPr>
          <w:lang w:val="fr-FR"/>
        </w:rPr>
        <w:t>3.2.2</w:t>
      </w:r>
      <w:r>
        <w:rPr>
          <w:lang w:val="fr-FR"/>
        </w:rPr>
        <w:tab/>
        <w:t>Dans le tableau, remplacer « 2.1 », « 2.2 » et « 2.3 » par « 2 ».</w:t>
      </w:r>
    </w:p>
    <w:p w14:paraId="43E2D0C4" w14:textId="77777777" w:rsidR="007A7A2C" w:rsidRDefault="007A7A2C" w:rsidP="00B50C0C">
      <w:pPr>
        <w:pStyle w:val="H23G"/>
        <w:rPr>
          <w:lang w:val="fr-FR"/>
        </w:rPr>
      </w:pPr>
      <w:r w:rsidRPr="00425ADF">
        <w:rPr>
          <w:lang w:val="fr-FR"/>
        </w:rPr>
        <w:tab/>
      </w:r>
      <w:r w:rsidRPr="00425ADF">
        <w:rPr>
          <w:lang w:val="fr-FR"/>
        </w:rPr>
        <w:tab/>
        <w:t xml:space="preserve">Chapitre </w:t>
      </w:r>
      <w:r>
        <w:rPr>
          <w:lang w:val="fr-FR"/>
        </w:rPr>
        <w:t>3.3</w:t>
      </w:r>
    </w:p>
    <w:p w14:paraId="6F6FC54B" w14:textId="761E8688" w:rsidR="00C71688" w:rsidRDefault="00C71688" w:rsidP="00C71688">
      <w:pPr>
        <w:pStyle w:val="SingleTxtG"/>
        <w:rPr>
          <w:lang w:val="fr-FR"/>
        </w:rPr>
      </w:pPr>
      <w:r>
        <w:rPr>
          <w:lang w:val="fr-FR"/>
        </w:rPr>
        <w:t>L’amendement à la disposition spéciale 188 c) prend la teneur suivante :</w:t>
      </w:r>
    </w:p>
    <w:p w14:paraId="2DF0C323" w14:textId="77777777" w:rsidR="00C71688" w:rsidRDefault="00C71688" w:rsidP="00C71688">
      <w:pPr>
        <w:pStyle w:val="SingleTxtG"/>
        <w:rPr>
          <w:lang w:val="fr-FR"/>
        </w:rPr>
      </w:pPr>
      <w:r>
        <w:rPr>
          <w:lang w:val="fr-FR"/>
        </w:rPr>
        <w:t>« </w:t>
      </w:r>
      <w:r w:rsidRPr="00154472">
        <w:rPr>
          <w:lang w:val="fr-FR"/>
        </w:rPr>
        <w:t>Disposition spéciale 188 c)</w:t>
      </w:r>
      <w:r w:rsidRPr="00154472">
        <w:rPr>
          <w:lang w:val="fr-FR"/>
        </w:rPr>
        <w:tab/>
        <w:t xml:space="preserve">Remplacer « 2.2.9.1.7 a) et e) » par « 2.2.9.1.7 a), e), f) </w:t>
      </w:r>
      <w:r>
        <w:rPr>
          <w:lang w:val="fr-FR"/>
        </w:rPr>
        <w:t xml:space="preserve">le cas échéant </w:t>
      </w:r>
      <w:r w:rsidRPr="00154472">
        <w:rPr>
          <w:lang w:val="fr-FR"/>
        </w:rPr>
        <w:t>et g) ».</w:t>
      </w:r>
      <w:r>
        <w:rPr>
          <w:lang w:val="fr-FR"/>
        </w:rPr>
        <w:t> ».</w:t>
      </w:r>
    </w:p>
    <w:p w14:paraId="6B9616AD" w14:textId="77777777" w:rsidR="00C71688" w:rsidRDefault="00C71688" w:rsidP="00C71688">
      <w:pPr>
        <w:pStyle w:val="SingleTxtG"/>
        <w:rPr>
          <w:iCs/>
          <w:lang w:val="fr-FR"/>
        </w:rPr>
      </w:pPr>
      <w:r>
        <w:t>Disposition spéciale 301</w:t>
      </w:r>
      <w:r>
        <w:tab/>
        <w:t>Dans le texte français, supprimer « </w:t>
      </w:r>
      <w:r w:rsidRPr="00154472">
        <w:rPr>
          <w:iCs/>
          <w:lang w:val="fr-FR"/>
        </w:rPr>
        <w:t>Si les machines ou appareils contiennent plusieurs de ces marchandises dangereuses, elles ne doivent pas pouvoir réagir dangereusement entre elles (voir 4.1.1.6).</w:t>
      </w:r>
      <w:r>
        <w:rPr>
          <w:iCs/>
          <w:lang w:val="fr-FR"/>
        </w:rPr>
        <w:t> ».</w:t>
      </w:r>
    </w:p>
    <w:p w14:paraId="77F0CD3A" w14:textId="77777777" w:rsidR="00C71688" w:rsidRDefault="00C71688" w:rsidP="00C71688">
      <w:pPr>
        <w:pStyle w:val="SingleTxtG"/>
        <w:rPr>
          <w:i/>
          <w:lang w:val="fr-FR"/>
        </w:rPr>
      </w:pPr>
      <w:r>
        <w:rPr>
          <w:i/>
          <w:lang w:val="fr-FR"/>
        </w:rPr>
        <w:t>(Document de référence : document informel INF.16)</w:t>
      </w:r>
    </w:p>
    <w:p w14:paraId="6F654DE3" w14:textId="77777777" w:rsidR="00060A62" w:rsidRDefault="00060A62" w:rsidP="00060A62">
      <w:pPr>
        <w:pStyle w:val="SingleTxtG"/>
        <w:rPr>
          <w:lang w:val="fr-FR"/>
        </w:rPr>
      </w:pPr>
      <w:r>
        <w:rPr>
          <w:lang w:val="fr-FR"/>
        </w:rPr>
        <w:t>Disposition spéciale 301</w:t>
      </w:r>
      <w:r>
        <w:rPr>
          <w:lang w:val="fr-FR"/>
        </w:rPr>
        <w:tab/>
        <w:t>Supprimer la dernière phrase.</w:t>
      </w:r>
    </w:p>
    <w:p w14:paraId="6BFE16F0" w14:textId="699B722C" w:rsidR="002A6A6B" w:rsidRDefault="002A6A6B" w:rsidP="00060A62">
      <w:pPr>
        <w:pStyle w:val="SingleTxtG"/>
        <w:rPr>
          <w:i/>
          <w:lang w:val="fr-FR"/>
        </w:rPr>
      </w:pPr>
      <w:r>
        <w:t>[Disposition spéciale 301</w:t>
      </w:r>
      <w:r>
        <w:tab/>
        <w:t>Insérer le Nota suivant à la fin de la disposition spéciale 301 :</w:t>
      </w:r>
    </w:p>
    <w:p w14:paraId="0DC2F28C" w14:textId="4C4E9061" w:rsidR="002A6A6B" w:rsidRPr="00EA31EE" w:rsidRDefault="002A6A6B" w:rsidP="004722E8">
      <w:pPr>
        <w:pStyle w:val="SingleTxtG"/>
      </w:pPr>
      <w:r w:rsidRPr="00E048B7">
        <w:t>« </w:t>
      </w:r>
      <w:r w:rsidR="00DD696C" w:rsidRPr="00154FAC">
        <w:rPr>
          <w:b/>
          <w:i/>
        </w:rPr>
        <w:t>NOTA</w:t>
      </w:r>
      <w:r w:rsidRPr="00154FAC">
        <w:rPr>
          <w:b/>
          <w:i/>
        </w:rPr>
        <w:t>:</w:t>
      </w:r>
      <w:r w:rsidRPr="00154FAC">
        <w:rPr>
          <w:i/>
        </w:rPr>
        <w:t xml:space="preserve"> </w:t>
      </w:r>
      <w:r w:rsidR="00DD696C" w:rsidRPr="00E048B7">
        <w:rPr>
          <w:i/>
        </w:rPr>
        <w:t xml:space="preserve">Dans cette disposition spéciale, </w:t>
      </w:r>
      <w:r w:rsidR="00E048B7">
        <w:rPr>
          <w:i/>
        </w:rPr>
        <w:t>l’expression</w:t>
      </w:r>
      <w:r w:rsidR="00DD696C" w:rsidRPr="00E048B7">
        <w:rPr>
          <w:i/>
        </w:rPr>
        <w:t xml:space="preserve"> « </w:t>
      </w:r>
      <w:r w:rsidR="00E048B7" w:rsidRPr="00E048B7">
        <w:rPr>
          <w:i/>
        </w:rPr>
        <w:t>qui font déjà l’objet d’une désignation officielle de transport</w:t>
      </w:r>
      <w:r w:rsidR="00DD696C" w:rsidRPr="00E048B7">
        <w:rPr>
          <w:i/>
        </w:rPr>
        <w:t xml:space="preserve"> » n’inclut pas les rubriques spécifiques </w:t>
      </w:r>
      <w:r w:rsidR="00BB5FE0">
        <w:rPr>
          <w:i/>
        </w:rPr>
        <w:t>n.s.a</w:t>
      </w:r>
      <w:r w:rsidR="00060A62">
        <w:rPr>
          <w:i/>
        </w:rPr>
        <w:t>.</w:t>
      </w:r>
      <w:r w:rsidR="00DD696C" w:rsidRPr="00E048B7">
        <w:rPr>
          <w:i/>
        </w:rPr>
        <w:t xml:space="preserve"> pour les Nos. ONU 3537 à 3548</w:t>
      </w:r>
      <w:r w:rsidRPr="00E048B7">
        <w:rPr>
          <w:i/>
        </w:rPr>
        <w:t>.».</w:t>
      </w:r>
      <w:r w:rsidRPr="00E048B7">
        <w:t xml:space="preserve"> ]</w:t>
      </w:r>
    </w:p>
    <w:p w14:paraId="0ADF93FE" w14:textId="77777777" w:rsidR="002A6A6B" w:rsidRPr="00505844" w:rsidRDefault="002A6A6B" w:rsidP="002A6A6B">
      <w:pPr>
        <w:pStyle w:val="SingleTxtG"/>
        <w:rPr>
          <w:i/>
        </w:rPr>
      </w:pPr>
      <w:r>
        <w:rPr>
          <w:i/>
        </w:rPr>
        <w:t>(Document de référence : document informel INF.47)</w:t>
      </w:r>
    </w:p>
    <w:p w14:paraId="5E996DF2" w14:textId="77777777" w:rsidR="003F641B" w:rsidRDefault="003F641B" w:rsidP="003F641B">
      <w:pPr>
        <w:pStyle w:val="SingleTxtG"/>
      </w:pPr>
      <w:r>
        <w:t>Disposition spéciale 307</w:t>
      </w:r>
      <w:r>
        <w:tab/>
        <w:t>À la fin de la deuxième phrase, après « section 39 », ajouter « </w:t>
      </w:r>
      <w:r w:rsidRPr="00A040C9">
        <w:t>sous réserve des restrictions du 2.2.51.2.2, treizième tiret</w:t>
      </w:r>
      <w:r>
        <w:t> ».</w:t>
      </w:r>
    </w:p>
    <w:p w14:paraId="3F1BC1C5" w14:textId="77777777" w:rsidR="003F641B" w:rsidRPr="00EA740F" w:rsidRDefault="003F641B" w:rsidP="003F641B">
      <w:pPr>
        <w:pStyle w:val="SingleTxtG"/>
        <w:rPr>
          <w:i/>
        </w:rPr>
      </w:pPr>
      <w:r>
        <w:rPr>
          <w:i/>
        </w:rPr>
        <w:t>(Amendement de conséquence)</w:t>
      </w:r>
    </w:p>
    <w:p w14:paraId="4D10A8BD" w14:textId="77777777" w:rsidR="00F75EA9" w:rsidRDefault="00F75EA9" w:rsidP="00F75EA9">
      <w:pPr>
        <w:pStyle w:val="SingleTxtG"/>
        <w:rPr>
          <w:lang w:val="fr-FR"/>
        </w:rPr>
      </w:pPr>
      <w:r>
        <w:rPr>
          <w:lang w:val="fr-FR"/>
        </w:rPr>
        <w:t>Disposition spéciale 376</w:t>
      </w:r>
      <w:r>
        <w:rPr>
          <w:lang w:val="fr-FR"/>
        </w:rPr>
        <w:tab/>
        <w:t>Dans le texte modifié, à la fin du deuxième paragraphe, après « prescriptions techniques de l’OACI. », ajouter « </w:t>
      </w:r>
      <w:r w:rsidRPr="00AB2005">
        <w:rPr>
          <w:lang w:val="fr-FR"/>
        </w:rPr>
        <w:t xml:space="preserve">Dans </w:t>
      </w:r>
      <w:r>
        <w:rPr>
          <w:lang w:val="fr-FR"/>
        </w:rPr>
        <w:t>les deux</w:t>
      </w:r>
      <w:r w:rsidRPr="00AB2005">
        <w:rPr>
          <w:lang w:val="fr-FR"/>
        </w:rPr>
        <w:t xml:space="preserve"> cas, les piles et</w:t>
      </w:r>
      <w:r>
        <w:rPr>
          <w:lang w:val="fr-FR"/>
        </w:rPr>
        <w:t xml:space="preserve"> </w:t>
      </w:r>
      <w:r w:rsidRPr="00AB2005">
        <w:rPr>
          <w:lang w:val="fr-FR"/>
        </w:rPr>
        <w:t>batteries sont affectées à la catégorie de transport 0.</w:t>
      </w:r>
      <w:r>
        <w:rPr>
          <w:lang w:val="fr-FR"/>
        </w:rPr>
        <w:t> ». Dans le texte français, à la fin, remplacer « l’agrément » par « l’approbation ».</w:t>
      </w:r>
    </w:p>
    <w:p w14:paraId="13263986" w14:textId="77777777" w:rsidR="00F75EA9" w:rsidRDefault="00F75EA9" w:rsidP="00F75EA9">
      <w:pPr>
        <w:pStyle w:val="SingleTxtG"/>
        <w:rPr>
          <w:i/>
          <w:lang w:val="fr-FR"/>
        </w:rPr>
      </w:pPr>
      <w:r>
        <w:rPr>
          <w:i/>
          <w:lang w:val="fr-FR"/>
        </w:rPr>
        <w:t>(Document de référence : document informel INF.16)</w:t>
      </w:r>
    </w:p>
    <w:p w14:paraId="3C797B82" w14:textId="77777777" w:rsidR="007A7A2C" w:rsidRDefault="007A7A2C" w:rsidP="007A7A2C">
      <w:pPr>
        <w:pStyle w:val="SingleTxtG"/>
        <w:rPr>
          <w:lang w:val="fr-FR"/>
        </w:rPr>
      </w:pPr>
      <w:r>
        <w:rPr>
          <w:lang w:val="fr-FR"/>
        </w:rPr>
        <w:t>Disposition spéciale 387</w:t>
      </w:r>
      <w:r w:rsidRPr="00425ADF">
        <w:rPr>
          <w:lang w:val="fr-FR"/>
        </w:rPr>
        <w:tab/>
      </w:r>
      <w:r>
        <w:t>Au début, remplacer « 2.9.4 » par « </w:t>
      </w:r>
      <w:r w:rsidRPr="00154472">
        <w:rPr>
          <w:lang w:val="fr-FR"/>
        </w:rPr>
        <w:t>2.</w:t>
      </w:r>
      <w:r>
        <w:rPr>
          <w:lang w:val="fr-FR"/>
        </w:rPr>
        <w:t>2.</w:t>
      </w:r>
      <w:r w:rsidRPr="00154472">
        <w:rPr>
          <w:lang w:val="fr-FR"/>
        </w:rPr>
        <w:t>9.</w:t>
      </w:r>
      <w:r>
        <w:rPr>
          <w:lang w:val="fr-FR"/>
        </w:rPr>
        <w:t>1.7 ».</w:t>
      </w:r>
    </w:p>
    <w:p w14:paraId="1B83FC0D" w14:textId="77777777" w:rsidR="007A7A2C" w:rsidRDefault="007A7A2C" w:rsidP="007A7A2C">
      <w:pPr>
        <w:pStyle w:val="SingleTxtG"/>
        <w:rPr>
          <w:lang w:val="fr-FR"/>
        </w:rPr>
      </w:pPr>
      <w:r>
        <w:rPr>
          <w:lang w:val="fr-FR"/>
        </w:rPr>
        <w:t>Disposition spéciale 388</w:t>
      </w:r>
      <w:r w:rsidRPr="00425ADF">
        <w:rPr>
          <w:lang w:val="fr-FR"/>
        </w:rPr>
        <w:tab/>
      </w:r>
      <w:r>
        <w:t>Au début, remplacer « La rubrique » par « </w:t>
      </w:r>
      <w:r>
        <w:rPr>
          <w:lang w:val="fr-FR"/>
        </w:rPr>
        <w:t>Les rubriques ».</w:t>
      </w:r>
    </w:p>
    <w:p w14:paraId="2DBD08EC" w14:textId="77777777" w:rsidR="004722E8" w:rsidRDefault="004722E8" w:rsidP="004722E8">
      <w:pPr>
        <w:pStyle w:val="SingleTxtG"/>
        <w:rPr>
          <w:iCs/>
          <w:lang w:val="fr-FR"/>
        </w:rPr>
      </w:pPr>
      <w:r>
        <w:rPr>
          <w:iCs/>
          <w:lang w:val="fr-FR"/>
        </w:rPr>
        <w:t>Disposition spéciale 389</w:t>
      </w:r>
      <w:r>
        <w:rPr>
          <w:iCs/>
          <w:lang w:val="fr-FR"/>
        </w:rPr>
        <w:tab/>
        <w:t>Modifier le premier paragraphe pour lire comme suit :</w:t>
      </w:r>
    </w:p>
    <w:p w14:paraId="480C123C" w14:textId="3EC5D52F" w:rsidR="004722E8" w:rsidRDefault="004722E8" w:rsidP="004722E8">
      <w:pPr>
        <w:spacing w:before="120" w:after="120" w:line="240" w:lineRule="auto"/>
        <w:ind w:left="1134" w:right="1134"/>
        <w:jc w:val="both"/>
      </w:pPr>
      <w:r>
        <w:rPr>
          <w:iCs/>
          <w:lang w:val="fr-FR"/>
        </w:rPr>
        <w:t>« </w:t>
      </w:r>
      <w:r w:rsidRPr="00154472">
        <w:rPr>
          <w:lang w:val="fr-FR"/>
        </w:rPr>
        <w:t xml:space="preserve">Cette rubrique s’applique uniquement aux </w:t>
      </w:r>
      <w:r>
        <w:rPr>
          <w:lang w:val="fr-FR"/>
        </w:rPr>
        <w:t xml:space="preserve">engins de transport dans lesquels sont installées des </w:t>
      </w:r>
      <w:r w:rsidRPr="00154472">
        <w:rPr>
          <w:lang w:val="fr-FR"/>
        </w:rPr>
        <w:t xml:space="preserve">batteries au lithium ionique ou batteries au lithium métal </w:t>
      </w:r>
      <w:r>
        <w:rPr>
          <w:lang w:val="fr-FR"/>
        </w:rPr>
        <w:t>qui sont</w:t>
      </w:r>
      <w:r w:rsidRPr="001156D6">
        <w:rPr>
          <w:lang w:val="fr-FR"/>
        </w:rPr>
        <w:t xml:space="preserve"> </w:t>
      </w:r>
      <w:r>
        <w:rPr>
          <w:lang w:val="fr-FR"/>
        </w:rPr>
        <w:t>conçu</w:t>
      </w:r>
      <w:r w:rsidRPr="00154472">
        <w:rPr>
          <w:lang w:val="fr-FR"/>
        </w:rPr>
        <w:t>s</w:t>
      </w:r>
      <w:r>
        <w:rPr>
          <w:lang w:val="fr-FR"/>
        </w:rPr>
        <w:t xml:space="preserve"> </w:t>
      </w:r>
      <w:r w:rsidRPr="00154472">
        <w:rPr>
          <w:lang w:val="fr-FR"/>
        </w:rPr>
        <w:lastRenderedPageBreak/>
        <w:t>uniquement pour fournir de l’énergie hors de l’engin. Les batteries au lithium doivent répondre aux dispositions des 2.2.9.1.7 a) à g) et contenir les systèmes nécessaires pour prévenir la surcharge et la décharge excessive des batteries.</w:t>
      </w:r>
      <w:r>
        <w:t> ».</w:t>
      </w:r>
    </w:p>
    <w:p w14:paraId="12247319" w14:textId="77777777" w:rsidR="004722E8" w:rsidRDefault="004722E8" w:rsidP="004722E8">
      <w:pPr>
        <w:pStyle w:val="SingleTxtG"/>
        <w:rPr>
          <w:i/>
          <w:lang w:val="fr-FR"/>
        </w:rPr>
      </w:pPr>
      <w:r w:rsidRPr="00B34E27">
        <w:rPr>
          <w:i/>
          <w:lang w:val="fr-FR"/>
        </w:rPr>
        <w:t>(Document de référence : document informel INF.48)</w:t>
      </w:r>
    </w:p>
    <w:p w14:paraId="1C9B6748" w14:textId="77777777" w:rsidR="0050092C" w:rsidRDefault="0050092C" w:rsidP="0050092C">
      <w:pPr>
        <w:pStyle w:val="SingleTxtG"/>
      </w:pPr>
      <w:r>
        <w:rPr>
          <w:lang w:val="fr-FR"/>
        </w:rPr>
        <w:t>Disposition spéciale 389</w:t>
      </w:r>
      <w:r w:rsidRPr="00425ADF">
        <w:rPr>
          <w:lang w:val="fr-FR"/>
        </w:rPr>
        <w:tab/>
      </w:r>
      <w:r>
        <w:t>Dans la première phrase du deuxième paragraphe, supprimer « fermé ».</w:t>
      </w:r>
    </w:p>
    <w:p w14:paraId="71467C24" w14:textId="77777777" w:rsidR="00A94422" w:rsidRDefault="00A94422" w:rsidP="00A94422">
      <w:pPr>
        <w:pStyle w:val="SingleTxtG"/>
        <w:rPr>
          <w:lang w:val="fr-FR"/>
        </w:rPr>
      </w:pPr>
      <w:r>
        <w:rPr>
          <w:lang w:val="fr-FR"/>
        </w:rPr>
        <w:t>Disposition spéciale 392</w:t>
      </w:r>
      <w:r>
        <w:rPr>
          <w:lang w:val="fr-FR"/>
        </w:rPr>
        <w:tab/>
        <w:t>Dans la première phrase, ajouter « , qui sont approuvés à cette fin » après « </w:t>
      </w:r>
      <w:r w:rsidRPr="00154472">
        <w:rPr>
          <w:lang w:val="fr-FR"/>
        </w:rPr>
        <w:t>installés sur des véhicules automobiles</w:t>
      </w:r>
      <w:r>
        <w:rPr>
          <w:lang w:val="fr-FR"/>
        </w:rPr>
        <w:t> ».</w:t>
      </w:r>
    </w:p>
    <w:p w14:paraId="1B603DC2" w14:textId="77777777" w:rsidR="004722E8" w:rsidRPr="00B34E27" w:rsidRDefault="004722E8" w:rsidP="004722E8">
      <w:pPr>
        <w:pStyle w:val="SingleTxtG"/>
        <w:rPr>
          <w:i/>
          <w:lang w:val="fr-FR"/>
        </w:rPr>
      </w:pPr>
      <w:r>
        <w:rPr>
          <w:iCs/>
          <w:lang w:val="fr-FR"/>
        </w:rPr>
        <w:t>Disposition spéciale 392 f)</w:t>
      </w:r>
      <w:r>
        <w:rPr>
          <w:iCs/>
          <w:lang w:val="fr-FR"/>
        </w:rPr>
        <w:tab/>
        <w:t>Supprimer « f)</w:t>
      </w:r>
      <w:r>
        <w:rPr>
          <w:iCs/>
          <w:lang w:val="fr-FR"/>
        </w:rPr>
        <w:tab/>
      </w:r>
      <w:r>
        <w:rPr>
          <w:i/>
          <w:iCs/>
          <w:lang w:val="fr-FR"/>
        </w:rPr>
        <w:t>(Réservé)</w:t>
      </w:r>
      <w:r>
        <w:rPr>
          <w:iCs/>
          <w:lang w:val="fr-FR"/>
        </w:rPr>
        <w:t> ».</w:t>
      </w:r>
    </w:p>
    <w:p w14:paraId="562DED61" w14:textId="77777777" w:rsidR="007A7A2C" w:rsidRDefault="007A7A2C" w:rsidP="007A7A2C">
      <w:pPr>
        <w:pStyle w:val="SingleTxtG"/>
        <w:rPr>
          <w:lang w:val="fr-FR"/>
        </w:rPr>
      </w:pPr>
      <w:r>
        <w:rPr>
          <w:lang w:val="fr-FR"/>
        </w:rPr>
        <w:t>Disposition spéciale 392</w:t>
      </w:r>
      <w:r>
        <w:rPr>
          <w:lang w:val="fr-FR"/>
        </w:rPr>
        <w:tab/>
        <w:t>Dans le tableau, pour ISO 11439:2013, dans la deuxième colonne, supprimer « et ISO 15500 Véhicules routiers – Systèmes d’alimentation en gaz comprimé (GNC) ».</w:t>
      </w:r>
    </w:p>
    <w:p w14:paraId="3AF87B07" w14:textId="77777777" w:rsidR="007A7A2C" w:rsidRDefault="007A7A2C" w:rsidP="00C71688">
      <w:pPr>
        <w:pStyle w:val="SingleTxtG"/>
        <w:rPr>
          <w:lang w:val="fr-FR"/>
        </w:rPr>
      </w:pPr>
      <w:r>
        <w:rPr>
          <w:lang w:val="fr-FR"/>
        </w:rPr>
        <w:t>Disposition spéciale 392</w:t>
      </w:r>
      <w:r>
        <w:rPr>
          <w:lang w:val="fr-FR"/>
        </w:rPr>
        <w:tab/>
        <w:t>Dans le tableau, pour ISO/TS 15869:2009, dans la deuxième colonne, supprimer « et ISO 13985:2006 Hydrogène liquide – Réservoirs de carburant pour véhicules terrestres ».</w:t>
      </w:r>
    </w:p>
    <w:p w14:paraId="059AF21D" w14:textId="6BFAC402" w:rsidR="00F75EA9" w:rsidRDefault="00F75EA9" w:rsidP="00F75EA9">
      <w:pPr>
        <w:pStyle w:val="SingleTxtG"/>
        <w:rPr>
          <w:lang w:val="fr-FR"/>
        </w:rPr>
      </w:pPr>
      <w:r>
        <w:rPr>
          <w:lang w:val="fr-FR"/>
        </w:rPr>
        <w:t>Disposition spéciale 660</w:t>
      </w:r>
      <w:r>
        <w:rPr>
          <w:lang w:val="fr-FR"/>
        </w:rPr>
        <w:tab/>
        <w:t xml:space="preserve"> </w:t>
      </w:r>
      <w:r w:rsidRPr="009751FA">
        <w:rPr>
          <w:lang w:val="fr-FR"/>
        </w:rPr>
        <w:t>Supprimer l’amendement.</w:t>
      </w:r>
    </w:p>
    <w:p w14:paraId="2446E527" w14:textId="77777777" w:rsidR="007A7A2C" w:rsidRDefault="007A7A2C" w:rsidP="007A7A2C">
      <w:pPr>
        <w:pStyle w:val="SingleTxtG"/>
        <w:rPr>
          <w:iCs/>
          <w:lang w:val="fr-FR"/>
        </w:rPr>
      </w:pPr>
      <w:r>
        <w:rPr>
          <w:iCs/>
          <w:lang w:val="fr-FR"/>
        </w:rPr>
        <w:t>Disposition spéciale 666</w:t>
      </w:r>
      <w:r>
        <w:rPr>
          <w:iCs/>
          <w:lang w:val="fr-FR"/>
        </w:rPr>
        <w:tab/>
        <w:t>Supprimer l’amendement.</w:t>
      </w:r>
    </w:p>
    <w:p w14:paraId="4ED1DFDC" w14:textId="77777777" w:rsidR="007A7A2C" w:rsidRDefault="007A7A2C" w:rsidP="007A7A2C">
      <w:pPr>
        <w:pStyle w:val="SingleTxtG"/>
        <w:rPr>
          <w:iCs/>
          <w:lang w:val="fr-FR"/>
        </w:rPr>
      </w:pPr>
      <w:r>
        <w:rPr>
          <w:iCs/>
          <w:lang w:val="fr-FR"/>
        </w:rPr>
        <w:t>Disposition spéciale 671</w:t>
      </w:r>
      <w:r>
        <w:rPr>
          <w:iCs/>
          <w:lang w:val="fr-FR"/>
        </w:rPr>
        <w:tab/>
        <w:t>Modifier pour lire comme suit :</w:t>
      </w:r>
    </w:p>
    <w:p w14:paraId="6485DAD4" w14:textId="77777777" w:rsidR="007A7A2C" w:rsidRPr="00154472" w:rsidRDefault="007A7A2C" w:rsidP="007A7A2C">
      <w:pPr>
        <w:pStyle w:val="SingleTxtG"/>
        <w:rPr>
          <w:lang w:val="fr-FR"/>
        </w:rPr>
      </w:pPr>
      <w:r>
        <w:rPr>
          <w:iCs/>
          <w:lang w:val="fr-FR"/>
        </w:rPr>
        <w:t>« </w:t>
      </w:r>
      <w:r w:rsidRPr="00154472">
        <w:rPr>
          <w:lang w:val="fr-FR"/>
        </w:rPr>
        <w:t>671</w:t>
      </w:r>
      <w:r w:rsidRPr="00154472">
        <w:rPr>
          <w:lang w:val="fr-FR"/>
        </w:rPr>
        <w:tab/>
        <w:t>Aux fins de la quantité totale maximale admissible par wagon ou grand conteneur / Aux fins des exemptions liées aux quantités transportées par unité de transport (voir 1.1.3.6</w:t>
      </w:r>
      <w:r>
        <w:rPr>
          <w:lang w:val="fr-FR"/>
        </w:rPr>
        <w:t>), la catégorie de transport doit être déterminée en fonction du groupe d’emballage (voir troisième paragraphe de la disposition spéciale 251)</w:t>
      </w:r>
      <w:r w:rsidRPr="00154472">
        <w:rPr>
          <w:lang w:val="fr-FR"/>
        </w:rPr>
        <w:t>:</w:t>
      </w:r>
    </w:p>
    <w:p w14:paraId="7E28E408" w14:textId="77777777" w:rsidR="007A7A2C" w:rsidRPr="00154472" w:rsidRDefault="007A7A2C" w:rsidP="007A7A2C">
      <w:pPr>
        <w:pStyle w:val="SingleTxtG"/>
        <w:rPr>
          <w:lang w:val="fr-FR"/>
        </w:rPr>
      </w:pPr>
      <w:r w:rsidRPr="00154472">
        <w:rPr>
          <w:lang w:val="fr-FR"/>
        </w:rPr>
        <w:t>-</w:t>
      </w:r>
      <w:r w:rsidRPr="00154472">
        <w:rPr>
          <w:lang w:val="fr-FR"/>
        </w:rPr>
        <w:tab/>
      </w:r>
      <w:r>
        <w:rPr>
          <w:lang w:val="fr-FR"/>
        </w:rPr>
        <w:t xml:space="preserve">catégorie de transport </w:t>
      </w:r>
      <w:r w:rsidRPr="00154472">
        <w:rPr>
          <w:lang w:val="fr-FR"/>
        </w:rPr>
        <w:t xml:space="preserve">3 pour les trousses </w:t>
      </w:r>
      <w:r>
        <w:rPr>
          <w:lang w:val="fr-FR"/>
        </w:rPr>
        <w:t>assignées au groupe d’emballage III</w:t>
      </w:r>
      <w:r w:rsidRPr="00154472">
        <w:rPr>
          <w:lang w:val="fr-FR"/>
        </w:rPr>
        <w:t> ;</w:t>
      </w:r>
    </w:p>
    <w:p w14:paraId="01C11221" w14:textId="77777777" w:rsidR="007A7A2C" w:rsidRDefault="007A7A2C" w:rsidP="007A7A2C">
      <w:pPr>
        <w:pStyle w:val="SingleTxtG"/>
        <w:rPr>
          <w:lang w:val="fr-FR"/>
        </w:rPr>
      </w:pPr>
      <w:r w:rsidRPr="00154472">
        <w:rPr>
          <w:lang w:val="fr-FR"/>
        </w:rPr>
        <w:t>-</w:t>
      </w:r>
      <w:r w:rsidRPr="00154472">
        <w:rPr>
          <w:lang w:val="fr-FR"/>
        </w:rPr>
        <w:tab/>
      </w:r>
      <w:r>
        <w:rPr>
          <w:lang w:val="fr-FR"/>
        </w:rPr>
        <w:t>catégorie de transport 2</w:t>
      </w:r>
      <w:r w:rsidRPr="00154472">
        <w:rPr>
          <w:lang w:val="fr-FR"/>
        </w:rPr>
        <w:t xml:space="preserve"> pour les trousses </w:t>
      </w:r>
      <w:r>
        <w:rPr>
          <w:lang w:val="fr-FR"/>
        </w:rPr>
        <w:t>assignées au groupe d’emballage II</w:t>
      </w:r>
      <w:r w:rsidRPr="00154472">
        <w:rPr>
          <w:lang w:val="fr-FR"/>
        </w:rPr>
        <w:t> ;</w:t>
      </w:r>
    </w:p>
    <w:p w14:paraId="66E11BFB" w14:textId="77777777" w:rsidR="007A7A2C" w:rsidRDefault="007A7A2C" w:rsidP="007A7A2C">
      <w:pPr>
        <w:pStyle w:val="SingleTxtG"/>
        <w:rPr>
          <w:lang w:val="fr-FR"/>
        </w:rPr>
      </w:pPr>
      <w:r>
        <w:rPr>
          <w:lang w:val="fr-FR"/>
        </w:rPr>
        <w:t xml:space="preserve">-  </w:t>
      </w:r>
      <w:r>
        <w:rPr>
          <w:lang w:val="fr-FR"/>
        </w:rPr>
        <w:tab/>
        <w:t>catégorie de transport 1</w:t>
      </w:r>
      <w:r w:rsidRPr="00154472">
        <w:rPr>
          <w:lang w:val="fr-FR"/>
        </w:rPr>
        <w:t xml:space="preserve"> pour les trousses </w:t>
      </w:r>
      <w:r>
        <w:rPr>
          <w:lang w:val="fr-FR"/>
        </w:rPr>
        <w:t>assignées au groupe d’emballage I. »</w:t>
      </w:r>
    </w:p>
    <w:p w14:paraId="64FB5B87" w14:textId="77777777" w:rsidR="007A7A2C" w:rsidRDefault="007A7A2C" w:rsidP="007A7A2C">
      <w:pPr>
        <w:pStyle w:val="SingleTxtG"/>
        <w:rPr>
          <w:i/>
          <w:iCs/>
          <w:lang w:val="fr-FR"/>
        </w:rPr>
      </w:pPr>
      <w:r w:rsidRPr="00B34E27">
        <w:rPr>
          <w:i/>
          <w:iCs/>
          <w:lang w:val="fr-FR"/>
        </w:rPr>
        <w:t>(Document de référence : document informel INF.50)</w:t>
      </w:r>
    </w:p>
    <w:p w14:paraId="19F337BE" w14:textId="77777777" w:rsidR="00A11622" w:rsidRDefault="00A11622" w:rsidP="00B50C0C">
      <w:pPr>
        <w:pStyle w:val="H23G"/>
        <w:rPr>
          <w:lang w:val="fr-FR"/>
        </w:rPr>
      </w:pPr>
      <w:r>
        <w:rPr>
          <w:lang w:val="fr-FR"/>
        </w:rPr>
        <w:tab/>
      </w:r>
      <w:r>
        <w:rPr>
          <w:lang w:val="fr-FR"/>
        </w:rPr>
        <w:tab/>
      </w:r>
      <w:r w:rsidRPr="00425ADF">
        <w:rPr>
          <w:lang w:val="fr-FR"/>
        </w:rPr>
        <w:t xml:space="preserve">Chapitre </w:t>
      </w:r>
      <w:r>
        <w:rPr>
          <w:lang w:val="fr-FR"/>
        </w:rPr>
        <w:t>4.1</w:t>
      </w:r>
    </w:p>
    <w:p w14:paraId="22AE2481" w14:textId="77777777" w:rsidR="00A11622" w:rsidRDefault="00A11622" w:rsidP="00A11622">
      <w:pPr>
        <w:pStyle w:val="SingleTxtG"/>
        <w:rPr>
          <w:lang w:val="fr-FR"/>
        </w:rPr>
      </w:pPr>
      <w:r>
        <w:rPr>
          <w:lang w:val="fr-FR"/>
        </w:rPr>
        <w:t>4.1.4.1, P520</w:t>
      </w:r>
      <w:r>
        <w:rPr>
          <w:lang w:val="fr-FR"/>
        </w:rPr>
        <w:tab/>
      </w:r>
      <w:r>
        <w:rPr>
          <w:lang w:val="fr-FR"/>
        </w:rPr>
        <w:tab/>
        <w:t xml:space="preserve">Dans la disposition spéciale PP94, au point 1., remplacer « est fait de caisses » par « est une caisse ». Au point 5. </w:t>
      </w:r>
      <w:r w:rsidR="00F91301">
        <w:rPr>
          <w:lang w:val="fr-FR"/>
        </w:rPr>
        <w:t>de la disposition spéciale</w:t>
      </w:r>
      <w:r w:rsidR="00F91301" w:rsidRPr="00AC6ACD">
        <w:rPr>
          <w:lang w:val="fr-FR"/>
        </w:rPr>
        <w:t xml:space="preserve"> </w:t>
      </w:r>
      <w:r w:rsidR="00F91301">
        <w:rPr>
          <w:lang w:val="fr-FR"/>
        </w:rPr>
        <w:t xml:space="preserve">PP94 </w:t>
      </w:r>
      <w:r>
        <w:rPr>
          <w:lang w:val="fr-FR"/>
        </w:rPr>
        <w:t>et au point  6. de la disposition spéciale</w:t>
      </w:r>
      <w:r w:rsidRPr="00AC6ACD">
        <w:rPr>
          <w:lang w:val="fr-FR"/>
        </w:rPr>
        <w:t xml:space="preserve"> </w:t>
      </w:r>
      <w:r w:rsidR="00F91301">
        <w:rPr>
          <w:lang w:val="fr-FR"/>
        </w:rPr>
        <w:t>PP95</w:t>
      </w:r>
      <w:r>
        <w:rPr>
          <w:lang w:val="fr-FR"/>
        </w:rPr>
        <w:t>, au début, après « utilise » ajouter « , à titre d’option, ».</w:t>
      </w:r>
    </w:p>
    <w:p w14:paraId="0DBB3059" w14:textId="77777777" w:rsidR="00A11622" w:rsidRDefault="00A11622" w:rsidP="00A11622">
      <w:pPr>
        <w:pStyle w:val="SingleTxtG"/>
        <w:rPr>
          <w:lang w:val="fr-FR"/>
        </w:rPr>
      </w:pPr>
      <w:r>
        <w:rPr>
          <w:lang w:val="fr-FR"/>
        </w:rPr>
        <w:t>4.1.4.1, P907</w:t>
      </w:r>
      <w:r>
        <w:rPr>
          <w:lang w:val="fr-FR"/>
        </w:rPr>
        <w:tab/>
      </w:r>
      <w:r>
        <w:rPr>
          <w:lang w:val="fr-FR"/>
        </w:rPr>
        <w:tab/>
        <w:t>Dans la troisième ligne, au deuxième paragraphe, remplacer « taux de remplissage » par « densité de remplissage ».</w:t>
      </w:r>
    </w:p>
    <w:p w14:paraId="613A84BF" w14:textId="77777777" w:rsidR="00A11622" w:rsidRDefault="00A11622" w:rsidP="00A11622">
      <w:pPr>
        <w:pStyle w:val="SingleTxtG"/>
        <w:rPr>
          <w:lang w:val="fr-FR"/>
        </w:rPr>
      </w:pPr>
      <w:r>
        <w:rPr>
          <w:lang w:val="fr-FR"/>
        </w:rPr>
        <w:t>4.1.4.3, LP03</w:t>
      </w:r>
      <w:r>
        <w:rPr>
          <w:lang w:val="fr-FR"/>
        </w:rPr>
        <w:tab/>
      </w:r>
      <w:r>
        <w:rPr>
          <w:lang w:val="fr-FR"/>
        </w:rPr>
        <w:tab/>
        <w:t>Au 2) b), remplacer « d’une fermeture » par « de fermetures ».</w:t>
      </w:r>
      <w:r>
        <w:rPr>
          <w:lang w:val="fr-FR"/>
        </w:rPr>
        <w:tab/>
      </w:r>
    </w:p>
    <w:p w14:paraId="1D0378FE" w14:textId="77777777" w:rsidR="00A11622" w:rsidRDefault="00A11622" w:rsidP="00A11622">
      <w:pPr>
        <w:pStyle w:val="SingleTxtG"/>
        <w:rPr>
          <w:lang w:val="fr-FR"/>
        </w:rPr>
      </w:pPr>
      <w:r>
        <w:rPr>
          <w:lang w:val="fr-FR"/>
        </w:rPr>
        <w:t>4.1.4.3, LP905</w:t>
      </w:r>
      <w:r>
        <w:rPr>
          <w:lang w:val="fr-FR"/>
        </w:rPr>
        <w:tab/>
        <w:t>Dans le texte introductif avant 1), remplacer « et batteries » par « ou batteries ».</w:t>
      </w:r>
      <w:r>
        <w:rPr>
          <w:lang w:val="fr-FR"/>
        </w:rPr>
        <w:tab/>
      </w:r>
    </w:p>
    <w:p w14:paraId="29456771" w14:textId="77777777" w:rsidR="00A11622" w:rsidRDefault="00A11622" w:rsidP="00A11622">
      <w:pPr>
        <w:pStyle w:val="SingleTxtG"/>
        <w:rPr>
          <w:lang w:val="fr-FR"/>
        </w:rPr>
      </w:pPr>
      <w:r>
        <w:rPr>
          <w:lang w:val="fr-FR"/>
        </w:rPr>
        <w:t>4.1.4.3, LP906</w:t>
      </w:r>
      <w:r>
        <w:rPr>
          <w:lang w:val="fr-FR"/>
        </w:rPr>
        <w:tab/>
        <w:t>Dans la troisième ligne, au début, remplacer « P</w:t>
      </w:r>
      <w:r w:rsidRPr="00154472">
        <w:rPr>
          <w:lang w:val="fr-FR"/>
        </w:rPr>
        <w:t xml:space="preserve">our </w:t>
      </w:r>
      <w:r>
        <w:rPr>
          <w:lang w:val="fr-FR"/>
        </w:rPr>
        <w:t>les batteries emballées individuellement et pour les équipements seuls contenant des batteries: » par « P</w:t>
      </w:r>
      <w:r w:rsidRPr="00154472">
        <w:rPr>
          <w:lang w:val="fr-FR"/>
        </w:rPr>
        <w:t>our une seule batterie et pour un équipement seul contenant</w:t>
      </w:r>
      <w:r>
        <w:rPr>
          <w:lang w:val="fr-FR"/>
        </w:rPr>
        <w:t xml:space="preserve"> des batteries: ».</w:t>
      </w:r>
    </w:p>
    <w:p w14:paraId="669E123F" w14:textId="77777777" w:rsidR="007A7A2C" w:rsidRDefault="007A7A2C" w:rsidP="00B50C0C">
      <w:pPr>
        <w:pStyle w:val="H23G"/>
        <w:rPr>
          <w:lang w:val="fr-FR"/>
        </w:rPr>
      </w:pPr>
      <w:r>
        <w:rPr>
          <w:lang w:val="fr-FR"/>
        </w:rPr>
        <w:tab/>
      </w:r>
      <w:r>
        <w:rPr>
          <w:lang w:val="fr-FR"/>
        </w:rPr>
        <w:tab/>
        <w:t>Chapitre 5.2</w:t>
      </w:r>
    </w:p>
    <w:p w14:paraId="592EDD91" w14:textId="77777777" w:rsidR="00C227C5" w:rsidRDefault="00C227C5" w:rsidP="00C227C5">
      <w:pPr>
        <w:pStyle w:val="SingleTxtG"/>
        <w:rPr>
          <w:lang w:val="fr-FR"/>
        </w:rPr>
      </w:pPr>
      <w:r>
        <w:rPr>
          <w:lang w:val="fr-FR"/>
        </w:rPr>
        <w:t>5.2.1, Nota 2</w:t>
      </w:r>
      <w:r>
        <w:rPr>
          <w:lang w:val="fr-FR"/>
        </w:rPr>
        <w:tab/>
        <w:t>Remplacer « ne doit apparaître » par « ne devrait apparaître ».</w:t>
      </w:r>
    </w:p>
    <w:p w14:paraId="75F6E5FB" w14:textId="77777777" w:rsidR="007A7A2C" w:rsidRPr="005F153D" w:rsidRDefault="007A7A2C" w:rsidP="007A7A2C">
      <w:pPr>
        <w:pStyle w:val="SingleTxtG"/>
        <w:rPr>
          <w:lang w:val="fr-FR"/>
        </w:rPr>
      </w:pPr>
      <w:r>
        <w:rPr>
          <w:lang w:val="fr-FR"/>
        </w:rPr>
        <w:t>5.2.2.1.12.1</w:t>
      </w:r>
      <w:r>
        <w:rPr>
          <w:lang w:val="fr-FR"/>
        </w:rPr>
        <w:tab/>
        <w:t>M</w:t>
      </w:r>
      <w:r w:rsidRPr="005F153D">
        <w:rPr>
          <w:lang w:val="fr-FR"/>
        </w:rPr>
        <w:t xml:space="preserve">odifier </w:t>
      </w:r>
      <w:r>
        <w:rPr>
          <w:lang w:val="fr-FR"/>
        </w:rPr>
        <w:t xml:space="preserve">pour lire </w:t>
      </w:r>
      <w:r w:rsidRPr="005F153D">
        <w:rPr>
          <w:lang w:val="fr-FR"/>
        </w:rPr>
        <w:t>comme suit :</w:t>
      </w:r>
    </w:p>
    <w:p w14:paraId="1BE1B404" w14:textId="77777777" w:rsidR="007A7A2C" w:rsidRPr="00F42B56" w:rsidRDefault="007A7A2C" w:rsidP="007A7A2C">
      <w:pPr>
        <w:pStyle w:val="SingleTxtG"/>
      </w:pPr>
      <w:r w:rsidRPr="00F42B56">
        <w:lastRenderedPageBreak/>
        <w:t>« 5.2.2.1.12.1</w:t>
      </w:r>
      <w:r w:rsidRPr="00F42B56">
        <w:tab/>
      </w:r>
      <w:r>
        <w:tab/>
      </w:r>
      <w:r w:rsidRPr="00F42B56">
        <w:t xml:space="preserve">Les colis contenant des objets ou les objets qui sont transportés non emballés doivent être étiquetés conformément au paragraphe 5.2.2.1, en tenant compte des risques définis à la section 2.1.5, sauf lorsque les objets contiennent en plus des piles au lithium, auquel cas une marque pour les piles au lithium ou une étiquette conforme au modèle </w:t>
      </w:r>
      <w:r>
        <w:t>No</w:t>
      </w:r>
      <w:r w:rsidRPr="00F42B56">
        <w:t> 9A n’est pas requise. ».</w:t>
      </w:r>
    </w:p>
    <w:p w14:paraId="3CC3AB3C" w14:textId="77777777" w:rsidR="007A7A2C" w:rsidRDefault="007A7A2C" w:rsidP="007A7A2C">
      <w:pPr>
        <w:pStyle w:val="SingleTxtG"/>
        <w:rPr>
          <w:i/>
          <w:iCs/>
        </w:rPr>
      </w:pPr>
      <w:r w:rsidRPr="00B34E27">
        <w:rPr>
          <w:i/>
          <w:iCs/>
        </w:rPr>
        <w:t>(Document de référence : ECE/TRANS/WP.15/AC.1/2017/39, tel que modifié)</w:t>
      </w:r>
    </w:p>
    <w:p w14:paraId="398CF5F6" w14:textId="3AFEF409" w:rsidR="007A7A2C" w:rsidRDefault="007A7A2C" w:rsidP="007A7A2C">
      <w:pPr>
        <w:pStyle w:val="SingleTxtG"/>
        <w:rPr>
          <w:iCs/>
        </w:rPr>
      </w:pPr>
      <w:r>
        <w:rPr>
          <w:iCs/>
        </w:rPr>
        <w:t>5.2.2.2.2</w:t>
      </w:r>
      <w:r>
        <w:rPr>
          <w:iCs/>
        </w:rPr>
        <w:tab/>
        <w:t>Dans le tableau, dans les sous-titres, ajouter « Danger de » avant « Classe 1 », « Classe 2 », « Classe 3 », « Classe 4.1 », « Classe 4.2 »,</w:t>
      </w:r>
      <w:r w:rsidRPr="00B34E27">
        <w:rPr>
          <w:iCs/>
        </w:rPr>
        <w:t xml:space="preserve"> </w:t>
      </w:r>
      <w:r>
        <w:rPr>
          <w:iCs/>
        </w:rPr>
        <w:t>« Classe 4.3 »,</w:t>
      </w:r>
      <w:r w:rsidRPr="00B34E27">
        <w:rPr>
          <w:iCs/>
        </w:rPr>
        <w:t xml:space="preserve"> </w:t>
      </w:r>
      <w:r>
        <w:rPr>
          <w:iCs/>
        </w:rPr>
        <w:t>« Classe 5.1 »,</w:t>
      </w:r>
      <w:r w:rsidRPr="00B34E27">
        <w:rPr>
          <w:iCs/>
        </w:rPr>
        <w:t xml:space="preserve"> </w:t>
      </w:r>
      <w:r>
        <w:rPr>
          <w:iCs/>
        </w:rPr>
        <w:t>« Classe 5.2 »,</w:t>
      </w:r>
      <w:r w:rsidRPr="00B34E27">
        <w:rPr>
          <w:iCs/>
        </w:rPr>
        <w:t xml:space="preserve"> </w:t>
      </w:r>
      <w:r>
        <w:rPr>
          <w:iCs/>
        </w:rPr>
        <w:t>« Classe 6.1 »,</w:t>
      </w:r>
      <w:r w:rsidRPr="00B34E27">
        <w:rPr>
          <w:iCs/>
        </w:rPr>
        <w:t xml:space="preserve"> </w:t>
      </w:r>
      <w:r>
        <w:rPr>
          <w:iCs/>
        </w:rPr>
        <w:t>« Classe 6.2 »,</w:t>
      </w:r>
      <w:r w:rsidRPr="00B34E27">
        <w:rPr>
          <w:iCs/>
        </w:rPr>
        <w:t xml:space="preserve"> </w:t>
      </w:r>
      <w:r>
        <w:rPr>
          <w:iCs/>
        </w:rPr>
        <w:t>« Classe 7 »,</w:t>
      </w:r>
      <w:r w:rsidRPr="00B34E27">
        <w:rPr>
          <w:iCs/>
        </w:rPr>
        <w:t xml:space="preserve"> </w:t>
      </w:r>
      <w:r>
        <w:rPr>
          <w:iCs/>
        </w:rPr>
        <w:t>« Classe 8 » et</w:t>
      </w:r>
      <w:r w:rsidRPr="00B34E27">
        <w:rPr>
          <w:iCs/>
        </w:rPr>
        <w:t xml:space="preserve"> </w:t>
      </w:r>
      <w:r>
        <w:rPr>
          <w:iCs/>
        </w:rPr>
        <w:t xml:space="preserve">« Classe 9 ». Pour la Classe 7, dans la deuxième colonne, remplacer « Catégorie I », « Catégorie II » et « Catégorie III » par « Catégorie I – </w:t>
      </w:r>
      <w:r w:rsidR="003B71C1">
        <w:rPr>
          <w:iCs/>
        </w:rPr>
        <w:t>BLANCHE </w:t>
      </w:r>
      <w:r>
        <w:rPr>
          <w:iCs/>
        </w:rPr>
        <w:t xml:space="preserve">», « Catégorie II – </w:t>
      </w:r>
      <w:r w:rsidR="003B71C1">
        <w:rPr>
          <w:iCs/>
        </w:rPr>
        <w:t>JAUNE </w:t>
      </w:r>
      <w:r>
        <w:rPr>
          <w:iCs/>
        </w:rPr>
        <w:t xml:space="preserve">» et « Catégorie III – </w:t>
      </w:r>
      <w:r w:rsidR="003B71C1">
        <w:rPr>
          <w:iCs/>
        </w:rPr>
        <w:t>JAUNE </w:t>
      </w:r>
      <w:r>
        <w:rPr>
          <w:iCs/>
        </w:rPr>
        <w:t>» respectivement.</w:t>
      </w:r>
    </w:p>
    <w:p w14:paraId="6FC4BE0C" w14:textId="77777777" w:rsidR="005A450B" w:rsidRPr="00EA087F" w:rsidRDefault="005A450B" w:rsidP="00B50C0C">
      <w:pPr>
        <w:pStyle w:val="H23G"/>
        <w:rPr>
          <w:lang w:val="fr-FR"/>
        </w:rPr>
      </w:pPr>
      <w:r>
        <w:rPr>
          <w:lang w:val="fr-FR"/>
        </w:rPr>
        <w:tab/>
      </w:r>
      <w:r>
        <w:rPr>
          <w:lang w:val="fr-FR"/>
        </w:rPr>
        <w:tab/>
      </w:r>
      <w:r w:rsidRPr="00EA087F">
        <w:rPr>
          <w:lang w:val="fr-FR"/>
        </w:rPr>
        <w:t>Chapitre 5.3</w:t>
      </w:r>
    </w:p>
    <w:p w14:paraId="69BBD0D6" w14:textId="77777777" w:rsidR="005A450B" w:rsidRDefault="005A450B" w:rsidP="005A450B">
      <w:pPr>
        <w:pStyle w:val="SingleTxtG"/>
        <w:rPr>
          <w:lang w:val="fr-FR"/>
        </w:rPr>
      </w:pPr>
      <w:r w:rsidRPr="00EA087F">
        <w:rPr>
          <w:lang w:val="fr-FR"/>
        </w:rPr>
        <w:t>Nota 2</w:t>
      </w:r>
      <w:r w:rsidRPr="00EA087F">
        <w:rPr>
          <w:lang w:val="fr-FR"/>
        </w:rPr>
        <w:tab/>
      </w:r>
      <w:r w:rsidRPr="00EA087F">
        <w:rPr>
          <w:lang w:val="fr-FR"/>
        </w:rPr>
        <w:tab/>
        <w:t>Remplacer « ne doit apparaître » par « ne devrait apparaître ».</w:t>
      </w:r>
    </w:p>
    <w:p w14:paraId="654792F5" w14:textId="77777777" w:rsidR="007A7A2C" w:rsidRDefault="007A7A2C" w:rsidP="00B50C0C">
      <w:pPr>
        <w:pStyle w:val="H23G"/>
        <w:rPr>
          <w:lang w:val="fr-FR"/>
        </w:rPr>
      </w:pPr>
      <w:r>
        <w:rPr>
          <w:lang w:val="fr-FR"/>
        </w:rPr>
        <w:tab/>
      </w:r>
      <w:r>
        <w:rPr>
          <w:lang w:val="fr-FR"/>
        </w:rPr>
        <w:tab/>
        <w:t>Chapitre 7.1</w:t>
      </w:r>
    </w:p>
    <w:p w14:paraId="05DDAC74" w14:textId="77777777" w:rsidR="009C6D99" w:rsidRDefault="009C6D99" w:rsidP="009C6D99">
      <w:pPr>
        <w:pStyle w:val="SingleTxtG"/>
        <w:rPr>
          <w:lang w:val="fr-FR"/>
        </w:rPr>
      </w:pPr>
      <w:r>
        <w:rPr>
          <w:lang w:val="fr-FR"/>
        </w:rPr>
        <w:t>7.1.7.3.2 b) i)</w:t>
      </w:r>
      <w:r>
        <w:rPr>
          <w:lang w:val="fr-FR"/>
        </w:rPr>
        <w:tab/>
      </w:r>
      <w:r>
        <w:rPr>
          <w:lang w:val="fr-FR"/>
        </w:rPr>
        <w:tab/>
        <w:t>Remplacer « individuels » par « simples ».</w:t>
      </w:r>
    </w:p>
    <w:p w14:paraId="242DA3C0" w14:textId="77777777" w:rsidR="007A7A2C" w:rsidRDefault="007A7A2C" w:rsidP="007A7A2C">
      <w:pPr>
        <w:pStyle w:val="SingleTxtG"/>
        <w:rPr>
          <w:lang w:val="fr-FR"/>
        </w:rPr>
      </w:pPr>
      <w:r>
        <w:rPr>
          <w:lang w:val="fr-FR"/>
        </w:rPr>
        <w:t>7.1.7.3.5</w:t>
      </w:r>
      <w:r>
        <w:rPr>
          <w:lang w:val="fr-FR"/>
        </w:rPr>
        <w:tab/>
      </w:r>
      <w:r w:rsidR="009C6D99">
        <w:rPr>
          <w:lang w:val="fr-FR"/>
        </w:rPr>
        <w:tab/>
      </w:r>
      <w:r>
        <w:rPr>
          <w:lang w:val="fr-FR"/>
        </w:rPr>
        <w:t>Dans le tableau, dans la dernière ligne, dans la deuxième colonne, remplacer « &lt; 50 °C » par « ≤ 45 °C ».</w:t>
      </w:r>
    </w:p>
    <w:p w14:paraId="05EFCCC7" w14:textId="77777777" w:rsidR="009C6D99" w:rsidRDefault="009C6D99" w:rsidP="009C6D99">
      <w:pPr>
        <w:pStyle w:val="SingleTxtG"/>
        <w:rPr>
          <w:lang w:val="fr-FR"/>
        </w:rPr>
      </w:pPr>
      <w:r>
        <w:rPr>
          <w:lang w:val="fr-FR"/>
        </w:rPr>
        <w:t>7.1.7.4.8</w:t>
      </w:r>
      <w:r>
        <w:rPr>
          <w:lang w:val="fr-FR"/>
        </w:rPr>
        <w:tab/>
      </w:r>
      <w:r>
        <w:rPr>
          <w:lang w:val="fr-FR"/>
        </w:rPr>
        <w:tab/>
        <w:t>Dans la deuxième phrase, après « ou fermés » ajouter « respectivement ».</w:t>
      </w:r>
    </w:p>
    <w:p w14:paraId="5B8FA178" w14:textId="77777777" w:rsidR="00B33C4A" w:rsidRDefault="00B33C4A" w:rsidP="00B50C0C">
      <w:pPr>
        <w:pStyle w:val="H23G"/>
        <w:rPr>
          <w:lang w:val="fr-FR"/>
        </w:rPr>
      </w:pPr>
      <w:r>
        <w:rPr>
          <w:lang w:val="fr-FR"/>
        </w:rPr>
        <w:tab/>
      </w:r>
      <w:r>
        <w:rPr>
          <w:lang w:val="fr-FR"/>
        </w:rPr>
        <w:tab/>
      </w:r>
      <w:r w:rsidRPr="00425ADF">
        <w:rPr>
          <w:lang w:val="fr-FR"/>
        </w:rPr>
        <w:t xml:space="preserve">Chapitre </w:t>
      </w:r>
      <w:r>
        <w:rPr>
          <w:lang w:val="fr-FR"/>
        </w:rPr>
        <w:t>7.2</w:t>
      </w:r>
    </w:p>
    <w:p w14:paraId="303254C2" w14:textId="77777777" w:rsidR="008B227F" w:rsidRPr="00F75EA9" w:rsidRDefault="00B33C4A" w:rsidP="00F75EA9">
      <w:pPr>
        <w:pStyle w:val="SingleTxtG"/>
        <w:rPr>
          <w:lang w:val="fr-FR"/>
        </w:rPr>
      </w:pPr>
      <w:r>
        <w:rPr>
          <w:lang w:val="fr-FR"/>
        </w:rPr>
        <w:t>7.2.4, V8</w:t>
      </w:r>
      <w:r>
        <w:rPr>
          <w:lang w:val="fr-FR"/>
        </w:rPr>
        <w:tab/>
        <w:t xml:space="preserve">Dans le Nota, ajouter « spéciale » après « disposition » dans la première phrase. </w:t>
      </w:r>
      <w:r w:rsidR="0057160E">
        <w:rPr>
          <w:lang w:val="fr-FR"/>
        </w:rPr>
        <w:t xml:space="preserve">Dans </w:t>
      </w:r>
      <w:r w:rsidR="008B227F">
        <w:t>la deuxième phrase, supprimer « dernier ».</w:t>
      </w:r>
    </w:p>
    <w:p w14:paraId="15EA59FD" w14:textId="77777777" w:rsidR="009C6D99" w:rsidRDefault="008B227F" w:rsidP="00B50C0C">
      <w:pPr>
        <w:pStyle w:val="H23G"/>
        <w:rPr>
          <w:lang w:val="fr-FR"/>
        </w:rPr>
      </w:pPr>
      <w:r w:rsidRPr="00884179">
        <w:rPr>
          <w:lang w:val="fr-FR"/>
        </w:rPr>
        <w:tab/>
      </w:r>
      <w:r w:rsidRPr="00884179">
        <w:rPr>
          <w:lang w:val="fr-FR"/>
        </w:rPr>
        <w:tab/>
      </w:r>
      <w:r w:rsidR="009C6D99" w:rsidRPr="00884179">
        <w:rPr>
          <w:lang w:val="fr-FR"/>
        </w:rPr>
        <w:t xml:space="preserve">Chapitre </w:t>
      </w:r>
      <w:r w:rsidR="009C6D99">
        <w:rPr>
          <w:lang w:val="fr-FR"/>
        </w:rPr>
        <w:t>8.5</w:t>
      </w:r>
    </w:p>
    <w:p w14:paraId="5A8B0BA3" w14:textId="1C3309E6" w:rsidR="009C6D99" w:rsidRPr="003F641B" w:rsidRDefault="009C6D99" w:rsidP="009C6D99">
      <w:pPr>
        <w:pStyle w:val="SingleTxtG"/>
      </w:pPr>
      <w:r>
        <w:rPr>
          <w:lang w:val="fr-FR"/>
        </w:rPr>
        <w:t>S4</w:t>
      </w:r>
      <w:r w:rsidRPr="001F4044">
        <w:rPr>
          <w:lang w:val="fr-FR"/>
        </w:rPr>
        <w:tab/>
      </w:r>
      <w:r w:rsidR="0057160E">
        <w:rPr>
          <w:lang w:val="fr-FR"/>
        </w:rPr>
        <w:t xml:space="preserve">Dans le Nota, ajouter « spéciale » après « disposition » dans la première phrase. </w:t>
      </w:r>
      <w:r w:rsidRPr="003F641B">
        <w:t>Dans la deuxième phrase, supprimer « dernier ».</w:t>
      </w:r>
    </w:p>
    <w:p w14:paraId="1FB06D34" w14:textId="77777777" w:rsidR="003F641B" w:rsidRPr="003F641B" w:rsidRDefault="003F641B" w:rsidP="00B50C0C">
      <w:pPr>
        <w:pStyle w:val="H23G"/>
        <w:rPr>
          <w:rStyle w:val="H1GChar"/>
          <w:b/>
        </w:rPr>
      </w:pPr>
      <w:r w:rsidRPr="003F641B">
        <w:rPr>
          <w:rStyle w:val="H1GChar"/>
          <w:sz w:val="20"/>
        </w:rPr>
        <w:tab/>
      </w:r>
      <w:r w:rsidRPr="003F641B">
        <w:rPr>
          <w:rStyle w:val="H1GChar"/>
        </w:rPr>
        <w:tab/>
      </w:r>
      <w:r w:rsidRPr="003F641B">
        <w:rPr>
          <w:rStyle w:val="H1GChar"/>
          <w:b/>
        </w:rPr>
        <w:t>Annexe</w:t>
      </w:r>
    </w:p>
    <w:p w14:paraId="4E5A2A8C" w14:textId="77777777" w:rsidR="003F641B" w:rsidRPr="003F641B" w:rsidRDefault="003F641B" w:rsidP="003F641B">
      <w:pPr>
        <w:pStyle w:val="SingleTxtG"/>
      </w:pPr>
      <w:r w:rsidRPr="003F641B">
        <w:t>L’amendement au 2.2.51.1.3 prend la teneur suivante :</w:t>
      </w:r>
    </w:p>
    <w:p w14:paraId="741F21B6" w14:textId="77777777" w:rsidR="003F641B" w:rsidRPr="003F641B" w:rsidRDefault="003F641B" w:rsidP="003F641B">
      <w:pPr>
        <w:pStyle w:val="SingleTxtG"/>
      </w:pPr>
      <w:r w:rsidRPr="003F641B">
        <w:t>2.2.51.1.3</w:t>
      </w:r>
      <w:r w:rsidRPr="003F641B">
        <w:tab/>
        <w:t xml:space="preserve">À la fin de la deuxième phrase, ajouter « ou, pour les engrais au nitrate d’ammonium solides, la section 39 sous réserve des restrictions du 2.2.51.2.2, treizième tiret ». </w:t>
      </w:r>
    </w:p>
    <w:p w14:paraId="695D2FB0" w14:textId="77777777" w:rsidR="003F641B" w:rsidRPr="003F641B" w:rsidRDefault="003F641B" w:rsidP="003F641B">
      <w:pPr>
        <w:pStyle w:val="SingleTxtG"/>
      </w:pPr>
      <w:r w:rsidRPr="003F641B">
        <w:t>L’amendement au 2.1.3.7 prend la teneur suivante :</w:t>
      </w:r>
    </w:p>
    <w:p w14:paraId="36FB546C" w14:textId="77777777" w:rsidR="003F641B" w:rsidRPr="003F641B" w:rsidRDefault="003F641B" w:rsidP="003F641B">
      <w:pPr>
        <w:pStyle w:val="SingleTxtG"/>
        <w:rPr>
          <w:lang w:val="fr-FR"/>
        </w:rPr>
      </w:pPr>
      <w:r w:rsidRPr="003F641B">
        <w:rPr>
          <w:lang w:val="fr-FR"/>
        </w:rPr>
        <w:t>2.1.3.7</w:t>
      </w:r>
      <w:r w:rsidRPr="003F641B">
        <w:rPr>
          <w:lang w:val="fr-FR"/>
        </w:rPr>
        <w:tab/>
      </w:r>
      <w:r w:rsidRPr="003F641B">
        <w:rPr>
          <w:lang w:val="fr-FR"/>
        </w:rPr>
        <w:tab/>
        <w:t xml:space="preserve">À la fin, ajouter : « Pour les engrais au nitrate d’ammonium solides, voir aussi les treizième et quatorzième tirets du </w:t>
      </w:r>
      <w:r w:rsidRPr="003F641B">
        <w:t xml:space="preserve">2.2.51.2.2 et </w:t>
      </w:r>
      <w:r w:rsidRPr="003F641B">
        <w:rPr>
          <w:lang w:val="fr-FR"/>
        </w:rPr>
        <w:t xml:space="preserve">le Manuel d'épreuves et de critères, troisième partie, section 39. ». </w:t>
      </w:r>
    </w:p>
    <w:p w14:paraId="0186AAB9" w14:textId="0446F707" w:rsidR="00D46F75" w:rsidRDefault="00D46F75" w:rsidP="00B50C0C">
      <w:pPr>
        <w:spacing w:before="240"/>
        <w:ind w:left="1134" w:right="1134"/>
        <w:jc w:val="center"/>
      </w:pPr>
      <w:r w:rsidRPr="00A074FC">
        <w:rPr>
          <w:i/>
          <w:iCs/>
          <w:u w:val="single"/>
          <w:lang w:val="fr-FR"/>
        </w:rPr>
        <w:tab/>
      </w:r>
      <w:r w:rsidRPr="00A074FC">
        <w:rPr>
          <w:i/>
          <w:iCs/>
          <w:u w:val="single"/>
          <w:lang w:val="fr-FR"/>
        </w:rPr>
        <w:tab/>
      </w:r>
      <w:r w:rsidRPr="00A074FC">
        <w:rPr>
          <w:i/>
          <w:iCs/>
          <w:u w:val="single"/>
          <w:lang w:val="fr-FR"/>
        </w:rPr>
        <w:tab/>
      </w:r>
    </w:p>
    <w:sectPr w:rsidR="00D46F75" w:rsidSect="00953AD2">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10A3A" w14:textId="77777777" w:rsidR="00681B4D" w:rsidRDefault="00681B4D"/>
  </w:endnote>
  <w:endnote w:type="continuationSeparator" w:id="0">
    <w:p w14:paraId="277CB72C" w14:textId="77777777" w:rsidR="00681B4D" w:rsidRDefault="00681B4D"/>
  </w:endnote>
  <w:endnote w:type="continuationNotice" w:id="1">
    <w:p w14:paraId="6FDE39C6" w14:textId="77777777" w:rsidR="00681B4D" w:rsidRDefault="00681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D4E6" w14:textId="1B9ED8E4" w:rsidR="00681B4D" w:rsidRPr="00953AD2" w:rsidRDefault="00681B4D" w:rsidP="00953AD2">
    <w:pPr>
      <w:pStyle w:val="Footer"/>
      <w:tabs>
        <w:tab w:val="right" w:pos="9638"/>
      </w:tabs>
      <w:rPr>
        <w:sz w:val="18"/>
      </w:rPr>
    </w:pPr>
    <w:r w:rsidRPr="00953AD2">
      <w:rPr>
        <w:b/>
        <w:sz w:val="18"/>
      </w:rPr>
      <w:fldChar w:fldCharType="begin"/>
    </w:r>
    <w:r w:rsidRPr="00953AD2">
      <w:rPr>
        <w:b/>
        <w:sz w:val="18"/>
      </w:rPr>
      <w:instrText xml:space="preserve"> PAGE  \* MERGEFORMAT </w:instrText>
    </w:r>
    <w:r w:rsidRPr="00953AD2">
      <w:rPr>
        <w:b/>
        <w:sz w:val="18"/>
      </w:rPr>
      <w:fldChar w:fldCharType="separate"/>
    </w:r>
    <w:r w:rsidR="00E2307E">
      <w:rPr>
        <w:b/>
        <w:noProof/>
        <w:sz w:val="18"/>
      </w:rPr>
      <w:t>4</w:t>
    </w:r>
    <w:r w:rsidRPr="00953A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4842" w14:textId="6C626D77" w:rsidR="00681B4D" w:rsidRPr="00953AD2" w:rsidRDefault="00681B4D" w:rsidP="00953AD2">
    <w:pPr>
      <w:pStyle w:val="Footer"/>
      <w:tabs>
        <w:tab w:val="right" w:pos="9638"/>
      </w:tabs>
      <w:rPr>
        <w:sz w:val="18"/>
      </w:rPr>
    </w:pPr>
    <w:r>
      <w:tab/>
    </w:r>
    <w:r w:rsidRPr="00953AD2">
      <w:rPr>
        <w:b/>
        <w:sz w:val="18"/>
      </w:rPr>
      <w:fldChar w:fldCharType="begin"/>
    </w:r>
    <w:r w:rsidRPr="00953AD2">
      <w:rPr>
        <w:b/>
        <w:sz w:val="18"/>
      </w:rPr>
      <w:instrText xml:space="preserve"> PAGE  \* MERGEFORMAT </w:instrText>
    </w:r>
    <w:r w:rsidRPr="00953AD2">
      <w:rPr>
        <w:b/>
        <w:sz w:val="18"/>
      </w:rPr>
      <w:fldChar w:fldCharType="separate"/>
    </w:r>
    <w:r w:rsidR="00E2307E">
      <w:rPr>
        <w:b/>
        <w:noProof/>
        <w:sz w:val="18"/>
      </w:rPr>
      <w:t>5</w:t>
    </w:r>
    <w:r w:rsidRPr="00953AD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C34F9" w14:textId="77777777" w:rsidR="00681B4D" w:rsidRPr="00D27D5E" w:rsidRDefault="00681B4D" w:rsidP="00D27D5E">
      <w:pPr>
        <w:tabs>
          <w:tab w:val="right" w:pos="2155"/>
        </w:tabs>
        <w:spacing w:after="80"/>
        <w:ind w:left="680"/>
        <w:rPr>
          <w:u w:val="single"/>
        </w:rPr>
      </w:pPr>
      <w:r>
        <w:rPr>
          <w:u w:val="single"/>
        </w:rPr>
        <w:tab/>
      </w:r>
    </w:p>
  </w:footnote>
  <w:footnote w:type="continuationSeparator" w:id="0">
    <w:p w14:paraId="6D77B603" w14:textId="77777777" w:rsidR="00681B4D" w:rsidRPr="00A80554" w:rsidRDefault="00681B4D" w:rsidP="00A80554">
      <w:pPr>
        <w:tabs>
          <w:tab w:val="left" w:pos="2155"/>
        </w:tabs>
        <w:spacing w:after="80"/>
        <w:ind w:left="680"/>
        <w:rPr>
          <w:u w:val="single"/>
        </w:rPr>
      </w:pPr>
      <w:r w:rsidRPr="00A80554">
        <w:rPr>
          <w:u w:val="single"/>
        </w:rPr>
        <w:tab/>
      </w:r>
    </w:p>
  </w:footnote>
  <w:footnote w:type="continuationNotice" w:id="1">
    <w:p w14:paraId="0BDEC234" w14:textId="77777777" w:rsidR="00681B4D" w:rsidRDefault="00681B4D"/>
  </w:footnote>
  <w:footnote w:id="2">
    <w:p w14:paraId="598D6D28" w14:textId="41430454" w:rsidR="00681B4D" w:rsidRDefault="00681B4D" w:rsidP="002320B1">
      <w:pPr>
        <w:pStyle w:val="FootnoteText"/>
        <w:tabs>
          <w:tab w:val="clear" w:pos="1021"/>
        </w:tabs>
      </w:pPr>
      <w:r>
        <w:tab/>
      </w:r>
      <w:r w:rsidRPr="002320B1">
        <w:rPr>
          <w:rStyle w:val="FootnoteReference"/>
          <w:sz w:val="20"/>
        </w:rPr>
        <w:t>*</w:t>
      </w:r>
      <w:r>
        <w:tab/>
      </w:r>
      <w:r w:rsidRPr="003F641B">
        <w:rPr>
          <w:lang w:val="fr-FR"/>
        </w:rPr>
        <w:t xml:space="preserve">Diffusé par l'Organisation intergouvernementale pour les transports internationaux </w:t>
      </w:r>
      <w:r>
        <w:rPr>
          <w:lang w:val="fr-FR"/>
        </w:rPr>
        <w:tab/>
      </w:r>
      <w:r w:rsidRPr="003F641B">
        <w:rPr>
          <w:lang w:val="fr-FR"/>
        </w:rPr>
        <w:t>ferroviaires (OTIF) sous la cote OTIF/RID/RC/</w:t>
      </w:r>
      <w:r w:rsidRPr="003F641B">
        <w:rPr>
          <w:color w:val="000000"/>
          <w:lang w:val="fr-FR"/>
        </w:rPr>
        <w:t xml:space="preserve">2017-B. </w:t>
      </w:r>
      <w:r w:rsidRPr="003F641B">
        <w:rPr>
          <w:lang w:val="fr-FR"/>
        </w:rPr>
        <w:t xml:space="preserve">Sauf indication contraire, les autres </w:t>
      </w:r>
      <w:r>
        <w:rPr>
          <w:lang w:val="fr-FR"/>
        </w:rPr>
        <w:tab/>
      </w:r>
      <w:r w:rsidRPr="003F641B">
        <w:rPr>
          <w:lang w:val="fr-FR"/>
        </w:rPr>
        <w:t xml:space="preserve">documents auxquels il est fait référence dans le présent rapport et qui portent une cote </w:t>
      </w:r>
      <w:r>
        <w:rPr>
          <w:lang w:val="fr-FR"/>
        </w:rPr>
        <w:tab/>
      </w:r>
      <w:r w:rsidRPr="003F641B">
        <w:rPr>
          <w:lang w:val="fr-FR"/>
        </w:rPr>
        <w:t xml:space="preserve">ECE/TRANS/WP.15/AC.1/ suivie de l’année et d’un numéro de série ont été diffusés par </w:t>
      </w:r>
      <w:r>
        <w:rPr>
          <w:lang w:val="fr-FR"/>
        </w:rPr>
        <w:tab/>
      </w:r>
      <w:r w:rsidRPr="003F641B">
        <w:rPr>
          <w:lang w:val="fr-FR"/>
        </w:rPr>
        <w:t>l’OTIF sous la cote OTIF/RID/RC/ suivie de l’année et du même numéro de série</w:t>
      </w:r>
      <w:r w:rsidRPr="003F641B">
        <w:t>.</w:t>
      </w:r>
    </w:p>
  </w:footnote>
  <w:footnote w:id="3">
    <w:p w14:paraId="0DCE5115" w14:textId="125078E6" w:rsidR="00681B4D" w:rsidRDefault="00681B4D" w:rsidP="002320B1">
      <w:pPr>
        <w:pStyle w:val="FootnoteText"/>
        <w:tabs>
          <w:tab w:val="clear" w:pos="1021"/>
        </w:tabs>
      </w:pPr>
      <w:r>
        <w:rPr>
          <w:sz w:val="20"/>
        </w:rPr>
        <w:tab/>
      </w:r>
      <w:r w:rsidRPr="002320B1">
        <w:rPr>
          <w:rStyle w:val="FootnoteReference"/>
          <w:sz w:val="20"/>
        </w:rPr>
        <w:t>**</w:t>
      </w:r>
      <w:r>
        <w:tab/>
      </w:r>
      <w:r w:rsidRPr="003F641B">
        <w:rPr>
          <w:lang w:val="fr-FR"/>
        </w:rPr>
        <w:t xml:space="preserve">Diffusé par l'Organisation intergouvernementale pour les transports internationaux </w:t>
      </w:r>
      <w:r>
        <w:rPr>
          <w:lang w:val="fr-FR"/>
        </w:rPr>
        <w:tab/>
      </w:r>
      <w:r w:rsidRPr="003F641B">
        <w:rPr>
          <w:lang w:val="fr-FR"/>
        </w:rPr>
        <w:t>ferroviaires (OTIF) sous la cote OTIF/RID/RC/</w:t>
      </w:r>
      <w:r w:rsidRPr="003F641B">
        <w:rPr>
          <w:color w:val="000000"/>
          <w:lang w:val="fr-FR"/>
        </w:rPr>
        <w:t>2017-B/Add.1.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DE73" w14:textId="77777777" w:rsidR="00681B4D" w:rsidRPr="006B18CE" w:rsidRDefault="00681B4D">
    <w:pPr>
      <w:pStyle w:val="Header"/>
      <w:rPr>
        <w:lang w:val="en-GB"/>
      </w:rPr>
    </w:pPr>
    <w:r w:rsidRPr="006B18CE">
      <w:rPr>
        <w:lang w:val="en-GB"/>
      </w:rPr>
      <w:t>ECE/TRANS/WP.15/AC.1/148/Add.1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045E" w14:textId="77777777" w:rsidR="00681B4D" w:rsidRPr="00AB2963" w:rsidRDefault="00681B4D" w:rsidP="00953AD2">
    <w:pPr>
      <w:pStyle w:val="Header"/>
      <w:jc w:val="right"/>
      <w:rPr>
        <w:lang w:val="en-GB"/>
      </w:rPr>
    </w:pPr>
    <w:r w:rsidRPr="00AB2963">
      <w:rPr>
        <w:lang w:val="en-GB"/>
      </w:rPr>
      <w:t>ECE/TRANS/WP.15/AC.1/148/Add.1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0"/>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D2"/>
    <w:rsid w:val="00016AC5"/>
    <w:rsid w:val="000215B0"/>
    <w:rsid w:val="00030ADE"/>
    <w:rsid w:val="000312C0"/>
    <w:rsid w:val="00060A62"/>
    <w:rsid w:val="000964C7"/>
    <w:rsid w:val="000B28BB"/>
    <w:rsid w:val="000B34CA"/>
    <w:rsid w:val="000F41F2"/>
    <w:rsid w:val="00104BB5"/>
    <w:rsid w:val="00116BE6"/>
    <w:rsid w:val="00135C0D"/>
    <w:rsid w:val="00154636"/>
    <w:rsid w:val="00154FAC"/>
    <w:rsid w:val="00160540"/>
    <w:rsid w:val="00162123"/>
    <w:rsid w:val="0017182C"/>
    <w:rsid w:val="00177007"/>
    <w:rsid w:val="00186EE9"/>
    <w:rsid w:val="001904ED"/>
    <w:rsid w:val="00192EEB"/>
    <w:rsid w:val="001A20FB"/>
    <w:rsid w:val="001B6F40"/>
    <w:rsid w:val="001D36B3"/>
    <w:rsid w:val="001D7F8A"/>
    <w:rsid w:val="001E3E47"/>
    <w:rsid w:val="001E3FEB"/>
    <w:rsid w:val="001E4A02"/>
    <w:rsid w:val="001F4613"/>
    <w:rsid w:val="00210AAD"/>
    <w:rsid w:val="00211374"/>
    <w:rsid w:val="00223B89"/>
    <w:rsid w:val="00225A8C"/>
    <w:rsid w:val="002320B1"/>
    <w:rsid w:val="00232C61"/>
    <w:rsid w:val="002659F1"/>
    <w:rsid w:val="00271C7C"/>
    <w:rsid w:val="00287E79"/>
    <w:rsid w:val="002928F9"/>
    <w:rsid w:val="002A4496"/>
    <w:rsid w:val="002A5D07"/>
    <w:rsid w:val="002A6A6B"/>
    <w:rsid w:val="002E011C"/>
    <w:rsid w:val="002E58BA"/>
    <w:rsid w:val="003016B7"/>
    <w:rsid w:val="00317402"/>
    <w:rsid w:val="00330F9C"/>
    <w:rsid w:val="00340C35"/>
    <w:rsid w:val="003515AA"/>
    <w:rsid w:val="00367E6A"/>
    <w:rsid w:val="00370E0F"/>
    <w:rsid w:val="00374106"/>
    <w:rsid w:val="003976D5"/>
    <w:rsid w:val="003B71C1"/>
    <w:rsid w:val="003D1DBF"/>
    <w:rsid w:val="003D1DF3"/>
    <w:rsid w:val="003D46A7"/>
    <w:rsid w:val="003D6C68"/>
    <w:rsid w:val="003D76E4"/>
    <w:rsid w:val="003E38C8"/>
    <w:rsid w:val="003F641B"/>
    <w:rsid w:val="00414425"/>
    <w:rsid w:val="004159D0"/>
    <w:rsid w:val="004164B4"/>
    <w:rsid w:val="004249E7"/>
    <w:rsid w:val="00425998"/>
    <w:rsid w:val="00426DA1"/>
    <w:rsid w:val="00434168"/>
    <w:rsid w:val="004647E6"/>
    <w:rsid w:val="004722E8"/>
    <w:rsid w:val="00497A70"/>
    <w:rsid w:val="004C11AE"/>
    <w:rsid w:val="004C4C34"/>
    <w:rsid w:val="004D53B7"/>
    <w:rsid w:val="004F5D7D"/>
    <w:rsid w:val="0050092C"/>
    <w:rsid w:val="00543D5E"/>
    <w:rsid w:val="00552A75"/>
    <w:rsid w:val="00554220"/>
    <w:rsid w:val="0057160E"/>
    <w:rsid w:val="005718D9"/>
    <w:rsid w:val="00571F41"/>
    <w:rsid w:val="0059410B"/>
    <w:rsid w:val="00595BE4"/>
    <w:rsid w:val="005A450B"/>
    <w:rsid w:val="005B1542"/>
    <w:rsid w:val="005B4B9D"/>
    <w:rsid w:val="005B738F"/>
    <w:rsid w:val="005B76A3"/>
    <w:rsid w:val="005E5D1F"/>
    <w:rsid w:val="00603391"/>
    <w:rsid w:val="006049FD"/>
    <w:rsid w:val="00611D43"/>
    <w:rsid w:val="00612D48"/>
    <w:rsid w:val="00616B45"/>
    <w:rsid w:val="00630D9B"/>
    <w:rsid w:val="0063186B"/>
    <w:rsid w:val="00631953"/>
    <w:rsid w:val="00636A7D"/>
    <w:rsid w:val="00636DFA"/>
    <w:rsid w:val="006439EC"/>
    <w:rsid w:val="00677703"/>
    <w:rsid w:val="00680146"/>
    <w:rsid w:val="00681B4D"/>
    <w:rsid w:val="006A047B"/>
    <w:rsid w:val="006B18CE"/>
    <w:rsid w:val="006B4590"/>
    <w:rsid w:val="006B718F"/>
    <w:rsid w:val="006C340C"/>
    <w:rsid w:val="006E4CF8"/>
    <w:rsid w:val="006E5FC7"/>
    <w:rsid w:val="00701A0C"/>
    <w:rsid w:val="0070347C"/>
    <w:rsid w:val="00703AEB"/>
    <w:rsid w:val="007176C1"/>
    <w:rsid w:val="00771393"/>
    <w:rsid w:val="00783F37"/>
    <w:rsid w:val="00790F2F"/>
    <w:rsid w:val="007A6076"/>
    <w:rsid w:val="007A7A2C"/>
    <w:rsid w:val="007F55CB"/>
    <w:rsid w:val="008028C3"/>
    <w:rsid w:val="00805FE6"/>
    <w:rsid w:val="00812C1A"/>
    <w:rsid w:val="008272CB"/>
    <w:rsid w:val="00827AB8"/>
    <w:rsid w:val="008317F6"/>
    <w:rsid w:val="00844750"/>
    <w:rsid w:val="008550CD"/>
    <w:rsid w:val="00875C12"/>
    <w:rsid w:val="008B227F"/>
    <w:rsid w:val="008B44C4"/>
    <w:rsid w:val="008B7879"/>
    <w:rsid w:val="008C2211"/>
    <w:rsid w:val="008D3919"/>
    <w:rsid w:val="008E7FAE"/>
    <w:rsid w:val="00911BF7"/>
    <w:rsid w:val="00926E87"/>
    <w:rsid w:val="0093236F"/>
    <w:rsid w:val="00952FDB"/>
    <w:rsid w:val="00953AD2"/>
    <w:rsid w:val="00977EC8"/>
    <w:rsid w:val="00997AAC"/>
    <w:rsid w:val="009B18A3"/>
    <w:rsid w:val="009C6D99"/>
    <w:rsid w:val="009C7A41"/>
    <w:rsid w:val="009D3A8C"/>
    <w:rsid w:val="009E01B8"/>
    <w:rsid w:val="009E7956"/>
    <w:rsid w:val="00A11622"/>
    <w:rsid w:val="00A1547F"/>
    <w:rsid w:val="00A2492E"/>
    <w:rsid w:val="00A31F07"/>
    <w:rsid w:val="00A41235"/>
    <w:rsid w:val="00A60D8E"/>
    <w:rsid w:val="00A70163"/>
    <w:rsid w:val="00A80554"/>
    <w:rsid w:val="00A94422"/>
    <w:rsid w:val="00AA72C3"/>
    <w:rsid w:val="00AB2963"/>
    <w:rsid w:val="00AC67A1"/>
    <w:rsid w:val="00AC7977"/>
    <w:rsid w:val="00AE352C"/>
    <w:rsid w:val="00B316A2"/>
    <w:rsid w:val="00B32E2D"/>
    <w:rsid w:val="00B33C4A"/>
    <w:rsid w:val="00B4466B"/>
    <w:rsid w:val="00B50C0C"/>
    <w:rsid w:val="00B61990"/>
    <w:rsid w:val="00B6602A"/>
    <w:rsid w:val="00B85D99"/>
    <w:rsid w:val="00B93E72"/>
    <w:rsid w:val="00B94939"/>
    <w:rsid w:val="00BB5FE0"/>
    <w:rsid w:val="00BF0556"/>
    <w:rsid w:val="00BF06B0"/>
    <w:rsid w:val="00C227C5"/>
    <w:rsid w:val="00C24B53"/>
    <w:rsid w:val="00C261F8"/>
    <w:rsid w:val="00C33100"/>
    <w:rsid w:val="00C36C3E"/>
    <w:rsid w:val="00C71688"/>
    <w:rsid w:val="00C86E25"/>
    <w:rsid w:val="00C90024"/>
    <w:rsid w:val="00C91ED1"/>
    <w:rsid w:val="00C940E9"/>
    <w:rsid w:val="00CB6267"/>
    <w:rsid w:val="00CD1A71"/>
    <w:rsid w:val="00CD1FBB"/>
    <w:rsid w:val="00D016B5"/>
    <w:rsid w:val="00D034F1"/>
    <w:rsid w:val="00D11B17"/>
    <w:rsid w:val="00D27D5E"/>
    <w:rsid w:val="00D4185F"/>
    <w:rsid w:val="00D46F75"/>
    <w:rsid w:val="00D60301"/>
    <w:rsid w:val="00D6564E"/>
    <w:rsid w:val="00DA57D4"/>
    <w:rsid w:val="00DB4793"/>
    <w:rsid w:val="00DD696C"/>
    <w:rsid w:val="00DE01E3"/>
    <w:rsid w:val="00DE6122"/>
    <w:rsid w:val="00DE6D90"/>
    <w:rsid w:val="00DF002F"/>
    <w:rsid w:val="00DF1610"/>
    <w:rsid w:val="00E0244D"/>
    <w:rsid w:val="00E048B7"/>
    <w:rsid w:val="00E16891"/>
    <w:rsid w:val="00E2307E"/>
    <w:rsid w:val="00E55D71"/>
    <w:rsid w:val="00E81E94"/>
    <w:rsid w:val="00E82607"/>
    <w:rsid w:val="00E955D7"/>
    <w:rsid w:val="00E959A2"/>
    <w:rsid w:val="00E96D42"/>
    <w:rsid w:val="00EA087F"/>
    <w:rsid w:val="00EA31C2"/>
    <w:rsid w:val="00EA31EE"/>
    <w:rsid w:val="00EC2C33"/>
    <w:rsid w:val="00EE2EA3"/>
    <w:rsid w:val="00F01516"/>
    <w:rsid w:val="00F57129"/>
    <w:rsid w:val="00F62DA9"/>
    <w:rsid w:val="00F75EA9"/>
    <w:rsid w:val="00F91301"/>
    <w:rsid w:val="00FA107C"/>
    <w:rsid w:val="00FA5A79"/>
    <w:rsid w:val="00FA6422"/>
    <w:rsid w:val="00FA6A84"/>
    <w:rsid w:val="00FA6B16"/>
    <w:rsid w:val="00FB00CB"/>
    <w:rsid w:val="00FB0BFE"/>
    <w:rsid w:val="00FB4C51"/>
    <w:rsid w:val="00FD6052"/>
    <w:rsid w:val="00FF1D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62607C37"/>
  <w15:docId w15:val="{0D51B309-FAA0-43A9-81A1-19A88873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uiPriority w:val="99"/>
    <w:rsid w:val="000964C7"/>
    <w:pPr>
      <w:numPr>
        <w:numId w:val="1"/>
      </w:numPr>
      <w:spacing w:after="120"/>
      <w:ind w:right="1134"/>
      <w:jc w:val="both"/>
    </w:pPr>
  </w:style>
  <w:style w:type="paragraph" w:customStyle="1" w:styleId="Bullet2G">
    <w:name w:val="_Bullet 2_G"/>
    <w:basedOn w:val="Normal"/>
    <w:uiPriority w:val="99"/>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FootnoteTextChar">
    <w:name w:val="Footnote Text Char"/>
    <w:aliases w:val="5_G Char"/>
    <w:basedOn w:val="DefaultParagraphFont"/>
    <w:link w:val="FootnoteText"/>
    <w:rsid w:val="00953AD2"/>
    <w:rPr>
      <w:sz w:val="18"/>
      <w:lang w:val="fr-CH" w:eastAsia="en-US"/>
    </w:rPr>
  </w:style>
  <w:style w:type="character" w:customStyle="1" w:styleId="HChGChar">
    <w:name w:val="_ H _Ch_G Char"/>
    <w:link w:val="HChG"/>
    <w:rsid w:val="00953AD2"/>
    <w:rPr>
      <w:b/>
      <w:sz w:val="28"/>
      <w:lang w:val="fr-CH" w:eastAsia="en-US"/>
    </w:rPr>
  </w:style>
  <w:style w:type="character" w:customStyle="1" w:styleId="H23GChar">
    <w:name w:val="_ H_2/3_G Char"/>
    <w:link w:val="H23G"/>
    <w:rsid w:val="00953AD2"/>
    <w:rPr>
      <w:b/>
      <w:lang w:val="fr-CH" w:eastAsia="en-US"/>
    </w:rPr>
  </w:style>
  <w:style w:type="character" w:customStyle="1" w:styleId="H1GChar">
    <w:name w:val="_ H_1_G Char"/>
    <w:link w:val="H1G"/>
    <w:rsid w:val="007A7A2C"/>
    <w:rPr>
      <w:b/>
      <w:sz w:val="24"/>
      <w:lang w:val="fr-CH" w:eastAsia="en-US"/>
    </w:rPr>
  </w:style>
  <w:style w:type="character" w:customStyle="1" w:styleId="SingleTxtGCar">
    <w:name w:val="_ Single Txt_G Car"/>
    <w:link w:val="SingleTxtG"/>
    <w:uiPriority w:val="99"/>
    <w:rsid w:val="007A7A2C"/>
    <w:rPr>
      <w:lang w:val="fr-CH" w:eastAsia="en-US"/>
    </w:rPr>
  </w:style>
  <w:style w:type="character" w:customStyle="1" w:styleId="SingleTxtGChar">
    <w:name w:val="_ Single Txt_G Char"/>
    <w:uiPriority w:val="99"/>
    <w:qFormat/>
    <w:rsid w:val="007A7A2C"/>
    <w:rPr>
      <w:lang w:val="fr-CH" w:eastAsia="en-US"/>
    </w:rPr>
  </w:style>
  <w:style w:type="paragraph" w:styleId="BalloonText">
    <w:name w:val="Balloon Text"/>
    <w:basedOn w:val="Normal"/>
    <w:link w:val="BalloonTextChar"/>
    <w:semiHidden/>
    <w:unhideWhenUsed/>
    <w:rsid w:val="000215B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215B0"/>
    <w:rPr>
      <w:rFonts w:ascii="Tahoma" w:hAnsi="Tahoma" w:cs="Tahoma"/>
      <w:sz w:val="16"/>
      <w:szCs w:val="16"/>
      <w:lang w:val="fr-CH" w:eastAsia="en-US"/>
    </w:rPr>
  </w:style>
  <w:style w:type="character" w:styleId="CommentReference">
    <w:name w:val="annotation reference"/>
    <w:basedOn w:val="DefaultParagraphFont"/>
    <w:semiHidden/>
    <w:unhideWhenUsed/>
    <w:rsid w:val="000215B0"/>
    <w:rPr>
      <w:sz w:val="16"/>
      <w:szCs w:val="16"/>
    </w:rPr>
  </w:style>
  <w:style w:type="paragraph" w:styleId="CommentText">
    <w:name w:val="annotation text"/>
    <w:basedOn w:val="Normal"/>
    <w:link w:val="CommentTextChar"/>
    <w:semiHidden/>
    <w:unhideWhenUsed/>
    <w:rsid w:val="000215B0"/>
    <w:pPr>
      <w:spacing w:line="240" w:lineRule="auto"/>
    </w:pPr>
  </w:style>
  <w:style w:type="character" w:customStyle="1" w:styleId="CommentTextChar">
    <w:name w:val="Comment Text Char"/>
    <w:basedOn w:val="DefaultParagraphFont"/>
    <w:link w:val="CommentText"/>
    <w:semiHidden/>
    <w:rsid w:val="000215B0"/>
    <w:rPr>
      <w:lang w:val="fr-CH" w:eastAsia="en-US"/>
    </w:rPr>
  </w:style>
  <w:style w:type="paragraph" w:styleId="CommentSubject">
    <w:name w:val="annotation subject"/>
    <w:basedOn w:val="CommentText"/>
    <w:next w:val="CommentText"/>
    <w:link w:val="CommentSubjectChar"/>
    <w:semiHidden/>
    <w:unhideWhenUsed/>
    <w:rsid w:val="000215B0"/>
    <w:rPr>
      <w:b/>
      <w:bCs/>
    </w:rPr>
  </w:style>
  <w:style w:type="character" w:customStyle="1" w:styleId="CommentSubjectChar">
    <w:name w:val="Comment Subject Char"/>
    <w:basedOn w:val="CommentTextChar"/>
    <w:link w:val="CommentSubject"/>
    <w:semiHidden/>
    <w:rsid w:val="000215B0"/>
    <w:rPr>
      <w:b/>
      <w:bCs/>
      <w:lang w:val="fr-CH" w:eastAsia="en-US"/>
    </w:rPr>
  </w:style>
  <w:style w:type="paragraph" w:customStyle="1" w:styleId="Tabletext9">
    <w:name w:val="Table text (9)"/>
    <w:basedOn w:val="Normal"/>
    <w:uiPriority w:val="99"/>
    <w:rsid w:val="00681B4D"/>
    <w:pPr>
      <w:suppressAutoHyphens w:val="0"/>
      <w:spacing w:before="60" w:after="60" w:line="210" w:lineRule="atLeast"/>
      <w:jc w:val="both"/>
    </w:pPr>
    <w:rPr>
      <w:rFonts w:ascii="Arial" w:eastAsia="MS Mincho" w:hAnsi="Arial"/>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5976">
      <w:bodyDiv w:val="1"/>
      <w:marLeft w:val="0"/>
      <w:marRight w:val="0"/>
      <w:marTop w:val="0"/>
      <w:marBottom w:val="0"/>
      <w:divBdr>
        <w:top w:val="none" w:sz="0" w:space="0" w:color="auto"/>
        <w:left w:val="none" w:sz="0" w:space="0" w:color="auto"/>
        <w:bottom w:val="none" w:sz="0" w:space="0" w:color="auto"/>
        <w:right w:val="none" w:sz="0" w:space="0" w:color="auto"/>
      </w:divBdr>
    </w:div>
    <w:div w:id="157354904">
      <w:bodyDiv w:val="1"/>
      <w:marLeft w:val="0"/>
      <w:marRight w:val="0"/>
      <w:marTop w:val="0"/>
      <w:marBottom w:val="0"/>
      <w:divBdr>
        <w:top w:val="none" w:sz="0" w:space="0" w:color="auto"/>
        <w:left w:val="none" w:sz="0" w:space="0" w:color="auto"/>
        <w:bottom w:val="none" w:sz="0" w:space="0" w:color="auto"/>
        <w:right w:val="none" w:sz="0" w:space="0" w:color="auto"/>
      </w:divBdr>
    </w:div>
    <w:div w:id="552620303">
      <w:bodyDiv w:val="1"/>
      <w:marLeft w:val="0"/>
      <w:marRight w:val="0"/>
      <w:marTop w:val="0"/>
      <w:marBottom w:val="0"/>
      <w:divBdr>
        <w:top w:val="none" w:sz="0" w:space="0" w:color="auto"/>
        <w:left w:val="none" w:sz="0" w:space="0" w:color="auto"/>
        <w:bottom w:val="none" w:sz="0" w:space="0" w:color="auto"/>
        <w:right w:val="none" w:sz="0" w:space="0" w:color="auto"/>
      </w:divBdr>
    </w:div>
    <w:div w:id="688215753">
      <w:bodyDiv w:val="1"/>
      <w:marLeft w:val="0"/>
      <w:marRight w:val="0"/>
      <w:marTop w:val="0"/>
      <w:marBottom w:val="0"/>
      <w:divBdr>
        <w:top w:val="none" w:sz="0" w:space="0" w:color="auto"/>
        <w:left w:val="none" w:sz="0" w:space="0" w:color="auto"/>
        <w:bottom w:val="none" w:sz="0" w:space="0" w:color="auto"/>
        <w:right w:val="none" w:sz="0" w:space="0" w:color="auto"/>
      </w:divBdr>
    </w:div>
    <w:div w:id="861286532">
      <w:bodyDiv w:val="1"/>
      <w:marLeft w:val="0"/>
      <w:marRight w:val="0"/>
      <w:marTop w:val="0"/>
      <w:marBottom w:val="0"/>
      <w:divBdr>
        <w:top w:val="none" w:sz="0" w:space="0" w:color="auto"/>
        <w:left w:val="none" w:sz="0" w:space="0" w:color="auto"/>
        <w:bottom w:val="none" w:sz="0" w:space="0" w:color="auto"/>
        <w:right w:val="none" w:sz="0" w:space="0" w:color="auto"/>
      </w:divBdr>
    </w:div>
    <w:div w:id="891698271">
      <w:bodyDiv w:val="1"/>
      <w:marLeft w:val="0"/>
      <w:marRight w:val="0"/>
      <w:marTop w:val="0"/>
      <w:marBottom w:val="0"/>
      <w:divBdr>
        <w:top w:val="none" w:sz="0" w:space="0" w:color="auto"/>
        <w:left w:val="none" w:sz="0" w:space="0" w:color="auto"/>
        <w:bottom w:val="none" w:sz="0" w:space="0" w:color="auto"/>
        <w:right w:val="none" w:sz="0" w:space="0" w:color="auto"/>
      </w:divBdr>
    </w:div>
    <w:div w:id="944534559">
      <w:bodyDiv w:val="1"/>
      <w:marLeft w:val="0"/>
      <w:marRight w:val="0"/>
      <w:marTop w:val="0"/>
      <w:marBottom w:val="0"/>
      <w:divBdr>
        <w:top w:val="none" w:sz="0" w:space="0" w:color="auto"/>
        <w:left w:val="none" w:sz="0" w:space="0" w:color="auto"/>
        <w:bottom w:val="none" w:sz="0" w:space="0" w:color="auto"/>
        <w:right w:val="none" w:sz="0" w:space="0" w:color="auto"/>
      </w:divBdr>
    </w:div>
    <w:div w:id="1404835097">
      <w:bodyDiv w:val="1"/>
      <w:marLeft w:val="0"/>
      <w:marRight w:val="0"/>
      <w:marTop w:val="0"/>
      <w:marBottom w:val="0"/>
      <w:divBdr>
        <w:top w:val="none" w:sz="0" w:space="0" w:color="auto"/>
        <w:left w:val="none" w:sz="0" w:space="0" w:color="auto"/>
        <w:bottom w:val="none" w:sz="0" w:space="0" w:color="auto"/>
        <w:right w:val="none" w:sz="0" w:space="0" w:color="auto"/>
      </w:divBdr>
    </w:div>
    <w:div w:id="1441490551">
      <w:bodyDiv w:val="1"/>
      <w:marLeft w:val="0"/>
      <w:marRight w:val="0"/>
      <w:marTop w:val="0"/>
      <w:marBottom w:val="0"/>
      <w:divBdr>
        <w:top w:val="none" w:sz="0" w:space="0" w:color="auto"/>
        <w:left w:val="none" w:sz="0" w:space="0" w:color="auto"/>
        <w:bottom w:val="none" w:sz="0" w:space="0" w:color="auto"/>
        <w:right w:val="none" w:sz="0" w:space="0" w:color="auto"/>
      </w:divBdr>
    </w:div>
    <w:div w:id="20828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Template>
  <TotalTime>150</TotalTime>
  <Pages>19</Pages>
  <Words>6647</Words>
  <Characters>37893</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Modifs Ariane</dc:creator>
  <cp:lastModifiedBy>Editorial</cp:lastModifiedBy>
  <cp:revision>58</cp:revision>
  <cp:lastPrinted>2017-10-05T08:35:00Z</cp:lastPrinted>
  <dcterms:created xsi:type="dcterms:W3CDTF">2017-10-11T07:58:00Z</dcterms:created>
  <dcterms:modified xsi:type="dcterms:W3CDTF">2017-10-20T11:52:00Z</dcterms:modified>
</cp:coreProperties>
</file>