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17C2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2C3EF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17C23" w:rsidP="00917C23">
            <w:pPr>
              <w:jc w:val="right"/>
            </w:pPr>
            <w:r w:rsidRPr="00917C23">
              <w:rPr>
                <w:sz w:val="40"/>
              </w:rPr>
              <w:t>ECE</w:t>
            </w:r>
            <w:r>
              <w:t>/TRANS/WP.15/AC.1/144/Add.1</w:t>
            </w:r>
          </w:p>
        </w:tc>
      </w:tr>
      <w:tr w:rsidR="00F35BAF" w:rsidRPr="00DB58B5" w:rsidTr="002C3EF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2C3EF8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2C3EF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17C23" w:rsidP="002C3EF8">
            <w:pPr>
              <w:spacing w:before="240"/>
            </w:pPr>
            <w:r>
              <w:t>Distr. générale</w:t>
            </w:r>
          </w:p>
          <w:p w:rsidR="00917C23" w:rsidRDefault="00917C23" w:rsidP="00917C23">
            <w:pPr>
              <w:spacing w:line="240" w:lineRule="exact"/>
            </w:pPr>
            <w:r>
              <w:t>23 novembre 2016</w:t>
            </w:r>
          </w:p>
          <w:p w:rsidR="00917C23" w:rsidRDefault="00917C23" w:rsidP="00917C23">
            <w:pPr>
              <w:spacing w:line="240" w:lineRule="exact"/>
            </w:pPr>
            <w:r>
              <w:t>Français</w:t>
            </w:r>
          </w:p>
          <w:p w:rsidR="00917C23" w:rsidRPr="00DB58B5" w:rsidRDefault="00917C23" w:rsidP="00917C23">
            <w:pPr>
              <w:spacing w:line="240" w:lineRule="exact"/>
            </w:pPr>
            <w:r>
              <w:t>Original</w:t>
            </w:r>
            <w:r w:rsidR="00C06F8E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855A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042B9" w:rsidRPr="009E01B8" w:rsidRDefault="00F042B9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F042B9" w:rsidRPr="007F5AB3" w:rsidRDefault="00F042B9" w:rsidP="00F042B9">
      <w:pPr>
        <w:spacing w:before="120" w:line="240" w:lineRule="exact"/>
        <w:rPr>
          <w:b/>
        </w:rPr>
      </w:pPr>
      <w:r>
        <w:rPr>
          <w:b/>
        </w:rPr>
        <w:t>Réunion commune de la Commission d</w:t>
      </w:r>
      <w:r w:rsidR="00E855A0">
        <w:rPr>
          <w:b/>
        </w:rPr>
        <w:t>’</w:t>
      </w:r>
      <w:r>
        <w:rPr>
          <w:b/>
        </w:rPr>
        <w:t xml:space="preserve">experts du RID </w:t>
      </w:r>
      <w:r w:rsidR="001433E1">
        <w:rPr>
          <w:b/>
        </w:rPr>
        <w:br/>
      </w:r>
      <w:r>
        <w:rPr>
          <w:b/>
        </w:rPr>
        <w:t xml:space="preserve">et du Groupe de travail des transports </w:t>
      </w:r>
      <w:r w:rsidR="001433E1">
        <w:rPr>
          <w:b/>
        </w:rPr>
        <w:br/>
      </w:r>
      <w:r>
        <w:rPr>
          <w:b/>
        </w:rPr>
        <w:t>de marchandises dangereuses</w:t>
      </w:r>
    </w:p>
    <w:p w:rsidR="00F042B9" w:rsidRPr="007F5AB3" w:rsidRDefault="00F042B9" w:rsidP="001433E1">
      <w:pPr>
        <w:pStyle w:val="HChG"/>
      </w:pPr>
      <w:r>
        <w:tab/>
      </w:r>
      <w:r>
        <w:tab/>
        <w:t xml:space="preserve">Rapport de la Réunion commune de la Commission </w:t>
      </w:r>
      <w:r w:rsidR="001433E1">
        <w:br/>
      </w:r>
      <w:r>
        <w:t>d</w:t>
      </w:r>
      <w:r w:rsidR="00E855A0">
        <w:t>’</w:t>
      </w:r>
      <w:r>
        <w:t xml:space="preserve">experts du RID et du Groupe de travail </w:t>
      </w:r>
      <w:r w:rsidR="001433E1">
        <w:br/>
      </w:r>
      <w:r>
        <w:t xml:space="preserve">des transports </w:t>
      </w:r>
      <w:r w:rsidR="001433E1">
        <w:t>de marchandises dangereuses</w:t>
      </w:r>
      <w:r w:rsidR="001433E1">
        <w:br/>
      </w:r>
      <w:r>
        <w:t>sur sa session d</w:t>
      </w:r>
      <w:r w:rsidR="00E855A0">
        <w:t>’</w:t>
      </w:r>
      <w:r>
        <w:t>automne 2016</w:t>
      </w:r>
      <w:r w:rsidR="0012746A" w:rsidRPr="00E855A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042B9" w:rsidRPr="007F5AB3" w:rsidRDefault="0012746A" w:rsidP="0012746A">
      <w:pPr>
        <w:pStyle w:val="SingleTxtG"/>
      </w:pPr>
      <w:r>
        <w:t>T</w:t>
      </w:r>
      <w:r w:rsidR="00F042B9">
        <w:t>enue à Genève du 19 au 23 septembre 2016</w:t>
      </w:r>
    </w:p>
    <w:p w:rsidR="00F042B9" w:rsidRPr="007F5AB3" w:rsidRDefault="00F042B9" w:rsidP="0012746A">
      <w:pPr>
        <w:pStyle w:val="H23G"/>
      </w:pPr>
      <w:r>
        <w:tab/>
      </w:r>
      <w:r>
        <w:tab/>
        <w:t>Additif</w:t>
      </w:r>
      <w:r w:rsidR="00987CF9" w:rsidRPr="00987CF9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F042B9" w:rsidRPr="007F5AB3" w:rsidRDefault="00F042B9" w:rsidP="00987CF9">
      <w:pPr>
        <w:pStyle w:val="HChG"/>
      </w:pPr>
      <w:r>
        <w:tab/>
      </w:r>
      <w:r>
        <w:tab/>
        <w:t>Annexe I</w:t>
      </w:r>
    </w:p>
    <w:p w:rsidR="00F042B9" w:rsidRPr="007F5AB3" w:rsidRDefault="00F042B9" w:rsidP="00987CF9">
      <w:pPr>
        <w:pStyle w:val="H1G"/>
      </w:pPr>
      <w:r>
        <w:tab/>
      </w:r>
      <w:r>
        <w:tab/>
        <w:t>Rapport du Groupe de travail des citernes</w:t>
      </w:r>
    </w:p>
    <w:p w:rsidR="00F042B9" w:rsidRPr="007F5AB3" w:rsidRDefault="00F042B9" w:rsidP="00987CF9">
      <w:pPr>
        <w:pStyle w:val="ParNoG"/>
      </w:pPr>
      <w:r>
        <w:t>Le Groupe de travail des citernes s</w:t>
      </w:r>
      <w:r w:rsidR="00E855A0">
        <w:t>’</w:t>
      </w:r>
      <w:r>
        <w:t>est réuni du 19 au 21</w:t>
      </w:r>
      <w:r w:rsidR="00987CF9">
        <w:t> </w:t>
      </w:r>
      <w:r>
        <w:t>septembre 2016 à Genève, au titre du mandat de la Réunion commune RID/AD</w:t>
      </w:r>
      <w:r w:rsidR="00987CF9">
        <w:t>R/ADN, sous la présidence de M. Arne </w:t>
      </w:r>
      <w:r>
        <w:t xml:space="preserve">Bale (Royaume-Uni), M. Kees de Putter (Pays-Bas) exerçant la fonction de secrétaire. Les documents pertinents avaient été soumis à la </w:t>
      </w:r>
      <w:r w:rsidRPr="00BA299D">
        <w:t>session plénière</w:t>
      </w:r>
      <w:r>
        <w:t xml:space="preserve"> et transmis au groupe de travail pour examen.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lastRenderedPageBreak/>
        <w:t>Le Groupe de travail des citernes, composé de 25 représentants et experts de 13 pays et de 7 organisations non gouvernementales, a examiné les documents officiels et informels suivants</w:t>
      </w:r>
      <w:r w:rsidR="00C06F8E">
        <w:t> :</w:t>
      </w:r>
    </w:p>
    <w:p w:rsidR="00F042B9" w:rsidRPr="007F5AB3" w:rsidRDefault="00F042B9" w:rsidP="0077297D">
      <w:pPr>
        <w:pStyle w:val="SingleTxtG"/>
        <w:spacing w:line="240" w:lineRule="exact"/>
        <w:ind w:left="3119" w:hanging="1985"/>
        <w:jc w:val="left"/>
      </w:pPr>
      <w:r>
        <w:rPr>
          <w:i/>
        </w:rPr>
        <w:t>Documents</w:t>
      </w:r>
      <w:r w:rsidR="00C06F8E">
        <w:rPr>
          <w:i/>
        </w:rPr>
        <w:t> </w:t>
      </w:r>
      <w:r w:rsidR="00C06F8E" w:rsidRPr="00E855A0">
        <w:t>:</w:t>
      </w:r>
      <w:r w:rsidR="003A22CC">
        <w:tab/>
      </w:r>
      <w:r>
        <w:t>ECE/TRANS/WP.15/AC.1/2016/20 (CEN)</w:t>
      </w:r>
      <w:r w:rsidR="00F44282">
        <w:t> ;</w:t>
      </w:r>
      <w:r w:rsidR="00F44282">
        <w:br/>
      </w:r>
      <w:r>
        <w:t>ECE/TRANS/WP.15/AC.1/2016/21 (EIGA)</w:t>
      </w:r>
      <w:r w:rsidR="00F44282">
        <w:t> ;</w:t>
      </w:r>
      <w:r w:rsidR="00F44282">
        <w:br/>
      </w:r>
      <w:r>
        <w:t>ECE/TRANS/WP.15/AC.1/2016/23 (Fédération de Russie)</w:t>
      </w:r>
      <w:r w:rsidR="00F44282">
        <w:t> ;</w:t>
      </w:r>
      <w:r w:rsidR="00F44282">
        <w:br/>
      </w:r>
      <w:r>
        <w:t>ECE/TRANS/WP.15/AC.1/2016/25 (Pays-Bas)</w:t>
      </w:r>
      <w:r w:rsidR="00F44282">
        <w:t> ;</w:t>
      </w:r>
      <w:r w:rsidR="00F44282">
        <w:br/>
      </w:r>
      <w:r>
        <w:t>ECE/TRANS/WP.15/AC.1/2016/26 (Pays-Bas)</w:t>
      </w:r>
      <w:r w:rsidR="00F44282">
        <w:t> ;</w:t>
      </w:r>
      <w:r>
        <w:br/>
        <w:t>ECE/TRANS/WP.15/AC.1/2016/31 (Pays-Bas)</w:t>
      </w:r>
      <w:r w:rsidR="00F44282">
        <w:t> ;</w:t>
      </w:r>
      <w:r>
        <w:br/>
        <w:t>ECE/TRANS/WP.15/AC.1/2016/36 (CEN)</w:t>
      </w:r>
      <w:r w:rsidR="00F44282">
        <w:t> ;</w:t>
      </w:r>
      <w:r>
        <w:br/>
        <w:t>ECE/TRANS/WP.15/AC.1/2016/37 (France).</w:t>
      </w:r>
    </w:p>
    <w:p w:rsidR="00F042B9" w:rsidRPr="007F5AB3" w:rsidRDefault="00F042B9" w:rsidP="003A22CC">
      <w:pPr>
        <w:pStyle w:val="SingleTxtG"/>
        <w:spacing w:after="0" w:line="240" w:lineRule="exact"/>
        <w:ind w:left="3119" w:hanging="1985"/>
        <w:jc w:val="left"/>
      </w:pPr>
      <w:r>
        <w:rPr>
          <w:i/>
        </w:rPr>
        <w:t>Documents informels</w:t>
      </w:r>
      <w:r w:rsidR="00C06F8E">
        <w:rPr>
          <w:i/>
        </w:rPr>
        <w:t> </w:t>
      </w:r>
      <w:r w:rsidR="00C06F8E" w:rsidRPr="00E855A0">
        <w:t>:</w:t>
      </w:r>
      <w:r w:rsidR="0077297D">
        <w:tab/>
      </w:r>
      <w:r>
        <w:t>INF.6 (Fédération de Russie)</w:t>
      </w:r>
      <w:r w:rsidR="0077297D">
        <w:t xml:space="preserve"> ; </w:t>
      </w:r>
      <w:r w:rsidR="0077297D">
        <w:br/>
      </w:r>
      <w:r>
        <w:t>INF.8 (AEGPL)</w:t>
      </w:r>
      <w:r w:rsidR="0077297D">
        <w:t> ;</w:t>
      </w:r>
      <w:r w:rsidR="0077297D">
        <w:br/>
      </w:r>
      <w:r>
        <w:t>INF.9 (AEGPL)</w:t>
      </w:r>
      <w:r w:rsidR="0077297D">
        <w:t> ;</w:t>
      </w:r>
      <w:r w:rsidR="0077297D">
        <w:br/>
      </w:r>
      <w:r>
        <w:t>INF.12 (Royaume-Uni)</w:t>
      </w:r>
      <w:r w:rsidR="0077297D">
        <w:t> ;</w:t>
      </w:r>
      <w:r w:rsidR="0077297D">
        <w:br/>
      </w:r>
      <w:r>
        <w:t>INF.16 (Royaume-Uni)</w:t>
      </w:r>
      <w:r w:rsidR="0077297D">
        <w:t> ;</w:t>
      </w:r>
      <w:r w:rsidR="0077297D">
        <w:br/>
      </w:r>
      <w:r>
        <w:t>INF.19 (Royaume-Uni)</w:t>
      </w:r>
      <w:r w:rsidR="0077297D">
        <w:t> ;</w:t>
      </w:r>
      <w:r w:rsidR="0077297D">
        <w:br/>
      </w:r>
      <w:r>
        <w:t>INF.21 (Allemagne)</w:t>
      </w:r>
      <w:r w:rsidR="0077297D">
        <w:t> ;</w:t>
      </w:r>
      <w:r w:rsidR="0077297D">
        <w:br/>
      </w:r>
      <w:r>
        <w:t>INF.23 (Allemagne)</w:t>
      </w:r>
      <w:r w:rsidR="0077297D">
        <w:t> ;</w:t>
      </w:r>
      <w:r w:rsidR="0077297D">
        <w:br/>
        <w:t>INF.28 (Portugal) ;</w:t>
      </w:r>
      <w:r w:rsidR="0077297D">
        <w:br/>
      </w:r>
      <w:r>
        <w:t>INF.31 (États-Unis d</w:t>
      </w:r>
      <w:r w:rsidR="00E855A0">
        <w:t>’</w:t>
      </w:r>
      <w:r>
        <w:t xml:space="preserve">Amérique). </w:t>
      </w:r>
    </w:p>
    <w:p w:rsidR="00F042B9" w:rsidRPr="007F5AB3" w:rsidRDefault="00C06F8E" w:rsidP="00C06F8E">
      <w:pPr>
        <w:pStyle w:val="H23G"/>
      </w:pPr>
      <w:r>
        <w:tab/>
      </w:r>
      <w:r>
        <w:tab/>
      </w:r>
      <w:r w:rsidR="00F042B9">
        <w:t>Point 1</w:t>
      </w:r>
      <w:r>
        <w:br/>
      </w:r>
      <w:r w:rsidR="00F042B9">
        <w:t xml:space="preserve">ECE/TRANS/WP.15/AC.1/2016/20 (CEN) </w:t>
      </w:r>
      <w:r>
        <w:t>−</w:t>
      </w:r>
      <w:r w:rsidR="00F042B9">
        <w:t xml:space="preserve"> Demande d</w:t>
      </w:r>
      <w:r w:rsidR="00E855A0">
        <w:t>’</w:t>
      </w:r>
      <w:r w:rsidR="00F042B9">
        <w:t xml:space="preserve">avis du Groupe de travail </w:t>
      </w:r>
      <w:r>
        <w:br/>
      </w:r>
      <w:r w:rsidR="00F042B9">
        <w:t>des citernes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La demande d</w:t>
      </w:r>
      <w:r w:rsidR="00E855A0">
        <w:t>’</w:t>
      </w:r>
      <w:r>
        <w:t>avis soumise par le Comité européen de normalisation (CEN) portait sur la norme EN</w:t>
      </w:r>
      <w:r w:rsidR="002C3EF8">
        <w:t> </w:t>
      </w:r>
      <w:r>
        <w:t>16522 concernant les arrête-flammes. Le groupe de travail n</w:t>
      </w:r>
      <w:r w:rsidR="00E855A0">
        <w:t>’</w:t>
      </w:r>
      <w:r>
        <w:t>a formulé aucune observation à l</w:t>
      </w:r>
      <w:r w:rsidR="00E855A0">
        <w:t>’</w:t>
      </w:r>
      <w:r>
        <w:t>égard du contenu technique de la norme, si ce n</w:t>
      </w:r>
      <w:r w:rsidR="00E855A0">
        <w:t>’</w:t>
      </w:r>
      <w:r>
        <w:t>est que la désignation utilisée pour l</w:t>
      </w:r>
      <w:r w:rsidR="00E855A0">
        <w:t>’</w:t>
      </w:r>
      <w:r>
        <w:t>essai des arrête-flammes, à savoir « arrête-flamme bout de ligne », pouvait soulever certaines questions en pratique.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Quant à savoir s</w:t>
      </w:r>
      <w:r w:rsidR="00E855A0">
        <w:t>’</w:t>
      </w:r>
      <w:r>
        <w:t>il convenait de renvoyer à la norme au</w:t>
      </w:r>
      <w:r w:rsidR="002C3EF8">
        <w:t> </w:t>
      </w:r>
      <w:r>
        <w:t>6.8.2.6.1 ou plutôt de faire figurer directement au</w:t>
      </w:r>
      <w:r w:rsidR="002C3EF8">
        <w:t> </w:t>
      </w:r>
      <w:r>
        <w:t>6.8.2.2.3 l</w:t>
      </w:r>
      <w:r w:rsidR="00E855A0">
        <w:t>’</w:t>
      </w:r>
      <w:r>
        <w:t>information qui s</w:t>
      </w:r>
      <w:r w:rsidR="00E855A0">
        <w:t>’</w:t>
      </w:r>
      <w:r>
        <w:t>y trouvait, la plupart des experts</w:t>
      </w:r>
      <w:r w:rsidR="00700031">
        <w:t xml:space="preserve"> </w:t>
      </w:r>
      <w:r>
        <w:t>se sont accordés à dire qu</w:t>
      </w:r>
      <w:r w:rsidR="00E855A0">
        <w:t>’</w:t>
      </w:r>
      <w:r>
        <w:t>il serait préférable d</w:t>
      </w:r>
      <w:r w:rsidR="00E855A0">
        <w:t>’</w:t>
      </w:r>
      <w:r>
        <w:t>ajouter certaines prescriptions dans le</w:t>
      </w:r>
      <w:r w:rsidR="002C3EF8">
        <w:t> </w:t>
      </w:r>
      <w:r>
        <w:t>6.8.2.2.3. Il a également été décidé de limiter le champ d</w:t>
      </w:r>
      <w:r w:rsidR="00E855A0">
        <w:t>’</w:t>
      </w:r>
      <w:r>
        <w:t>application de l</w:t>
      </w:r>
      <w:r w:rsidR="00E855A0">
        <w:t>’</w:t>
      </w:r>
      <w:r>
        <w:t>essai des arrête-flammes à ceux qui étaient équipés de dispositifs de respiration et non de soupapes de dépression.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Le représentant des Pays-Bas a été prié d</w:t>
      </w:r>
      <w:r w:rsidR="00E855A0">
        <w:t>’</w:t>
      </w:r>
      <w:r>
        <w:t>élaborer le libellé de ces prescriptions en collaboration avec le représentant de la France en vue de la session suivante.</w:t>
      </w:r>
    </w:p>
    <w:p w:rsidR="00F042B9" w:rsidRPr="007F5AB3" w:rsidRDefault="002C3EF8" w:rsidP="002C3EF8">
      <w:pPr>
        <w:pStyle w:val="H23G"/>
      </w:pPr>
      <w:r>
        <w:tab/>
      </w:r>
      <w:r>
        <w:tab/>
      </w:r>
      <w:r w:rsidR="00F042B9">
        <w:t>Point 2</w:t>
      </w:r>
      <w:r>
        <w:br/>
      </w:r>
      <w:r w:rsidR="00F042B9">
        <w:t xml:space="preserve">ECE/TRANS/WP.15/AC.1/2016/21 (EIGA) </w:t>
      </w:r>
      <w:r>
        <w:t>−</w:t>
      </w:r>
      <w:r w:rsidR="00F042B9">
        <w:t xml:space="preserve"> Équipements de service pour les citernes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Le Président du groupe de travail informel des dispositions relatives à l</w:t>
      </w:r>
      <w:r w:rsidR="00E855A0">
        <w:t>’</w:t>
      </w:r>
      <w:r>
        <w:t>équipement des citernes et récipients à pression a présenté le document en soulevant un certain nombre de questions concernant l</w:t>
      </w:r>
      <w:r w:rsidR="00E855A0">
        <w:t>’</w:t>
      </w:r>
      <w:r>
        <w:t>agrément des équipements de service pour les citernes.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Plusieurs experts ont indiqué que le groupe de travail informel de l</w:t>
      </w:r>
      <w:r w:rsidR="00E855A0">
        <w:t>’</w:t>
      </w:r>
      <w:r>
        <w:t>inspection et de la certification des citernes étudiait actuellement cette question, et pourrait être à même d</w:t>
      </w:r>
      <w:r w:rsidR="00E855A0">
        <w:t>’</w:t>
      </w:r>
      <w:r>
        <w:t>y</w:t>
      </w:r>
      <w:r w:rsidR="002C3EF8">
        <w:t> </w:t>
      </w:r>
      <w:r>
        <w:t>apporter une réponse définitive. Il a été suggéré d</w:t>
      </w:r>
      <w:r w:rsidR="00E855A0">
        <w:t>’</w:t>
      </w:r>
      <w:r>
        <w:t>attendre les conclusions du groupe de travail, qui devaient être présentées à la session suivante, en mars 2017.</w:t>
      </w:r>
    </w:p>
    <w:p w:rsidR="00F042B9" w:rsidRPr="00CA6622" w:rsidRDefault="00F042B9" w:rsidP="00C15DF8">
      <w:pPr>
        <w:pStyle w:val="H23G"/>
      </w:pPr>
      <w:r>
        <w:lastRenderedPageBreak/>
        <w:tab/>
      </w:r>
      <w:r w:rsidRPr="00CA6622">
        <w:tab/>
        <w:t>Point 3</w:t>
      </w:r>
      <w:r w:rsidR="00C15DF8">
        <w:br/>
      </w:r>
      <w:r w:rsidRPr="00CA6622">
        <w:t xml:space="preserve">ECE/TRANS/WP.15/AC.1/2016/23 (Fédération de Russie) </w:t>
      </w:r>
      <w:r w:rsidR="00C15DF8">
        <w:t xml:space="preserve">− Document </w:t>
      </w:r>
      <w:r w:rsidR="00C15DF8">
        <w:br/>
      </w:r>
      <w:r w:rsidRPr="00CA6622">
        <w:t>Dispositions supplémentaires pour la classe 2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Afin de protéger contre l</w:t>
      </w:r>
      <w:r w:rsidR="00E855A0">
        <w:t>’</w:t>
      </w:r>
      <w:r>
        <w:t>implosion, à faible température ambiante, les wagons-citernes ayant servi au transport de gaz liquéfiés, il est prescrit, dans l</w:t>
      </w:r>
      <w:r w:rsidR="00E855A0">
        <w:t>’</w:t>
      </w:r>
      <w:r>
        <w:t>annexe 2 de l</w:t>
      </w:r>
      <w:r w:rsidR="00E855A0">
        <w:t>’</w:t>
      </w:r>
      <w:r>
        <w:t>Accord concernant le transport international des marchandises par chemins de fer (SMGS), de maintenir dans ces wagons une pression résiduelle après vidange. La pression résiduelle à appliquer devrait être consignée dans le document de transport. Ce point a été débattu, du 23 au 27 novembre 2015, par le groupe de travail permanent é de la Commission d</w:t>
      </w:r>
      <w:r w:rsidR="00E855A0">
        <w:t>’</w:t>
      </w:r>
      <w:r>
        <w:t>experts du RID et il a été suggéré d</w:t>
      </w:r>
      <w:r w:rsidR="00E855A0">
        <w:t>’</w:t>
      </w:r>
      <w:r>
        <w:t>en référer au Groupe de travail des citernes de la Réunion commune pour examen approfondi.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Plusieurs experts ont fait observer que l</w:t>
      </w:r>
      <w:r w:rsidR="00E855A0">
        <w:t>’</w:t>
      </w:r>
      <w:r>
        <w:t>utilité d</w:t>
      </w:r>
      <w:r w:rsidR="00E855A0">
        <w:t>’</w:t>
      </w:r>
      <w:r>
        <w:t>une protection contre l</w:t>
      </w:r>
      <w:r w:rsidR="00E855A0">
        <w:t>’</w:t>
      </w:r>
      <w:r>
        <w:t>implosion reposant sur la pression résiduelle des gaz liquéfiés dépendait de la température du gaz résiduel et de la citerne après vidange, ainsi que des propriétés du gaz transporté. Il a aussi été dit qu</w:t>
      </w:r>
      <w:r w:rsidR="00E855A0">
        <w:t>’</w:t>
      </w:r>
      <w:r>
        <w:t>il serait préférable de définir une température de sécurité minimale en fonction de la pression résiduelle, de la température après vidange et du type de gaz. Plusieurs experts n</w:t>
      </w:r>
      <w:r w:rsidR="00E855A0">
        <w:t>’</w:t>
      </w:r>
      <w:r>
        <w:t>étaient pas favorables à cette proposition en l</w:t>
      </w:r>
      <w:r w:rsidR="00E855A0">
        <w:t>’</w:t>
      </w:r>
      <w:r>
        <w:t>état. Il était jugé inutile de consigner des détails dans le document de transport. En outre, le</w:t>
      </w:r>
      <w:r w:rsidR="00C15DF8">
        <w:t> </w:t>
      </w:r>
      <w:r>
        <w:t>4.3.3.3.4 du RID/ADR comportait déjà des dispositions visant à prévenir l</w:t>
      </w:r>
      <w:r w:rsidR="00E855A0">
        <w:t>’</w:t>
      </w:r>
      <w:r>
        <w:t>implosion par faible température ambiante.</w:t>
      </w:r>
    </w:p>
    <w:p w:rsidR="00F042B9" w:rsidRPr="007F5AB3" w:rsidRDefault="00C15DF8" w:rsidP="00C15DF8">
      <w:pPr>
        <w:pStyle w:val="H23G"/>
      </w:pPr>
      <w:r>
        <w:tab/>
      </w:r>
      <w:r>
        <w:tab/>
      </w:r>
      <w:r w:rsidR="00F042B9">
        <w:t>Point 4</w:t>
      </w:r>
      <w:r>
        <w:br/>
      </w:r>
      <w:r w:rsidR="00F042B9">
        <w:t xml:space="preserve">ECE/TRANS/WP.15/AC.1/2016/25 (Pays-Bas) </w:t>
      </w:r>
      <w:r>
        <w:t>−</w:t>
      </w:r>
      <w:r w:rsidR="00F042B9">
        <w:t xml:space="preserve"> Prescription générale </w:t>
      </w:r>
      <w:r>
        <w:br/>
      </w:r>
      <w:r w:rsidR="00F042B9">
        <w:t xml:space="preserve">concernant les soupapes de sécurité des citernes et la pression nominale </w:t>
      </w:r>
      <w:r>
        <w:br/>
      </w:r>
      <w:r w:rsidR="00F042B9">
        <w:t>des disques de rupture et INF.9 (AEGPL)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Les Pays-Bas ont proposé de définir une pression nominale pour les disques de rupture liée à la pression de début d</w:t>
      </w:r>
      <w:r w:rsidR="00E855A0">
        <w:t>’</w:t>
      </w:r>
      <w:r>
        <w:t>ouverture de la soupape de sécurité et de fournir des renseignements plus détaillés concernant les prescriptions applicables aux soupapes de sécurité. L</w:t>
      </w:r>
      <w:r w:rsidR="00E855A0">
        <w:t>’</w:t>
      </w:r>
      <w:r w:rsidRPr="00101DBE">
        <w:t>Association européenne des gaz de pétrole liquéfiés</w:t>
      </w:r>
      <w:r>
        <w:t xml:space="preserve"> (AEGPL) s</w:t>
      </w:r>
      <w:r w:rsidR="00E855A0">
        <w:t>’</w:t>
      </w:r>
      <w:r>
        <w:t>est dite inquiète des effets que pourraient avoir ces nouvelles prescriptions sur les soupapes de sécurité des citernes utilisées pour le transport de gaz.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En ce qui concerne la proposition relative aux soupapes de sécurité, certains se sont interrogés sur la nécessité de fournir plus de détails, puisque le</w:t>
      </w:r>
      <w:r w:rsidR="00160B13">
        <w:t> </w:t>
      </w:r>
      <w:r>
        <w:t>1.2.1 en comportait déjà. Il a été confirmé que cette proposition ne modifiait pas les prescriptions applicables aux soupapes de sécurité des citernes utilisées pour le transport de gaz.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Plusieurs experts ont approuvé l</w:t>
      </w:r>
      <w:r w:rsidR="00E855A0">
        <w:t>’</w:t>
      </w:r>
      <w:r>
        <w:t>idée d</w:t>
      </w:r>
      <w:r w:rsidR="00E855A0">
        <w:t>’</w:t>
      </w:r>
      <w:r>
        <w:t>une pression nominale défi</w:t>
      </w:r>
      <w:r w:rsidR="00E855A0">
        <w:t>nie pour les disques de rupture</w:t>
      </w:r>
      <w:r>
        <w:t xml:space="preserve"> qui, selon eux, favoriserait une plus grande harmonisation en supprimant l</w:t>
      </w:r>
      <w:r w:rsidR="00E855A0">
        <w:t>’</w:t>
      </w:r>
      <w:r>
        <w:t>intervention de l</w:t>
      </w:r>
      <w:r w:rsidR="00E855A0">
        <w:t>’</w:t>
      </w:r>
      <w:r>
        <w:t>autorité compétente. Bien qu</w:t>
      </w:r>
      <w:r w:rsidR="00E855A0">
        <w:t>’</w:t>
      </w:r>
      <w:r>
        <w:t>on utilise généralement une pression nominale supérieure de 10 % à la pression de début d</w:t>
      </w:r>
      <w:r w:rsidR="00E855A0">
        <w:t>’</w:t>
      </w:r>
      <w:r>
        <w:t>ouverture de la soupape de sécurité, il a également été suggéré d</w:t>
      </w:r>
      <w:r w:rsidR="00E855A0">
        <w:t>’</w:t>
      </w:r>
      <w:r>
        <w:t>ajouter des prescriptions relatives aux caractéristiques fonctionnelles applicables.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Puisque le</w:t>
      </w:r>
      <w:r w:rsidR="00160B13">
        <w:t> </w:t>
      </w:r>
      <w:r>
        <w:t>6.8.2.2.10 portait sur les citernes fermées hermétiquement, on considérait qu</w:t>
      </w:r>
      <w:r w:rsidR="00E855A0">
        <w:t>’</w:t>
      </w:r>
      <w:r>
        <w:t>il s</w:t>
      </w:r>
      <w:r w:rsidR="00E855A0">
        <w:t>’</w:t>
      </w:r>
      <w:r>
        <w:t>appliquait également aux citernes utilisées pour le transport de gaz, d</w:t>
      </w:r>
      <w:r w:rsidR="00E855A0">
        <w:t>’</w:t>
      </w:r>
      <w:r>
        <w:t>autant que le</w:t>
      </w:r>
      <w:r w:rsidR="00160B13">
        <w:t> </w:t>
      </w:r>
      <w:r>
        <w:t>6.8.3 n</w:t>
      </w:r>
      <w:r w:rsidR="00E855A0">
        <w:t>’</w:t>
      </w:r>
      <w:r>
        <w:t>apportait pas de modifications à cet égard. Dans le</w:t>
      </w:r>
      <w:r w:rsidR="00160B13">
        <w:t> </w:t>
      </w:r>
      <w:r>
        <w:t>4.3.1.1, qui porte sur les codes-citerne</w:t>
      </w:r>
      <w:r w:rsidR="00E855A0">
        <w:t>s</w:t>
      </w:r>
      <w:r>
        <w:t xml:space="preserve"> attribués aux citernes pour gaz, les citernes fermées hermétiquement sont une possibilité. Néanmoins, si l</w:t>
      </w:r>
      <w:r w:rsidR="00E855A0">
        <w:t>’</w:t>
      </w:r>
      <w:r>
        <w:t>on suit le renvoi</w:t>
      </w:r>
      <w:r w:rsidR="00273992">
        <w:t>, qui figure dans le tableau du </w:t>
      </w:r>
      <w:r>
        <w:t>4.3.1.1, à la définition des citernes fermées hermétiquement, il semble que la définition ne se rapporte qu</w:t>
      </w:r>
      <w:r w:rsidR="00E855A0">
        <w:t>’</w:t>
      </w:r>
      <w:r>
        <w:t>aux citernes utilisées pour le transport des matières des classes 3 à 9. Selon certains experts, les citernes fermées hermétiquement ne devraient pas comporter de soupapes de sécurité, tandis que d</w:t>
      </w:r>
      <w:r w:rsidR="00E855A0">
        <w:t>’</w:t>
      </w:r>
      <w:r>
        <w:t>autres ont fait observer qu</w:t>
      </w:r>
      <w:r w:rsidR="00E855A0">
        <w:t>’</w:t>
      </w:r>
      <w:r>
        <w:t>il existait des citernes munies de soupapes de sécurité et de disques de rupture.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lastRenderedPageBreak/>
        <w:t>Le groupe de travail ne pensait pas pouvoir poursuivre avant que soit réglée l</w:t>
      </w:r>
      <w:r w:rsidR="00E855A0">
        <w:t>’</w:t>
      </w:r>
      <w:r>
        <w:t>incohérence concernant la définition des citernes fermées hermétiquement pour le transport des gaz. Il a été convenu de demander à l</w:t>
      </w:r>
      <w:r w:rsidR="00E855A0">
        <w:t>’</w:t>
      </w:r>
      <w:r>
        <w:t>Association européenne des gaz industriels (EIGA) s</w:t>
      </w:r>
      <w:r w:rsidR="00E855A0">
        <w:t>’</w:t>
      </w:r>
      <w:r>
        <w:t>il existait des citernes pour gaz munies de soupapes de sécurité et de disques de rupture et, dans l</w:t>
      </w:r>
      <w:r w:rsidR="00E855A0">
        <w:t>’</w:t>
      </w:r>
      <w:r>
        <w:t>affirmative, quelles valeurs de pression étaient définies.</w:t>
      </w:r>
    </w:p>
    <w:p w:rsidR="00F042B9" w:rsidRPr="00042B1F" w:rsidRDefault="00F042B9" w:rsidP="003836E1">
      <w:pPr>
        <w:pStyle w:val="H23G"/>
      </w:pPr>
      <w:r>
        <w:tab/>
      </w:r>
      <w:r>
        <w:tab/>
      </w:r>
      <w:r w:rsidRPr="00042B1F">
        <w:t>Point 5</w:t>
      </w:r>
      <w:r w:rsidR="003836E1">
        <w:br/>
      </w:r>
      <w:r w:rsidRPr="00042B1F">
        <w:t xml:space="preserve">ECE/TRANS/WP.15/AC.1/2016/26 (Pays-Bas) </w:t>
      </w:r>
      <w:r w:rsidR="003836E1">
        <w:t>−</w:t>
      </w:r>
      <w:r w:rsidRPr="00042B1F">
        <w:t xml:space="preserve"> Sujets divers </w:t>
      </w:r>
      <w:r w:rsidR="003836E1">
        <w:br/>
      </w:r>
      <w:r>
        <w:t>concernant</w:t>
      </w:r>
      <w:r w:rsidRPr="00042B1F">
        <w:t xml:space="preserve"> les citernes et INF</w:t>
      </w:r>
      <w:r>
        <w:t>.</w:t>
      </w:r>
      <w:r w:rsidRPr="00042B1F">
        <w:t>8 (AEGPL)</w:t>
      </w:r>
    </w:p>
    <w:p w:rsidR="00F042B9" w:rsidRPr="007F5AB3" w:rsidRDefault="00871ABA" w:rsidP="00DD6726">
      <w:pPr>
        <w:pStyle w:val="ParNoG"/>
        <w:tabs>
          <w:tab w:val="clear" w:pos="1701"/>
        </w:tabs>
      </w:pPr>
      <w:r>
        <w:t xml:space="preserve">Trois </w:t>
      </w:r>
      <w:r w:rsidR="00F042B9">
        <w:t>sujets relatifs à la sécurité ont été retenus à l</w:t>
      </w:r>
      <w:r w:rsidR="00E855A0">
        <w:t>’</w:t>
      </w:r>
      <w:r w:rsidR="00F042B9">
        <w:t>occasion de l</w:t>
      </w:r>
      <w:r w:rsidR="00E855A0">
        <w:t>’</w:t>
      </w:r>
      <w:r w:rsidR="00F042B9">
        <w:t>évaluation d</w:t>
      </w:r>
      <w:r w:rsidR="00E855A0">
        <w:t>’</w:t>
      </w:r>
      <w:r w:rsidR="00F042B9">
        <w:t xml:space="preserve">anciennes directives nationales des Pays-Bas. </w:t>
      </w:r>
    </w:p>
    <w:p w:rsidR="00F042B9" w:rsidRPr="007F5AB3" w:rsidRDefault="00871ABA" w:rsidP="00871ABA">
      <w:pPr>
        <w:pStyle w:val="H4G"/>
      </w:pPr>
      <w:r>
        <w:tab/>
      </w:r>
      <w:r>
        <w:tab/>
      </w:r>
      <w:r w:rsidR="00F042B9">
        <w:t>Sujet 1</w:t>
      </w:r>
      <w:r w:rsidR="00C06F8E">
        <w:t> :</w:t>
      </w:r>
      <w:r w:rsidR="00F042B9">
        <w:t xml:space="preserve"> Conception aux fins de la sécurité contre le feu des obturateurs internes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Il est proposé d</w:t>
      </w:r>
      <w:r w:rsidR="00E855A0">
        <w:t>’</w:t>
      </w:r>
      <w:r>
        <w:t>ajouter dans le Règlement une prescription relative à la protection contre l</w:t>
      </w:r>
      <w:r w:rsidR="00E855A0">
        <w:t>’</w:t>
      </w:r>
      <w:r>
        <w:t>incendie. Dans le document soumis, l</w:t>
      </w:r>
      <w:r w:rsidR="00E855A0">
        <w:t>’</w:t>
      </w:r>
      <w:r>
        <w:t>AEGPL a posé la question de la valeur ajoutée qu</w:t>
      </w:r>
      <w:r w:rsidR="00E855A0">
        <w:t>’</w:t>
      </w:r>
      <w:r>
        <w:t>aurait une protection contre l</w:t>
      </w:r>
      <w:r w:rsidR="00E855A0">
        <w:t>’</w:t>
      </w:r>
      <w:r>
        <w:t>incendie, étant donné que l</w:t>
      </w:r>
      <w:r w:rsidR="00E855A0">
        <w:t>’</w:t>
      </w:r>
      <w:r>
        <w:t>obturateur et son siège seraient refroidis par le gaz liquéfié. Il a aussi été indiqué que ce type d</w:t>
      </w:r>
      <w:r w:rsidR="00E855A0">
        <w:t>’</w:t>
      </w:r>
      <w:r>
        <w:t>obturateur interne n</w:t>
      </w:r>
      <w:r w:rsidR="00E855A0">
        <w:t>’</w:t>
      </w:r>
      <w:r>
        <w:t>était pas disponible et qu</w:t>
      </w:r>
      <w:r w:rsidR="00E855A0">
        <w:t>’</w:t>
      </w:r>
      <w:r>
        <w:t>aucune fuite due à la défaillance d</w:t>
      </w:r>
      <w:r w:rsidR="00E855A0">
        <w:t>’</w:t>
      </w:r>
      <w:r>
        <w:t>un obturateur en cas d</w:t>
      </w:r>
      <w:r w:rsidR="00E855A0">
        <w:t>’</w:t>
      </w:r>
      <w:r>
        <w:t>incendie n</w:t>
      </w:r>
      <w:r w:rsidR="00E855A0">
        <w:t>’</w:t>
      </w:r>
      <w:r>
        <w:t>avait été rapportée. De même, les situations d</w:t>
      </w:r>
      <w:r w:rsidR="00E855A0">
        <w:t>’</w:t>
      </w:r>
      <w:r>
        <w:t>incendie n</w:t>
      </w:r>
      <w:r w:rsidR="00E855A0">
        <w:t>’</w:t>
      </w:r>
      <w:r>
        <w:t>étaient en principe pas visées par le 6.8, exception faite de la prescription tendant à ce que les citernes utilisées pour le transport de gaz liquéfiés inflammables ou de gaz toxiques se ferment automatiquement en cas d</w:t>
      </w:r>
      <w:r w:rsidR="00E855A0">
        <w:t>’</w:t>
      </w:r>
      <w:r>
        <w:t>incendie.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D</w:t>
      </w:r>
      <w:r w:rsidR="00E855A0">
        <w:t>’</w:t>
      </w:r>
      <w:r>
        <w:t>autres experts ont fait valoir que la notion de conception aux fins de la sécurité contre le feu manquait de précision. En revanche, la norme EN</w:t>
      </w:r>
      <w:r w:rsidR="00882C94">
        <w:t> </w:t>
      </w:r>
      <w:r>
        <w:t>ISO</w:t>
      </w:r>
      <w:r w:rsidR="00882C94">
        <w:t> </w:t>
      </w:r>
      <w:r>
        <w:t>10497, citée dans la norme EN 12252 concernant les équipements des camions-citernes pour GPL, comportait des prescriptions d</w:t>
      </w:r>
      <w:r w:rsidR="00E855A0">
        <w:t>’</w:t>
      </w:r>
      <w:r>
        <w:t>étanchéité après essai au feu. Les actionneurs des soupapes étaient toutefois exclus de l</w:t>
      </w:r>
      <w:r w:rsidR="00E855A0">
        <w:t>’</w:t>
      </w:r>
      <w:r>
        <w:t xml:space="preserve">essai. 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La norme EN 12252 ne spécifie pas de façon suffisamment claire à quelles soupapes s</w:t>
      </w:r>
      <w:r w:rsidR="00E855A0">
        <w:t>’</w:t>
      </w:r>
      <w:r>
        <w:t>applique la norme EN ISO 10497. L</w:t>
      </w:r>
      <w:r w:rsidR="00E855A0">
        <w:t>’</w:t>
      </w:r>
      <w:r>
        <w:t>AEGPL a été priée de vérifier auprès du comité CEN/TC 286 l</w:t>
      </w:r>
      <w:r w:rsidR="00E855A0">
        <w:t>’</w:t>
      </w:r>
      <w:r>
        <w:t>intention de ce renvoi et d</w:t>
      </w:r>
      <w:r w:rsidR="00E855A0">
        <w:t>’</w:t>
      </w:r>
      <w:r>
        <w:t>en rendre compte.</w:t>
      </w:r>
    </w:p>
    <w:p w:rsidR="00F042B9" w:rsidRPr="007F5AB3" w:rsidRDefault="00882C94" w:rsidP="00882C94">
      <w:pPr>
        <w:pStyle w:val="H4G"/>
      </w:pPr>
      <w:r>
        <w:tab/>
      </w:r>
      <w:r>
        <w:tab/>
      </w:r>
      <w:r w:rsidR="00F042B9">
        <w:t>Sujet 2</w:t>
      </w:r>
      <w:r w:rsidR="00C06F8E">
        <w:t> :</w:t>
      </w:r>
      <w:r w:rsidR="00F042B9">
        <w:t xml:space="preserve"> Parties transparentes des jauges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Les jauges composées de matériau transparent ne sont pas admises pour les citernes servant au transport de gaz. Au</w:t>
      </w:r>
      <w:r w:rsidR="00882C94">
        <w:t> </w:t>
      </w:r>
      <w:r>
        <w:t>6.10, qui modifie le</w:t>
      </w:r>
      <w:r w:rsidR="00882C94">
        <w:t> </w:t>
      </w:r>
      <w:r>
        <w:t>6.8.2, l</w:t>
      </w:r>
      <w:r w:rsidR="00E855A0">
        <w:t>’</w:t>
      </w:r>
      <w:r>
        <w:t>utilisation de repères transparents sur le réservoir est admise. Afin de clarifier la situation et d</w:t>
      </w:r>
      <w:r w:rsidR="00E855A0">
        <w:t>’</w:t>
      </w:r>
      <w:r>
        <w:t>utiliser les termes adéquats à meilleur escient, il est suggéré d</w:t>
      </w:r>
      <w:r w:rsidR="00E855A0">
        <w:t>’</w:t>
      </w:r>
      <w:r>
        <w:t>appliquer, pour ces jauges, le libellé des</w:t>
      </w:r>
      <w:r w:rsidR="00882C94">
        <w:t> </w:t>
      </w:r>
      <w:r>
        <w:t>6.7 et</w:t>
      </w:r>
      <w:r w:rsidR="00882C94">
        <w:t> </w:t>
      </w:r>
      <w:r>
        <w:t xml:space="preserve">6.8.2.2. 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Un expert a fait observer que, dans le passé, des citernes à vidange par gravité équipées de jauges avaient déjà été agréées pour le transport d</w:t>
      </w:r>
      <w:r w:rsidR="00E855A0">
        <w:t>’</w:t>
      </w:r>
      <w:r>
        <w:t>huile de chauffe. Un autre expert a indiqué que si des parties transparentes au niveau de la tuyauterie et des couvercles de trous d</w:t>
      </w:r>
      <w:r w:rsidR="00E855A0">
        <w:t>’</w:t>
      </w:r>
      <w:r>
        <w:t>homme avaient bien été agréées pour une utilisation</w:t>
      </w:r>
      <w:r w:rsidR="00700031">
        <w:t xml:space="preserve"> </w:t>
      </w:r>
      <w:r>
        <w:t>avec des instruments de mesure, en lien avec la directive sur les COV, ces parties n</w:t>
      </w:r>
      <w:r w:rsidR="00E855A0">
        <w:t>’</w:t>
      </w:r>
      <w:r>
        <w:t>étaient en revanche pas en contact avec la matière pendant le transport. Après avoir étudié plusieurs possibilités, il a été convenu d</w:t>
      </w:r>
      <w:r w:rsidR="00E855A0">
        <w:t>’</w:t>
      </w:r>
      <w:r>
        <w:t>utiliser le libellé du 6.7. Bien qu</w:t>
      </w:r>
      <w:r w:rsidR="00E855A0">
        <w:t>’</w:t>
      </w:r>
      <w:r>
        <w:t>un accord de principe ait été dégagé, il a été convenu de mettre le libellé entre crochets afin de déterminer si une mesure transitoire s</w:t>
      </w:r>
      <w:r w:rsidR="00E855A0">
        <w:t>’</w:t>
      </w:r>
      <w:r>
        <w:t>imposait.</w:t>
      </w:r>
    </w:p>
    <w:p w:rsidR="00F042B9" w:rsidRPr="00333314" w:rsidRDefault="00F042B9" w:rsidP="00333314">
      <w:pPr>
        <w:pStyle w:val="SingleTxtG"/>
        <w:rPr>
          <w:rFonts w:eastAsia="SimSun"/>
        </w:rPr>
      </w:pPr>
      <w:r w:rsidRPr="00333314">
        <w:rPr>
          <w:b/>
        </w:rPr>
        <w:t>Proposition 1</w:t>
      </w:r>
      <w:r w:rsidR="00C06F8E" w:rsidRPr="00333314">
        <w:t> :</w:t>
      </w:r>
      <w:r w:rsidRPr="00333314">
        <w:t xml:space="preserve"> Ajouter un nouveau paragraphe au 6.8.2.2, libellé comme suit</w:t>
      </w:r>
      <w:r w:rsidR="00C06F8E" w:rsidRPr="00333314">
        <w:t> :</w:t>
      </w:r>
      <w:r w:rsidRPr="00333314">
        <w:t xml:space="preserve"> </w:t>
      </w:r>
    </w:p>
    <w:p w:rsidR="00F042B9" w:rsidRPr="00DE3056" w:rsidRDefault="00F042B9" w:rsidP="00333314">
      <w:pPr>
        <w:spacing w:line="240" w:lineRule="exact"/>
        <w:ind w:left="2268" w:right="1134"/>
        <w:rPr>
          <w:rFonts w:eastAsia="SimSun"/>
        </w:rPr>
      </w:pPr>
      <w:r>
        <w:tab/>
      </w:r>
      <w:r w:rsidRPr="00333314">
        <w:t>[</w:t>
      </w:r>
      <w:r>
        <w:rPr>
          <w:i/>
        </w:rPr>
        <w:t>Les jauges de niveau en verre ou en autres matériaux fragiles, qui sont en contact direct avec le contenu du réservoir, ne doivent pas être utilisées.</w:t>
      </w:r>
      <w:r w:rsidRPr="00333314">
        <w:t>]</w:t>
      </w:r>
      <w:r w:rsidRPr="00DE3056">
        <w:t>.</w:t>
      </w:r>
    </w:p>
    <w:p w:rsidR="00F042B9" w:rsidRPr="00333314" w:rsidRDefault="00F042B9" w:rsidP="0055053B">
      <w:pPr>
        <w:pStyle w:val="SingleTxtG"/>
        <w:keepNext/>
        <w:spacing w:after="100"/>
        <w:rPr>
          <w:rFonts w:eastAsia="SimSun"/>
        </w:rPr>
      </w:pPr>
      <w:r w:rsidRPr="00333314">
        <w:rPr>
          <w:b/>
        </w:rPr>
        <w:lastRenderedPageBreak/>
        <w:t>Proposition 2</w:t>
      </w:r>
      <w:r w:rsidR="00C06F8E" w:rsidRPr="00333314">
        <w:t> :</w:t>
      </w:r>
      <w:r w:rsidRPr="00333314">
        <w:t xml:space="preserve"> Supprimer la première phrase du 6.8.3.2.6, comme suit (les parties supprimées figurent </w:t>
      </w:r>
      <w:r w:rsidRPr="000D6561">
        <w:rPr>
          <w:strike/>
        </w:rPr>
        <w:t>en caractères biffés</w:t>
      </w:r>
      <w:r w:rsidRPr="00333314">
        <w:t>)</w:t>
      </w:r>
      <w:r w:rsidR="00C06F8E" w:rsidRPr="00333314">
        <w:t> :</w:t>
      </w:r>
    </w:p>
    <w:p w:rsidR="00F042B9" w:rsidRPr="007F5AB3" w:rsidRDefault="00F042B9" w:rsidP="00A75F0F">
      <w:pPr>
        <w:pStyle w:val="SingleTxtG"/>
        <w:spacing w:after="100"/>
        <w:ind w:left="2268" w:hanging="1134"/>
      </w:pPr>
      <w:r>
        <w:t>[6.8.3.2.6</w:t>
      </w:r>
      <w:r>
        <w:tab/>
      </w:r>
      <w:r w:rsidRPr="000D6561">
        <w:rPr>
          <w:strike/>
        </w:rPr>
        <w:t>Si les citernes sont équipées de jauges directement en contact avec la matière transportée, les jauges ne doivent pas être en matériau transparent.</w:t>
      </w:r>
      <w:r>
        <w:t xml:space="preserve"> S</w:t>
      </w:r>
      <w:r w:rsidR="00E855A0">
        <w:t>’</w:t>
      </w:r>
      <w:r>
        <w:t xml:space="preserve">il existe des thermomètres, ils ne pourront plonger directement dans le gaz ou le liquide au travers du réservoir.]. </w:t>
      </w:r>
    </w:p>
    <w:p w:rsidR="00F042B9" w:rsidRPr="007F5AB3" w:rsidRDefault="00F042B9" w:rsidP="003E53E4">
      <w:pPr>
        <w:pStyle w:val="SingleTxtG"/>
        <w:keepNext/>
        <w:spacing w:after="100"/>
        <w:rPr>
          <w:rFonts w:eastAsia="SimSun"/>
        </w:rPr>
      </w:pPr>
      <w:r w:rsidRPr="000D6561">
        <w:rPr>
          <w:b/>
        </w:rPr>
        <w:t>Proposition 3</w:t>
      </w:r>
      <w:r w:rsidR="00C06F8E" w:rsidRPr="000D6561">
        <w:t> :</w:t>
      </w:r>
      <w:r w:rsidRPr="000D6561">
        <w:t xml:space="preserve"> Modifier le premier paragraphe du 6.10.3.8 f) comme suit (les ajouts</w:t>
      </w:r>
      <w:r>
        <w:t xml:space="preserve"> figurent en </w:t>
      </w:r>
      <w:r>
        <w:rPr>
          <w:i/>
        </w:rPr>
        <w:t>italique</w:t>
      </w:r>
      <w:r>
        <w:t xml:space="preserve"> et les suppressions en </w:t>
      </w:r>
      <w:r>
        <w:rPr>
          <w:strike/>
        </w:rPr>
        <w:t>caractères biffés</w:t>
      </w:r>
      <w:r>
        <w:t>)</w:t>
      </w:r>
      <w:r w:rsidR="00C06F8E">
        <w:t> :</w:t>
      </w:r>
    </w:p>
    <w:p w:rsidR="00F042B9" w:rsidRPr="007F5AB3" w:rsidRDefault="00F042B9" w:rsidP="00A75F0F">
      <w:pPr>
        <w:pStyle w:val="SingleTxtG"/>
        <w:spacing w:after="100"/>
        <w:ind w:left="2268"/>
      </w:pPr>
      <w:r>
        <w:t>«</w:t>
      </w:r>
      <w:r w:rsidR="005C4727">
        <w:t> </w:t>
      </w:r>
      <w:r w:rsidR="000D6561">
        <w:tab/>
      </w:r>
      <w:r w:rsidR="005C4727">
        <w:rPr>
          <w:sz w:val="18"/>
        </w:rPr>
        <w:t>[</w:t>
      </w:r>
      <w:r w:rsidR="00E855A0">
        <w:t>f)</w:t>
      </w:r>
      <w:r w:rsidR="00E855A0">
        <w:tab/>
        <w:t>La citerne</w:t>
      </w:r>
      <w:r>
        <w:t xml:space="preserve"> ou</w:t>
      </w:r>
      <w:r w:rsidR="00E855A0">
        <w:t>,</w:t>
      </w:r>
      <w:r>
        <w:t xml:space="preserve"> dans le cas d</w:t>
      </w:r>
      <w:r w:rsidR="00E855A0">
        <w:t>’</w:t>
      </w:r>
      <w:r>
        <w:t>une citerne à compartiments, chaque compartiment, doit être équipé d</w:t>
      </w:r>
      <w:r w:rsidR="00E855A0">
        <w:t>’</w:t>
      </w:r>
      <w:r>
        <w:t xml:space="preserve">un indicateur de niveau. </w:t>
      </w:r>
      <w:r>
        <w:rPr>
          <w:i/>
        </w:rPr>
        <w:t>Les indicateurs de niveau en verre et dans d</w:t>
      </w:r>
      <w:r w:rsidR="00E855A0">
        <w:rPr>
          <w:i/>
        </w:rPr>
        <w:t>’</w:t>
      </w:r>
      <w:r>
        <w:rPr>
          <w:i/>
        </w:rPr>
        <w:t>autres matériaux transparents appropriés</w:t>
      </w:r>
      <w:r>
        <w:t xml:space="preserve"> </w:t>
      </w:r>
      <w:r>
        <w:rPr>
          <w:strike/>
        </w:rPr>
        <w:t>Des repères transparents</w:t>
      </w:r>
      <w:r>
        <w:t xml:space="preserve"> peuvent servir d</w:t>
      </w:r>
      <w:r w:rsidR="00E855A0">
        <w:t>’</w:t>
      </w:r>
      <w:r>
        <w:t>indicateurs de niveau à condition</w:t>
      </w:r>
      <w:r w:rsidR="00C06F8E">
        <w:t> :</w:t>
      </w:r>
      <w:r>
        <w:t>]</w:t>
      </w:r>
      <w:r w:rsidR="005C4727">
        <w:t> </w:t>
      </w:r>
      <w:r>
        <w:t>».</w:t>
      </w:r>
    </w:p>
    <w:p w:rsidR="00F042B9" w:rsidRPr="007F5AB3" w:rsidRDefault="005C4727" w:rsidP="00A75F0F">
      <w:pPr>
        <w:pStyle w:val="H4G"/>
        <w:spacing w:before="200"/>
      </w:pPr>
      <w:r>
        <w:tab/>
      </w:r>
      <w:r>
        <w:tab/>
      </w:r>
      <w:r w:rsidR="00F042B9">
        <w:t>Sujet 3</w:t>
      </w:r>
      <w:r w:rsidR="00C06F8E">
        <w:t> :</w:t>
      </w:r>
      <w:r w:rsidR="00F042B9">
        <w:t xml:space="preserve"> Prévention des infiltrations d</w:t>
      </w:r>
      <w:r w:rsidR="00E855A0">
        <w:t>’</w:t>
      </w:r>
      <w:r w:rsidR="00F042B9">
        <w:t>eau dans les soupapes de sécurité</w:t>
      </w:r>
    </w:p>
    <w:p w:rsidR="00F042B9" w:rsidRPr="007F5AB3" w:rsidRDefault="00F042B9" w:rsidP="00DD6726">
      <w:pPr>
        <w:pStyle w:val="ParNoG"/>
        <w:tabs>
          <w:tab w:val="clear" w:pos="1701"/>
        </w:tabs>
      </w:pPr>
      <w:r>
        <w:t>En raison de la conception des soupapes de sécurité des citernes destinées au transport de gaz, de l</w:t>
      </w:r>
      <w:r w:rsidR="00E855A0">
        <w:t>’</w:t>
      </w:r>
      <w:r>
        <w:t>eau peut éventuellement s</w:t>
      </w:r>
      <w:r w:rsidR="00E855A0">
        <w:t>’</w:t>
      </w:r>
      <w:r>
        <w:t>y accumuler. Si elle vient à geler, celle-ci peut empêcher le bon fonctionnement des soupapes. Le groupe de travail est convenu de modifier cette proposition et d</w:t>
      </w:r>
      <w:r w:rsidR="00E855A0">
        <w:t>’</w:t>
      </w:r>
      <w:r>
        <w:t>y ajouter une mesure transitoire.</w:t>
      </w:r>
    </w:p>
    <w:p w:rsidR="00F042B9" w:rsidRPr="00500EED" w:rsidRDefault="00F042B9" w:rsidP="0055053B">
      <w:pPr>
        <w:pStyle w:val="SingleTxtG"/>
        <w:spacing w:after="100"/>
        <w:rPr>
          <w:rFonts w:eastAsia="SimSun"/>
        </w:rPr>
      </w:pPr>
      <w:r w:rsidRPr="005C4727">
        <w:rPr>
          <w:b/>
        </w:rPr>
        <w:t>Proposition 4</w:t>
      </w:r>
      <w:r w:rsidR="00C06F8E">
        <w:t> :</w:t>
      </w:r>
      <w:r w:rsidR="005C4727">
        <w:t xml:space="preserve"> </w:t>
      </w:r>
      <w:r w:rsidRPr="00500EED">
        <w:t xml:space="preserve">Ajouter un nouveau paragraphe à la fin du 6.8.3.2.9, libellé comme suit (les ajouts figurent en </w:t>
      </w:r>
      <w:r w:rsidRPr="00500EED">
        <w:rPr>
          <w:i/>
        </w:rPr>
        <w:t>italique</w:t>
      </w:r>
      <w:r w:rsidRPr="00500EED">
        <w:t>)</w:t>
      </w:r>
      <w:r w:rsidR="00C06F8E">
        <w:t> :</w:t>
      </w:r>
    </w:p>
    <w:p w:rsidR="00F042B9" w:rsidRPr="007F5AB3" w:rsidRDefault="00F042B9" w:rsidP="00FC54C3">
      <w:pPr>
        <w:pStyle w:val="SingleTxtG"/>
        <w:ind w:left="2268"/>
        <w:rPr>
          <w:rFonts w:eastAsia="SimSun"/>
          <w:i/>
        </w:rPr>
      </w:pPr>
      <w:r w:rsidRPr="005C4727">
        <w:t>«</w:t>
      </w:r>
      <w:r w:rsidR="005C4727">
        <w:rPr>
          <w:i/>
        </w:rPr>
        <w:t> </w:t>
      </w:r>
      <w:r>
        <w:rPr>
          <w:i/>
        </w:rPr>
        <w:t>Les soupapes de sécurité où, à la suite par exemple d</w:t>
      </w:r>
      <w:r w:rsidR="00E855A0">
        <w:rPr>
          <w:i/>
        </w:rPr>
        <w:t>’</w:t>
      </w:r>
      <w:r>
        <w:rPr>
          <w:i/>
        </w:rPr>
        <w:t>une pluie ou d</w:t>
      </w:r>
      <w:r w:rsidR="00E855A0">
        <w:rPr>
          <w:i/>
        </w:rPr>
        <w:t>’</w:t>
      </w:r>
      <w:r>
        <w:rPr>
          <w:i/>
        </w:rPr>
        <w:t>une projection, peut s</w:t>
      </w:r>
      <w:r w:rsidR="00E855A0">
        <w:rPr>
          <w:i/>
        </w:rPr>
        <w:t>’</w:t>
      </w:r>
      <w:r>
        <w:rPr>
          <w:i/>
        </w:rPr>
        <w:t>accumuler de l</w:t>
      </w:r>
      <w:r w:rsidR="00E855A0">
        <w:rPr>
          <w:i/>
        </w:rPr>
        <w:t>’</w:t>
      </w:r>
      <w:r>
        <w:rPr>
          <w:i/>
        </w:rPr>
        <w:t>eau faisant obstacle à leur fonctionnement correct, par exemple lorsque l</w:t>
      </w:r>
      <w:r w:rsidR="00E855A0">
        <w:rPr>
          <w:i/>
        </w:rPr>
        <w:t>’</w:t>
      </w:r>
      <w:r>
        <w:rPr>
          <w:i/>
        </w:rPr>
        <w:t>eau gèle, doivent être munies d</w:t>
      </w:r>
      <w:r w:rsidR="00E855A0">
        <w:rPr>
          <w:i/>
        </w:rPr>
        <w:t>’</w:t>
      </w:r>
      <w:r>
        <w:rPr>
          <w:i/>
        </w:rPr>
        <w:t>un capot de protection. Celui-ci ne doit pas affecter les performances de la soupape.</w:t>
      </w:r>
      <w:r w:rsidR="005C4727">
        <w:rPr>
          <w:i/>
        </w:rPr>
        <w:t> </w:t>
      </w:r>
      <w:r w:rsidRPr="005C4727">
        <w:t>».</w:t>
      </w:r>
    </w:p>
    <w:p w:rsidR="00F042B9" w:rsidRPr="005C4727" w:rsidRDefault="00F042B9" w:rsidP="0055053B">
      <w:pPr>
        <w:pStyle w:val="SingleTxtG"/>
        <w:keepNext/>
        <w:spacing w:after="100"/>
        <w:rPr>
          <w:rFonts w:eastAsia="SimSun"/>
        </w:rPr>
      </w:pPr>
      <w:r w:rsidRPr="005C4727">
        <w:rPr>
          <w:b/>
        </w:rPr>
        <w:t>Proposition 5</w:t>
      </w:r>
      <w:r w:rsidR="00C06F8E" w:rsidRPr="005C4727">
        <w:t> :</w:t>
      </w:r>
      <w:r w:rsidRPr="005C4727">
        <w:t xml:space="preserve"> Ajouter, aux 1.6.3 et 1.6.4</w:t>
      </w:r>
      <w:r w:rsidR="00E855A0">
        <w:t>,</w:t>
      </w:r>
      <w:r w:rsidRPr="005C4727">
        <w:t xml:space="preserve"> une nouvelle mesure transitoire libellée comme suit</w:t>
      </w:r>
      <w:r w:rsidR="00C06F8E" w:rsidRPr="005C4727">
        <w:t> :</w:t>
      </w:r>
    </w:p>
    <w:p w:rsidR="00F042B9" w:rsidRPr="007F5AB3" w:rsidRDefault="00F042B9" w:rsidP="00A75F0F">
      <w:pPr>
        <w:pStyle w:val="SingleTxtG"/>
        <w:spacing w:after="100"/>
        <w:ind w:left="2268"/>
        <w:rPr>
          <w:rFonts w:eastAsia="SimSun"/>
          <w:i/>
        </w:rPr>
      </w:pPr>
      <w:r w:rsidRPr="00FC54C3">
        <w:t>«</w:t>
      </w:r>
      <w:r w:rsidR="00FC54C3">
        <w:rPr>
          <w:i/>
        </w:rPr>
        <w:t> </w:t>
      </w:r>
      <w:r>
        <w:rPr>
          <w:i/>
        </w:rPr>
        <w:t xml:space="preserve">1.6.3x/4y </w:t>
      </w:r>
    </w:p>
    <w:p w:rsidR="00F042B9" w:rsidRPr="007F5AB3" w:rsidRDefault="00F042B9" w:rsidP="00A75F0F">
      <w:pPr>
        <w:pStyle w:val="SingleTxtG"/>
        <w:spacing w:after="100"/>
        <w:ind w:left="2268"/>
        <w:rPr>
          <w:rFonts w:eastAsia="SimSun"/>
          <w:i/>
        </w:rPr>
      </w:pPr>
      <w:r>
        <w:rPr>
          <w:i/>
        </w:rPr>
        <w:t>Les soupapes de sécurité répondant aux prescr</w:t>
      </w:r>
      <w:r w:rsidR="00FC54C3">
        <w:rPr>
          <w:i/>
        </w:rPr>
        <w:t>iptions applicables jusqu</w:t>
      </w:r>
      <w:r w:rsidR="00E855A0">
        <w:rPr>
          <w:i/>
        </w:rPr>
        <w:t>’</w:t>
      </w:r>
      <w:r w:rsidR="00FC54C3">
        <w:rPr>
          <w:i/>
        </w:rPr>
        <w:t>au 31 </w:t>
      </w:r>
      <w:r>
        <w:rPr>
          <w:i/>
        </w:rPr>
        <w:t>décembre 2018, mais qui ne satisfont pas aux prescriptions du 6.8.3.2.9 concernant le capot de protection applicables à partir du 1</w:t>
      </w:r>
      <w:r w:rsidRPr="00FC54C3">
        <w:rPr>
          <w:i/>
          <w:vertAlign w:val="superscript"/>
        </w:rPr>
        <w:t>er</w:t>
      </w:r>
      <w:r w:rsidR="00FC54C3">
        <w:rPr>
          <w:i/>
        </w:rPr>
        <w:t> </w:t>
      </w:r>
      <w:r>
        <w:rPr>
          <w:i/>
        </w:rPr>
        <w:t>janvier 2019, pourront continuer à être utilisées [jusqu</w:t>
      </w:r>
      <w:r w:rsidR="00E855A0">
        <w:rPr>
          <w:i/>
        </w:rPr>
        <w:t>’</w:t>
      </w:r>
      <w:r>
        <w:rPr>
          <w:i/>
        </w:rPr>
        <w:t>au prochain contrôle intermédiaire ou périodique devant avoir lieu après le 1</w:t>
      </w:r>
      <w:r w:rsidRPr="00FC54C3">
        <w:rPr>
          <w:i/>
          <w:vertAlign w:val="superscript"/>
        </w:rPr>
        <w:t>er</w:t>
      </w:r>
      <w:r w:rsidR="00FC54C3">
        <w:rPr>
          <w:i/>
        </w:rPr>
        <w:t> </w:t>
      </w:r>
      <w:r>
        <w:rPr>
          <w:i/>
        </w:rPr>
        <w:t>juillet 2019].</w:t>
      </w:r>
      <w:r w:rsidR="00FC54C3">
        <w:rPr>
          <w:i/>
        </w:rPr>
        <w:t> </w:t>
      </w:r>
      <w:r w:rsidRPr="00FC54C3">
        <w:t>».</w:t>
      </w:r>
    </w:p>
    <w:p w:rsidR="00F042B9" w:rsidRPr="00500EED" w:rsidRDefault="00F042B9" w:rsidP="00A75F0F">
      <w:pPr>
        <w:pStyle w:val="H23G"/>
        <w:spacing w:before="200" w:after="100"/>
        <w:rPr>
          <w:bCs/>
        </w:rPr>
      </w:pPr>
      <w:r>
        <w:tab/>
      </w:r>
      <w:r>
        <w:tab/>
      </w:r>
      <w:r w:rsidRPr="00500EED">
        <w:t>Point 6</w:t>
      </w:r>
      <w:r w:rsidR="00FC54C3">
        <w:br/>
      </w:r>
      <w:r w:rsidRPr="00500EED">
        <w:t xml:space="preserve">ECE/TRANS/WP.15/AC.1/2016/31 (Pays-Bas) </w:t>
      </w:r>
      <w:r w:rsidR="00FC54C3">
        <w:t>−</w:t>
      </w:r>
      <w:r w:rsidRPr="00500EED">
        <w:t xml:space="preserve"> Rapport du groupe de travail informel des citernes garnies d</w:t>
      </w:r>
      <w:r w:rsidR="00E855A0">
        <w:t>’</w:t>
      </w:r>
      <w:r w:rsidRPr="00500EED">
        <w:t xml:space="preserve">un revêtement de protection collé ou appliqué </w:t>
      </w:r>
      <w:r w:rsidR="00FC54C3">
        <w:br/>
      </w:r>
      <w:r w:rsidRPr="00500EED">
        <w:t>par vaporisation</w:t>
      </w:r>
    </w:p>
    <w:p w:rsidR="00F042B9" w:rsidRPr="00500EED" w:rsidRDefault="00F042B9" w:rsidP="00A75F0F">
      <w:pPr>
        <w:pStyle w:val="ParNoG"/>
        <w:tabs>
          <w:tab w:val="clear" w:pos="1701"/>
        </w:tabs>
        <w:spacing w:after="100"/>
      </w:pPr>
      <w:r w:rsidRPr="00500EED">
        <w:t>Les propositions du groupe de travail informel des citernes garnies d</w:t>
      </w:r>
      <w:r w:rsidR="00E855A0">
        <w:t>’</w:t>
      </w:r>
      <w:r w:rsidRPr="00500EED">
        <w:t>un revêtement de protection collé ou appliqué par vaporisation ont été étudié</w:t>
      </w:r>
      <w:r>
        <w:t>e</w:t>
      </w:r>
      <w:r w:rsidRPr="00500EED">
        <w:t>s et plusieurs améliorations ont été apportées aux modifications proposées.</w:t>
      </w:r>
    </w:p>
    <w:p w:rsidR="00F042B9" w:rsidRPr="00500EED" w:rsidRDefault="00F042B9" w:rsidP="00A75F0F">
      <w:pPr>
        <w:pStyle w:val="ParNoG"/>
        <w:tabs>
          <w:tab w:val="clear" w:pos="1701"/>
        </w:tabs>
        <w:spacing w:after="100"/>
      </w:pPr>
      <w:r w:rsidRPr="00500EED">
        <w:t>Bien qu</w:t>
      </w:r>
      <w:r w:rsidR="00E855A0">
        <w:t>’</w:t>
      </w:r>
      <w:r w:rsidRPr="00500EED">
        <w:t>il ait été fait observer que le pH n</w:t>
      </w:r>
      <w:r w:rsidR="00E855A0">
        <w:t>’</w:t>
      </w:r>
      <w:r w:rsidRPr="00500EED">
        <w:t>était pas toujours un indicateur du degré de corrosivité et que la liste des numéros ONU n</w:t>
      </w:r>
      <w:r w:rsidR="00E855A0">
        <w:t>’</w:t>
      </w:r>
      <w:r w:rsidRPr="00500EED">
        <w:t>était pas exhaustive, l</w:t>
      </w:r>
      <w:r w:rsidR="00E855A0">
        <w:t>’</w:t>
      </w:r>
      <w:r w:rsidRPr="00500EED">
        <w:t>idée d</w:t>
      </w:r>
      <w:r w:rsidR="00E855A0">
        <w:t>’</w:t>
      </w:r>
      <w:r w:rsidRPr="00500EED">
        <w:t>une réglementation des citernes en alliage d</w:t>
      </w:r>
      <w:r w:rsidR="00E855A0">
        <w:t>’</w:t>
      </w:r>
      <w:r w:rsidRPr="00500EED">
        <w:t>aluminium garnies d</w:t>
      </w:r>
      <w:r w:rsidR="00E855A0">
        <w:t>’</w:t>
      </w:r>
      <w:r w:rsidRPr="00500EED">
        <w:t xml:space="preserve">un revêtement </w:t>
      </w:r>
      <w:r>
        <w:t>de protection par l</w:t>
      </w:r>
      <w:r w:rsidR="00E855A0">
        <w:t>’</w:t>
      </w:r>
      <w:r>
        <w:t>ajout</w:t>
      </w:r>
      <w:r w:rsidRPr="00500EED">
        <w:t xml:space="preserve"> </w:t>
      </w:r>
      <w:r>
        <w:t>d</w:t>
      </w:r>
      <w:r w:rsidR="00E855A0">
        <w:t>’</w:t>
      </w:r>
      <w:r w:rsidRPr="00500EED">
        <w:t>une disposition spéciale TU au 4.3.5 applicable à certains numéros ONU a été approuvée. Cette solution permettrait d</w:t>
      </w:r>
      <w:r w:rsidR="00E855A0">
        <w:t>’</w:t>
      </w:r>
      <w:r w:rsidRPr="00500EED">
        <w:t>éviter que soient utilisées, dans le transport de matières dont il est clairement établi qu</w:t>
      </w:r>
      <w:r w:rsidR="00E855A0">
        <w:t>’</w:t>
      </w:r>
      <w:r w:rsidRPr="00500EED">
        <w:t>elles ont un effet corrosif significatif sur l</w:t>
      </w:r>
      <w:r w:rsidR="00E855A0">
        <w:t>’</w:t>
      </w:r>
      <w:r w:rsidRPr="00500EED">
        <w:t>alliage d</w:t>
      </w:r>
      <w:r w:rsidR="00E855A0">
        <w:t>’</w:t>
      </w:r>
      <w:r w:rsidRPr="00500EED">
        <w:t>aluminium, des citernes dont le réservoir est en aluminium</w:t>
      </w:r>
      <w:r>
        <w:t xml:space="preserve"> </w:t>
      </w:r>
      <w:r w:rsidRPr="00500EED">
        <w:t>garni d</w:t>
      </w:r>
      <w:r w:rsidR="00E855A0">
        <w:t>’</w:t>
      </w:r>
      <w:r w:rsidRPr="00500EED">
        <w:t>un revêtement de protection collé.</w:t>
      </w:r>
    </w:p>
    <w:p w:rsidR="00F042B9" w:rsidRPr="00500EED" w:rsidRDefault="00F042B9" w:rsidP="00A75F0F">
      <w:pPr>
        <w:pStyle w:val="SingleTxtG"/>
      </w:pPr>
      <w:r w:rsidRPr="00500EED">
        <w:lastRenderedPageBreak/>
        <w:t>Il a aussi été envisagé d</w:t>
      </w:r>
      <w:r w:rsidR="00E855A0">
        <w:t>’</w:t>
      </w:r>
      <w:r w:rsidRPr="00500EED">
        <w:t>appliquer les critères de classification des matière</w:t>
      </w:r>
      <w:r>
        <w:t>s</w:t>
      </w:r>
      <w:r w:rsidRPr="00500EED">
        <w:t xml:space="preserve"> corrosives (tableau du 2.2.8). Selon les experts, ce point pourrait faire l</w:t>
      </w:r>
      <w:r w:rsidR="00E855A0">
        <w:t>’</w:t>
      </w:r>
      <w:r w:rsidRPr="00500EED">
        <w:t>objet d</w:t>
      </w:r>
      <w:r w:rsidR="00E855A0">
        <w:t>’</w:t>
      </w:r>
      <w:r w:rsidRPr="00500EED">
        <w:t>un futur projet qui ne devrait pas entraver</w:t>
      </w:r>
      <w:r w:rsidR="00700031">
        <w:t xml:space="preserve"> </w:t>
      </w:r>
      <w:r>
        <w:t>l</w:t>
      </w:r>
      <w:r w:rsidR="00E855A0">
        <w:t>’</w:t>
      </w:r>
      <w:r>
        <w:t>adoption</w:t>
      </w:r>
      <w:r w:rsidRPr="00500EED">
        <w:t xml:space="preserve"> de la solution </w:t>
      </w:r>
      <w:r>
        <w:t>arrêtée</w:t>
      </w:r>
      <w:r w:rsidRPr="00500EED">
        <w:t xml:space="preserve"> par le groupe de travail.</w:t>
      </w:r>
    </w:p>
    <w:p w:rsidR="00F042B9" w:rsidRPr="00F9598D" w:rsidRDefault="00F042B9" w:rsidP="00F44282">
      <w:pPr>
        <w:pStyle w:val="ParNoG"/>
        <w:tabs>
          <w:tab w:val="clear" w:pos="1701"/>
        </w:tabs>
      </w:pPr>
      <w:r w:rsidRPr="00500EED">
        <w:t>Il a été estimé que les points 6 et 8 de l</w:t>
      </w:r>
      <w:r w:rsidR="00E855A0">
        <w:t>’</w:t>
      </w:r>
      <w:r w:rsidRPr="00500EED">
        <w:t>annexe du rapport du groupe de travail informel n</w:t>
      </w:r>
      <w:r w:rsidR="00E855A0">
        <w:t>’</w:t>
      </w:r>
      <w:r w:rsidRPr="00500EED">
        <w:t xml:space="preserve">apportaient aucune valeur ajoutée et seraient mieux </w:t>
      </w:r>
      <w:r w:rsidRPr="00F9598D">
        <w:t>traités dans le cadre de la norme EN 12972; ils n</w:t>
      </w:r>
      <w:r w:rsidR="00E855A0">
        <w:t>’</w:t>
      </w:r>
      <w:r w:rsidRPr="00F9598D">
        <w:t>ont donc pas été adoptés.</w:t>
      </w:r>
    </w:p>
    <w:p w:rsidR="00F042B9" w:rsidRPr="00F9598D" w:rsidRDefault="00F042B9" w:rsidP="0055053B">
      <w:pPr>
        <w:pStyle w:val="SingleTxtG"/>
      </w:pPr>
      <w:r w:rsidRPr="00F9598D">
        <w:rPr>
          <w:b/>
        </w:rPr>
        <w:t>Proposition 6</w:t>
      </w:r>
      <w:r w:rsidR="00C06F8E">
        <w:rPr>
          <w:b/>
        </w:rPr>
        <w:t> </w:t>
      </w:r>
      <w:r w:rsidR="00C06F8E" w:rsidRPr="00A75F0F">
        <w:t>:</w:t>
      </w:r>
      <w:r w:rsidRPr="00F9598D">
        <w:t xml:space="preserve"> </w:t>
      </w:r>
      <w:r w:rsidRPr="00A75F0F">
        <w:t>Ajouter au 1.2.1 une nouvelle définition ainsi qu</w:t>
      </w:r>
      <w:r w:rsidR="00E855A0">
        <w:t>’</w:t>
      </w:r>
      <w:r w:rsidRPr="00A75F0F">
        <w:t>une nouvelle note de bas de page libellées comme suit</w:t>
      </w:r>
      <w:r w:rsidR="00C06F8E" w:rsidRPr="00A75F0F">
        <w:t> :</w:t>
      </w:r>
    </w:p>
    <w:p w:rsidR="00F042B9" w:rsidRPr="007F5AB3" w:rsidRDefault="00164945" w:rsidP="00A75F0F">
      <w:pPr>
        <w:pStyle w:val="SingleTxtG"/>
        <w:spacing w:line="240" w:lineRule="exact"/>
        <w:ind w:left="2268"/>
      </w:pPr>
      <w:r>
        <w:t>« </w:t>
      </w:r>
      <w:r w:rsidRPr="00164945">
        <w:rPr>
          <w:lang w:val="en-US"/>
        </w:rPr>
        <w:t>“</w:t>
      </w:r>
      <w:r w:rsidR="00F042B9">
        <w:rPr>
          <w:i/>
        </w:rPr>
        <w:t>Revêtement protecteur</w:t>
      </w:r>
      <w:r w:rsidRPr="00164945">
        <w:rPr>
          <w:lang w:val="en-US"/>
        </w:rPr>
        <w:t>”</w:t>
      </w:r>
      <w:r w:rsidR="00F042B9">
        <w:t xml:space="preserve"> (pour les citernes), un revêtement, collé ou appliqué par vaporisation, protégeant le matériau métallique de la citerne des matières à transporter.</w:t>
      </w:r>
    </w:p>
    <w:p w:rsidR="00F042B9" w:rsidRPr="007F5AB3" w:rsidRDefault="00164945" w:rsidP="00164945">
      <w:pPr>
        <w:pStyle w:val="SingleTxtG"/>
        <w:spacing w:line="240" w:lineRule="exact"/>
        <w:ind w:left="2268"/>
      </w:pPr>
      <w:r>
        <w:tab/>
      </w:r>
      <w:r w:rsidR="00F042B9" w:rsidRPr="00737E8A">
        <w:rPr>
          <w:b/>
          <w:i/>
        </w:rPr>
        <w:t>Nota</w:t>
      </w:r>
      <w:r w:rsidR="00C06F8E" w:rsidRPr="00737E8A">
        <w:rPr>
          <w:b/>
          <w:i/>
        </w:rPr>
        <w:t> :</w:t>
      </w:r>
      <w:r w:rsidR="00F042B9" w:rsidRPr="00737E8A">
        <w:rPr>
          <w:b/>
          <w:i/>
        </w:rPr>
        <w:t xml:space="preserve"> </w:t>
      </w:r>
      <w:r w:rsidR="00F042B9" w:rsidRPr="00737E8A">
        <w:rPr>
          <w:i/>
        </w:rPr>
        <w:t>Cette définition ne s</w:t>
      </w:r>
      <w:r w:rsidR="00E855A0">
        <w:rPr>
          <w:i/>
        </w:rPr>
        <w:t>’</w:t>
      </w:r>
      <w:r w:rsidR="00F042B9" w:rsidRPr="00737E8A">
        <w:rPr>
          <w:i/>
        </w:rPr>
        <w:t>applique pas au revêtement servant uniquement à protéger la matière à transporter</w:t>
      </w:r>
      <w:r w:rsidR="00F042B9">
        <w:t>.</w:t>
      </w:r>
      <w:r>
        <w:t> »</w:t>
      </w:r>
      <w:r w:rsidR="00F042B9">
        <w:t>.</w:t>
      </w:r>
    </w:p>
    <w:p w:rsidR="00F042B9" w:rsidRPr="00F9598D" w:rsidRDefault="00F042B9" w:rsidP="0055053B">
      <w:pPr>
        <w:pStyle w:val="SingleTxtG"/>
      </w:pPr>
      <w:r w:rsidRPr="00F9598D">
        <w:rPr>
          <w:b/>
        </w:rPr>
        <w:t>Proposition 7</w:t>
      </w:r>
      <w:r w:rsidR="00C06F8E">
        <w:rPr>
          <w:b/>
        </w:rPr>
        <w:t> </w:t>
      </w:r>
      <w:r w:rsidR="00C06F8E" w:rsidRPr="00CE31EE">
        <w:t>:</w:t>
      </w:r>
      <w:r w:rsidRPr="00F9598D">
        <w:t xml:space="preserve"> Ajouter de nouvelles mesures transitoires</w:t>
      </w:r>
      <w:r>
        <w:t>,</w:t>
      </w:r>
      <w:r w:rsidRPr="00F9598D">
        <w:t xml:space="preserve"> 1.6.3.xx et 1.6.4.xx, libellées comme suit</w:t>
      </w:r>
      <w:r w:rsidR="00C06F8E">
        <w:t> :</w:t>
      </w:r>
    </w:p>
    <w:p w:rsidR="00F042B9" w:rsidRPr="00F9598D" w:rsidRDefault="00737E8A" w:rsidP="00737E8A">
      <w:pPr>
        <w:pStyle w:val="SingleTxtG"/>
        <w:spacing w:line="240" w:lineRule="exact"/>
        <w:ind w:left="2268"/>
        <w:rPr>
          <w:i/>
        </w:rPr>
      </w:pPr>
      <w:r w:rsidRPr="00737E8A">
        <w:rPr>
          <w:i/>
        </w:rPr>
        <w:t>« </w:t>
      </w:r>
      <w:r w:rsidR="00F042B9" w:rsidRPr="00F9598D">
        <w:rPr>
          <w:i/>
        </w:rPr>
        <w:t xml:space="preserve">Les citernes fixes et les citernes démontables/wagons-citernes/conteneurs-citernes construits avant le </w:t>
      </w:r>
      <w:r>
        <w:rPr>
          <w:i/>
        </w:rPr>
        <w:t>1</w:t>
      </w:r>
      <w:r w:rsidRPr="00737E8A">
        <w:rPr>
          <w:i/>
          <w:vertAlign w:val="superscript"/>
        </w:rPr>
        <w:t>er</w:t>
      </w:r>
      <w:r>
        <w:rPr>
          <w:i/>
        </w:rPr>
        <w:t> </w:t>
      </w:r>
      <w:r w:rsidR="00F042B9" w:rsidRPr="00F9598D">
        <w:rPr>
          <w:i/>
        </w:rPr>
        <w:t>juillet 2019 conformément aux prescriptions applicables jusqu</w:t>
      </w:r>
      <w:r w:rsidR="00E855A0">
        <w:rPr>
          <w:i/>
        </w:rPr>
        <w:t>’</w:t>
      </w:r>
      <w:r w:rsidR="00F042B9" w:rsidRPr="00F9598D">
        <w:rPr>
          <w:i/>
        </w:rPr>
        <w:t xml:space="preserve">au 31 décembre 2018, mais qui ne sont pas conformes à la disposition spéciale TUyy du 4.3.5 </w:t>
      </w:r>
      <w:r w:rsidR="00214B03">
        <w:rPr>
          <w:i/>
        </w:rPr>
        <w:t>applicable à compter du 1</w:t>
      </w:r>
      <w:r w:rsidR="00214B03" w:rsidRPr="00214B03">
        <w:rPr>
          <w:i/>
          <w:vertAlign w:val="superscript"/>
        </w:rPr>
        <w:t>er</w:t>
      </w:r>
      <w:r w:rsidR="00214B03">
        <w:rPr>
          <w:i/>
        </w:rPr>
        <w:t xml:space="preserve"> janvier 2019, </w:t>
      </w:r>
      <w:r w:rsidR="00F042B9" w:rsidRPr="00F9598D">
        <w:rPr>
          <w:i/>
        </w:rPr>
        <w:t>pourront encore être utilisés pour le transport de ces matières jusqu</w:t>
      </w:r>
      <w:r w:rsidR="00E855A0">
        <w:rPr>
          <w:i/>
        </w:rPr>
        <w:t>’</w:t>
      </w:r>
      <w:r w:rsidR="00F042B9" w:rsidRPr="00F9598D">
        <w:rPr>
          <w:i/>
        </w:rPr>
        <w:t>au 1</w:t>
      </w:r>
      <w:r w:rsidR="00F042B9" w:rsidRPr="00F9598D">
        <w:rPr>
          <w:i/>
          <w:vertAlign w:val="superscript"/>
        </w:rPr>
        <w:t>er</w:t>
      </w:r>
      <w:r w:rsidR="00F042B9" w:rsidRPr="00F9598D">
        <w:rPr>
          <w:i/>
        </w:rPr>
        <w:t xml:space="preserve"> janvier 2023.</w:t>
      </w:r>
      <w:r>
        <w:rPr>
          <w:i/>
        </w:rPr>
        <w:t> </w:t>
      </w:r>
      <w:r w:rsidR="00F042B9" w:rsidRPr="00737E8A">
        <w:t>».</w:t>
      </w:r>
    </w:p>
    <w:p w:rsidR="00F042B9" w:rsidRPr="00F9598D" w:rsidRDefault="00F042B9" w:rsidP="0055053B">
      <w:pPr>
        <w:pStyle w:val="SingleTxtG"/>
      </w:pPr>
      <w:r w:rsidRPr="00F9598D">
        <w:rPr>
          <w:b/>
        </w:rPr>
        <w:t>Proposition 8</w:t>
      </w:r>
      <w:r w:rsidR="00C06F8E">
        <w:rPr>
          <w:b/>
        </w:rPr>
        <w:t> </w:t>
      </w:r>
      <w:r w:rsidR="00C06F8E" w:rsidRPr="00CE31EE">
        <w:t>:</w:t>
      </w:r>
      <w:r w:rsidRPr="00F9598D">
        <w:t xml:space="preserve"> Ajouter une nouvelle disposition spéciale au 4.3.5 du RID/ADR, libellée comme suit</w:t>
      </w:r>
      <w:r w:rsidR="00C06F8E">
        <w:t> :</w:t>
      </w:r>
    </w:p>
    <w:p w:rsidR="00B444FE" w:rsidRDefault="00F042B9" w:rsidP="00737E8A">
      <w:pPr>
        <w:pStyle w:val="SingleTxtG"/>
        <w:spacing w:line="240" w:lineRule="exact"/>
        <w:ind w:left="2268"/>
      </w:pPr>
      <w:r>
        <w:t>«</w:t>
      </w:r>
      <w:r w:rsidR="00CE31EE">
        <w:t> </w:t>
      </w:r>
      <w:r w:rsidR="00B444FE">
        <w:t>TUyy</w:t>
      </w:r>
    </w:p>
    <w:p w:rsidR="00F042B9" w:rsidRPr="007F5AB3" w:rsidRDefault="00F042B9" w:rsidP="00737E8A">
      <w:pPr>
        <w:pStyle w:val="SingleTxtG"/>
        <w:spacing w:line="240" w:lineRule="exact"/>
        <w:ind w:left="2268"/>
      </w:pPr>
      <w:r>
        <w:t>Les citernes dont le réservoir est construit en alliage d</w:t>
      </w:r>
      <w:r w:rsidR="00E855A0">
        <w:t>’</w:t>
      </w:r>
      <w:r>
        <w:t>aluminium, y compris celles équipées d</w:t>
      </w:r>
      <w:r w:rsidR="00E855A0">
        <w:t>’</w:t>
      </w:r>
      <w:r>
        <w:t>un revêtement protecteur, ne doivent être utilisées que si le pH de la matière à transporter est compris entre</w:t>
      </w:r>
      <w:r w:rsidR="00B444FE">
        <w:t> </w:t>
      </w:r>
      <w:r>
        <w:t>5,0 et 8,0.</w:t>
      </w:r>
      <w:r w:rsidR="00CE31EE">
        <w:t> </w:t>
      </w:r>
      <w:r>
        <w:t>».</w:t>
      </w:r>
    </w:p>
    <w:p w:rsidR="00F042B9" w:rsidRPr="00EF51F1" w:rsidRDefault="00F042B9" w:rsidP="0055053B">
      <w:pPr>
        <w:pStyle w:val="SingleTxtG"/>
      </w:pPr>
      <w:r w:rsidRPr="00EF51F1">
        <w:rPr>
          <w:b/>
        </w:rPr>
        <w:t>Proposition 9</w:t>
      </w:r>
      <w:r w:rsidR="00C06F8E">
        <w:rPr>
          <w:b/>
        </w:rPr>
        <w:t> </w:t>
      </w:r>
      <w:r w:rsidR="00C06F8E" w:rsidRPr="00CE31EE">
        <w:t>:</w:t>
      </w:r>
      <w:r w:rsidRPr="00EF51F1">
        <w:t xml:space="preserve"> Ajouter une disposition spéciale TUyy dans la colonne 13 du tableau A au 3.2.1 du RIDADR pour les numéros ONU suivants</w:t>
      </w:r>
      <w:r w:rsidR="00C06F8E">
        <w:t> :</w:t>
      </w:r>
      <w:r w:rsidRPr="00EF51F1">
        <w:t xml:space="preserve"> </w:t>
      </w:r>
    </w:p>
    <w:p w:rsidR="00F042B9" w:rsidRPr="00EF51F1" w:rsidRDefault="00F042B9" w:rsidP="00CE31EE">
      <w:pPr>
        <w:pStyle w:val="SingleTxtG"/>
        <w:ind w:left="2268"/>
      </w:pPr>
      <w:r w:rsidRPr="00EF51F1">
        <w:t>1755 groupes d</w:t>
      </w:r>
      <w:r w:rsidR="00E855A0">
        <w:t>’</w:t>
      </w:r>
      <w:r w:rsidRPr="00EF51F1">
        <w:t>emballage II et III, 1778 groupe d</w:t>
      </w:r>
      <w:r w:rsidR="00E855A0">
        <w:t>’</w:t>
      </w:r>
      <w:r w:rsidRPr="00EF51F1">
        <w:t>emballage II, 1779 groupe d</w:t>
      </w:r>
      <w:r w:rsidR="00E855A0">
        <w:t>’</w:t>
      </w:r>
      <w:r w:rsidRPr="00EF51F1">
        <w:t>emballage II, 1788 groupes d</w:t>
      </w:r>
      <w:r w:rsidR="00E855A0">
        <w:t>’</w:t>
      </w:r>
      <w:r w:rsidRPr="00EF51F1">
        <w:t>emballage II et III, 1789 groupes d</w:t>
      </w:r>
      <w:r w:rsidR="00E855A0">
        <w:t>’</w:t>
      </w:r>
      <w:r w:rsidRPr="00EF51F1">
        <w:t>emballage II et III, 1791 groupes d</w:t>
      </w:r>
      <w:r w:rsidR="00E855A0">
        <w:t>’</w:t>
      </w:r>
      <w:r w:rsidRPr="00EF51F1">
        <w:t>emballage II et III, 1803 groupe d</w:t>
      </w:r>
      <w:r w:rsidR="00E855A0">
        <w:t>’</w:t>
      </w:r>
      <w:r w:rsidRPr="00EF51F1">
        <w:t>emballage II, 1805 groupe d</w:t>
      </w:r>
      <w:r w:rsidR="00E855A0">
        <w:t>’</w:t>
      </w:r>
      <w:r w:rsidRPr="00EF51F1">
        <w:t>emballage III, 1814 groupes d</w:t>
      </w:r>
      <w:r w:rsidR="00E855A0">
        <w:t>’</w:t>
      </w:r>
      <w:r w:rsidRPr="00EF51F1">
        <w:t>emballage II et III, 1819 groupes d</w:t>
      </w:r>
      <w:r w:rsidR="00E855A0">
        <w:t>’</w:t>
      </w:r>
      <w:r w:rsidRPr="00EF51F1">
        <w:t>emballage II et III,</w:t>
      </w:r>
      <w:r w:rsidR="00700031">
        <w:t xml:space="preserve"> </w:t>
      </w:r>
      <w:r w:rsidRPr="00EF51F1">
        <w:t>1824 groupes d</w:t>
      </w:r>
      <w:r w:rsidR="00E855A0">
        <w:t>’</w:t>
      </w:r>
      <w:r w:rsidRPr="00EF51F1">
        <w:t>emballage II et III, 1830 groupe d</w:t>
      </w:r>
      <w:r w:rsidR="00E855A0">
        <w:t>’</w:t>
      </w:r>
      <w:r w:rsidRPr="00EF51F1">
        <w:t>emballage II, 1832 groupe d</w:t>
      </w:r>
      <w:r w:rsidR="00E855A0">
        <w:t>’</w:t>
      </w:r>
      <w:r w:rsidRPr="00EF51F1">
        <w:t>emballage II, 1840 groupe d</w:t>
      </w:r>
      <w:r w:rsidR="00E855A0">
        <w:t>’</w:t>
      </w:r>
      <w:r w:rsidRPr="00EF51F1">
        <w:t>emballage III, 1906 groupe d</w:t>
      </w:r>
      <w:r w:rsidR="00E855A0">
        <w:t>’</w:t>
      </w:r>
      <w:r w:rsidRPr="00EF51F1">
        <w:t>emballage II, 2031 groupe d</w:t>
      </w:r>
      <w:r w:rsidR="00E855A0">
        <w:t>’</w:t>
      </w:r>
      <w:r w:rsidRPr="00EF51F1">
        <w:t>emballage II, 2581 groupe d</w:t>
      </w:r>
      <w:r w:rsidR="00E855A0">
        <w:t>’</w:t>
      </w:r>
      <w:r w:rsidRPr="00EF51F1">
        <w:t>emballage III, 2582 groupe d</w:t>
      </w:r>
      <w:r w:rsidR="00E855A0">
        <w:t>’</w:t>
      </w:r>
      <w:r w:rsidRPr="00EF51F1">
        <w:t>emballage III, 2586 groupe d</w:t>
      </w:r>
      <w:r w:rsidR="00E855A0">
        <w:t>’</w:t>
      </w:r>
      <w:r w:rsidRPr="00EF51F1">
        <w:t>emballage III, 2693 groupe d</w:t>
      </w:r>
      <w:r w:rsidR="00E855A0">
        <w:t>’</w:t>
      </w:r>
      <w:r w:rsidRPr="00EF51F1">
        <w:t>emballage III, 2796 groupe d</w:t>
      </w:r>
      <w:r w:rsidR="00E855A0">
        <w:t>’</w:t>
      </w:r>
      <w:r w:rsidRPr="00EF51F1">
        <w:t>emballage II, 3264 groupes d</w:t>
      </w:r>
      <w:r w:rsidR="00E855A0">
        <w:t>’</w:t>
      </w:r>
      <w:r w:rsidRPr="00EF51F1">
        <w:t>emballage II et III.</w:t>
      </w:r>
    </w:p>
    <w:p w:rsidR="00F042B9" w:rsidRPr="00EF51F1" w:rsidRDefault="00F042B9" w:rsidP="0055053B">
      <w:pPr>
        <w:pStyle w:val="SingleTxtG"/>
      </w:pPr>
      <w:r w:rsidRPr="00EF51F1">
        <w:rPr>
          <w:b/>
        </w:rPr>
        <w:t>Proposition 10</w:t>
      </w:r>
      <w:r w:rsidR="00C06F8E">
        <w:rPr>
          <w:b/>
        </w:rPr>
        <w:t> </w:t>
      </w:r>
      <w:r w:rsidR="00C06F8E" w:rsidRPr="00CE31EE">
        <w:t>:</w:t>
      </w:r>
      <w:r w:rsidRPr="00EF51F1">
        <w:rPr>
          <w:b/>
        </w:rPr>
        <w:t xml:space="preserve"> </w:t>
      </w:r>
      <w:r w:rsidRPr="00EF51F1">
        <w:t xml:space="preserve">Modifier comme suit le premier paragraphe du 6.8.2.1.9 (les ajouts figurent en </w:t>
      </w:r>
      <w:r w:rsidRPr="00EF51F1">
        <w:rPr>
          <w:i/>
        </w:rPr>
        <w:t>italique</w:t>
      </w:r>
      <w:r w:rsidRPr="00EF51F1">
        <w:t>) (seule la version en langue anglaise est concernée par cette modification)</w:t>
      </w:r>
      <w:r w:rsidR="00C06F8E">
        <w:t> :</w:t>
      </w:r>
    </w:p>
    <w:p w:rsidR="00F042B9" w:rsidRPr="007F5AB3" w:rsidRDefault="00F042B9" w:rsidP="00CE31EE">
      <w:pPr>
        <w:pStyle w:val="SingleTxtG"/>
        <w:ind w:left="2268"/>
      </w:pPr>
      <w:r>
        <w:t>«</w:t>
      </w:r>
      <w:r w:rsidR="00CE31EE">
        <w:t> </w:t>
      </w:r>
      <w:r>
        <w:t xml:space="preserve">The materials of shells or of their protective linings, which are in contact with the contents, shall not contain substances liable to react dangerously (see </w:t>
      </w:r>
      <w:r w:rsidR="00190534">
        <w:rPr>
          <w:lang w:val="en-US"/>
        </w:rPr>
        <w:t>“</w:t>
      </w:r>
      <w:r>
        <w:t>Dangerous reaction</w:t>
      </w:r>
      <w:r w:rsidR="00190534">
        <w:rPr>
          <w:lang w:val="en-US"/>
        </w:rPr>
        <w:t>”</w:t>
      </w:r>
      <w:r>
        <w:t xml:space="preserve"> i</w:t>
      </w:r>
      <w:r w:rsidR="00CE31EE">
        <w:t xml:space="preserve">n 1.2.1) with the contents, to </w:t>
      </w:r>
      <w:r>
        <w:t>form dangerous compounds, or</w:t>
      </w:r>
      <w:r>
        <w:rPr>
          <w:strike/>
        </w:rPr>
        <w:t xml:space="preserve"> substantially</w:t>
      </w:r>
      <w:r>
        <w:t xml:space="preserve"> </w:t>
      </w:r>
      <w:r>
        <w:rPr>
          <w:i/>
        </w:rPr>
        <w:t>appreciably</w:t>
      </w:r>
      <w:r>
        <w:t xml:space="preserve"> weaken the material</w:t>
      </w:r>
      <w:r>
        <w:rPr>
          <w:i/>
        </w:rPr>
        <w:t>s</w:t>
      </w:r>
      <w:r>
        <w:t>.</w:t>
      </w:r>
      <w:r w:rsidR="00CE31EE">
        <w:t> </w:t>
      </w:r>
      <w:r>
        <w:t>».</w:t>
      </w:r>
    </w:p>
    <w:p w:rsidR="00F042B9" w:rsidRPr="0055053B" w:rsidRDefault="00F042B9" w:rsidP="0055053B">
      <w:pPr>
        <w:pStyle w:val="SingleTxtG"/>
        <w:keepNext/>
        <w:rPr>
          <w:szCs w:val="22"/>
        </w:rPr>
      </w:pPr>
      <w:r w:rsidRPr="00CE31EE">
        <w:rPr>
          <w:b/>
        </w:rPr>
        <w:t>Proposition 11</w:t>
      </w:r>
      <w:r w:rsidR="00C06F8E">
        <w:t> :</w:t>
      </w:r>
      <w:r w:rsidR="0055053B">
        <w:rPr>
          <w:szCs w:val="22"/>
        </w:rPr>
        <w:t xml:space="preserve"> </w:t>
      </w:r>
      <w:r w:rsidRPr="00EF51F1">
        <w:t>Après la deuxième série de tirets du 6.8.2.2.2, remplacer «</w:t>
      </w:r>
      <w:r w:rsidR="0055053B">
        <w:t> </w:t>
      </w:r>
      <w:r w:rsidRPr="00214B03">
        <w:t>revêtement en ébonite ou en thermoplastique</w:t>
      </w:r>
      <w:r w:rsidR="0055053B">
        <w:t> </w:t>
      </w:r>
      <w:r w:rsidRPr="00EF51F1">
        <w:t>» par «</w:t>
      </w:r>
      <w:r w:rsidR="0055053B">
        <w:t> </w:t>
      </w:r>
      <w:r w:rsidRPr="0055053B">
        <w:rPr>
          <w:i/>
        </w:rPr>
        <w:t>revêtement protecteur</w:t>
      </w:r>
      <w:r w:rsidR="0055053B">
        <w:t> </w:t>
      </w:r>
      <w:r w:rsidRPr="00EF51F1">
        <w:t>».</w:t>
      </w:r>
    </w:p>
    <w:p w:rsidR="00F042B9" w:rsidRPr="00EF51F1" w:rsidRDefault="00F042B9" w:rsidP="007D4724">
      <w:pPr>
        <w:pStyle w:val="SingleTxtG"/>
        <w:keepNext/>
      </w:pPr>
      <w:r w:rsidRPr="00EF51F1">
        <w:rPr>
          <w:b/>
        </w:rPr>
        <w:t>Proposition 12</w:t>
      </w:r>
      <w:r w:rsidR="00C06F8E">
        <w:rPr>
          <w:b/>
        </w:rPr>
        <w:t> :</w:t>
      </w:r>
      <w:r w:rsidRPr="00EF51F1">
        <w:t xml:space="preserve"> Ajouter un nouveau paragraphe à la fin des</w:t>
      </w:r>
      <w:r>
        <w:t xml:space="preserve"> </w:t>
      </w:r>
      <w:r w:rsidRPr="00EF51F1">
        <w:t xml:space="preserve">6.8.2.4.2 </w:t>
      </w:r>
      <w:r>
        <w:t>et</w:t>
      </w:r>
      <w:r w:rsidRPr="00EF51F1">
        <w:t xml:space="preserve"> 6.8.2.4.3, libellé comme suit</w:t>
      </w:r>
      <w:r w:rsidR="00C06F8E">
        <w:t> :</w:t>
      </w:r>
    </w:p>
    <w:p w:rsidR="00F042B9" w:rsidRPr="007F5AB3" w:rsidRDefault="007D4724" w:rsidP="007D4724">
      <w:pPr>
        <w:pStyle w:val="SingleTxtG"/>
        <w:ind w:left="2268"/>
        <w:rPr>
          <w:i/>
        </w:rPr>
      </w:pPr>
      <w:r w:rsidRPr="007D4724">
        <w:t>« </w:t>
      </w:r>
      <w:r w:rsidR="00F042B9">
        <w:rPr>
          <w:i/>
        </w:rPr>
        <w:t>Les revêtements protecteurs doivent faire l</w:t>
      </w:r>
      <w:r w:rsidR="00E855A0">
        <w:rPr>
          <w:i/>
        </w:rPr>
        <w:t>’</w:t>
      </w:r>
      <w:r w:rsidR="00F042B9">
        <w:rPr>
          <w:i/>
        </w:rPr>
        <w:t>objet d</w:t>
      </w:r>
      <w:r w:rsidR="00E855A0">
        <w:rPr>
          <w:i/>
        </w:rPr>
        <w:t>’</w:t>
      </w:r>
      <w:r w:rsidR="00F042B9">
        <w:rPr>
          <w:i/>
        </w:rPr>
        <w:t>un examen visuel visant à détecter d</w:t>
      </w:r>
      <w:r w:rsidR="00E855A0">
        <w:rPr>
          <w:i/>
        </w:rPr>
        <w:t>’</w:t>
      </w:r>
      <w:r w:rsidR="00F042B9">
        <w:rPr>
          <w:i/>
        </w:rPr>
        <w:t>éventuels défauts. En cas d</w:t>
      </w:r>
      <w:r w:rsidR="00E855A0">
        <w:rPr>
          <w:i/>
        </w:rPr>
        <w:t>’</w:t>
      </w:r>
      <w:r w:rsidR="00F042B9">
        <w:rPr>
          <w:i/>
        </w:rPr>
        <w:t>anomalie, l</w:t>
      </w:r>
      <w:r w:rsidR="00E855A0">
        <w:rPr>
          <w:i/>
        </w:rPr>
        <w:t>’</w:t>
      </w:r>
      <w:r w:rsidR="00F042B9">
        <w:rPr>
          <w:i/>
        </w:rPr>
        <w:t>état du revêtement doit être contrôlé par l</w:t>
      </w:r>
      <w:r w:rsidR="00E855A0">
        <w:rPr>
          <w:i/>
        </w:rPr>
        <w:t>’</w:t>
      </w:r>
      <w:r w:rsidR="00F042B9">
        <w:rPr>
          <w:i/>
        </w:rPr>
        <w:t>épreuve ou les épreuves appropriées.</w:t>
      </w:r>
      <w:r>
        <w:rPr>
          <w:i/>
        </w:rPr>
        <w:t> </w:t>
      </w:r>
      <w:r w:rsidR="00F042B9" w:rsidRPr="007D4724">
        <w:t>».</w:t>
      </w:r>
    </w:p>
    <w:p w:rsidR="00F042B9" w:rsidRPr="007F5AB3" w:rsidRDefault="007D4724" w:rsidP="007D4724">
      <w:pPr>
        <w:pStyle w:val="H23G"/>
      </w:pPr>
      <w:r>
        <w:tab/>
      </w:r>
      <w:r>
        <w:tab/>
      </w:r>
      <w:r w:rsidR="00F042B9">
        <w:t xml:space="preserve">Point 7 </w:t>
      </w:r>
      <w:r>
        <w:br/>
      </w:r>
      <w:r w:rsidR="00F042B9">
        <w:t xml:space="preserve">ECE/TRANS/WP.15/AC.1/2016/36 (CEN) </w:t>
      </w:r>
      <w:r>
        <w:t>−</w:t>
      </w:r>
      <w:r w:rsidR="00F042B9">
        <w:t xml:space="preserve"> Demande d</w:t>
      </w:r>
      <w:r w:rsidR="00E855A0">
        <w:t>’</w:t>
      </w:r>
      <w:r w:rsidR="00F042B9">
        <w:t xml:space="preserve">éclaircissements </w:t>
      </w:r>
      <w:r>
        <w:br/>
      </w:r>
      <w:r w:rsidR="00F042B9">
        <w:t xml:space="preserve">sur la signification des mots </w:t>
      </w:r>
      <w:r>
        <w:t>« </w:t>
      </w:r>
      <w:r w:rsidR="00F042B9">
        <w:t>dans les cas particuliers</w:t>
      </w:r>
      <w:r>
        <w:t> »</w:t>
      </w:r>
      <w:r w:rsidR="00F042B9">
        <w:t xml:space="preserve"> qui figurent </w:t>
      </w:r>
      <w:r>
        <w:br/>
      </w:r>
      <w:r w:rsidR="00F042B9">
        <w:t>dans la note</w:t>
      </w:r>
      <w:r>
        <w:t> </w:t>
      </w:r>
      <w:r w:rsidR="00F042B9">
        <w:t xml:space="preserve">10 </w:t>
      </w:r>
      <w:r w:rsidR="00214B03">
        <w:t>du</w:t>
      </w:r>
      <w:r w:rsidR="00F042B9">
        <w:t xml:space="preserve"> paragraphe 6.8.2.4.1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Le groupe de travail a étudié la demande du groupe de travail 5 du CEN/TC 296, mais n</w:t>
      </w:r>
      <w:r w:rsidR="00E855A0">
        <w:t>’</w:t>
      </w:r>
      <w:r>
        <w:t>a pas été en mesure de parvenir à une conclusion définitive quant à la portée juridique des mots «</w:t>
      </w:r>
      <w:r w:rsidR="007D4724">
        <w:t> </w:t>
      </w:r>
      <w:r>
        <w:t>dans les cas particuliers</w:t>
      </w:r>
      <w:r w:rsidR="007D4724">
        <w:t> </w:t>
      </w:r>
      <w:r>
        <w:t>».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Il semblait que cette formulation avait été introduite dans l</w:t>
      </w:r>
      <w:r w:rsidR="00E855A0">
        <w:t>’</w:t>
      </w:r>
      <w:r>
        <w:t>ADR dans les années 1970 afin de pouvoir remplacer l</w:t>
      </w:r>
      <w:r w:rsidR="00E855A0">
        <w:t>’</w:t>
      </w:r>
      <w:r>
        <w:t>épreuve de pression hydraulique au moyen d</w:t>
      </w:r>
      <w:r w:rsidR="00E855A0">
        <w:t>’</w:t>
      </w:r>
      <w:r>
        <w:t>eau par une épreuve au moyen d</w:t>
      </w:r>
      <w:r w:rsidR="00E855A0">
        <w:t>’</w:t>
      </w:r>
      <w:r>
        <w:t>un autre liquide ou d</w:t>
      </w:r>
      <w:r w:rsidR="00E855A0">
        <w:t>’</w:t>
      </w:r>
      <w:r>
        <w:t>un gaz, avec l</w:t>
      </w:r>
      <w:r w:rsidR="00E855A0">
        <w:t>’</w:t>
      </w:r>
      <w:r>
        <w:t>accord de l</w:t>
      </w:r>
      <w:r w:rsidR="00E855A0">
        <w:t>’</w:t>
      </w:r>
      <w:r>
        <w:t>autorité compétente. Pour certains types de citernes, il était prescrit, auparavant, de procéder à une épreuve d</w:t>
      </w:r>
      <w:r w:rsidR="00E855A0">
        <w:t>’</w:t>
      </w:r>
      <w:r>
        <w:t>étanchéité au lieu de l</w:t>
      </w:r>
      <w:r w:rsidR="00E855A0">
        <w:t>’</w:t>
      </w:r>
      <w:r>
        <w:t>épreuve de pression hydraulique.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Rappelant le rapport de la précédente session, le groupe de travail a noté avec satisfaction que le groupe de travail 5 du CEN/TC 296 avait introduit un nouveau point de travail visant à élaborer une norme spécifique concernant des épreuves de pression utilisant des gaz, auxquelles l</w:t>
      </w:r>
      <w:r w:rsidR="00E855A0">
        <w:t>’</w:t>
      </w:r>
      <w:r>
        <w:t>autorité compétente pourrait avoir recours selon son bon vouloir. Il a été suggéré de s</w:t>
      </w:r>
      <w:r w:rsidR="00E855A0">
        <w:t>’</w:t>
      </w:r>
      <w:r>
        <w:t>inspirer de l</w:t>
      </w:r>
      <w:r w:rsidR="00E855A0">
        <w:t>’</w:t>
      </w:r>
      <w:r>
        <w:t>expérience positive du Royaume-Uni et des Pays-Bas en la matière pour procéder à ces travaux.</w:t>
      </w:r>
    </w:p>
    <w:p w:rsidR="00F042B9" w:rsidRPr="007F5AB3" w:rsidRDefault="007D4724" w:rsidP="007D4724">
      <w:pPr>
        <w:pStyle w:val="H23G"/>
      </w:pPr>
      <w:r>
        <w:tab/>
      </w:r>
      <w:r>
        <w:tab/>
      </w:r>
      <w:r w:rsidR="00F042B9">
        <w:t>Point 8</w:t>
      </w:r>
      <w:r>
        <w:br/>
      </w:r>
      <w:r w:rsidR="00F042B9">
        <w:t xml:space="preserve">ECE/TRANS/WP.15/AC.1/2016/37 (France) </w:t>
      </w:r>
      <w:r>
        <w:t>−</w:t>
      </w:r>
      <w:r w:rsidR="00F042B9">
        <w:t xml:space="preserve"> Transport de citernes de brome </w:t>
      </w:r>
      <w:r>
        <w:br/>
      </w:r>
      <w:r w:rsidR="00F042B9">
        <w:t xml:space="preserve">après expiration de la validité du contrôle annuel du revêtement, </w:t>
      </w:r>
      <w:r>
        <w:br/>
      </w:r>
      <w:r w:rsidR="00F042B9">
        <w:t>INF</w:t>
      </w:r>
      <w:r w:rsidR="00214B03">
        <w:t>.</w:t>
      </w:r>
      <w:r w:rsidR="00F042B9">
        <w:t>16 (Royaume-Uni) et INF</w:t>
      </w:r>
      <w:r w:rsidR="00214B03">
        <w:t>.</w:t>
      </w:r>
      <w:r w:rsidR="00F042B9">
        <w:t>31 (États-Unis d</w:t>
      </w:r>
      <w:r w:rsidR="00E855A0">
        <w:t>’</w:t>
      </w:r>
      <w:r w:rsidR="00F042B9">
        <w:t>Amérique)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Le groupe de travail a confirmé que la possibilité de transporter une citerne après expiration de la validité du contrôle annuel du revêtement ne s</w:t>
      </w:r>
      <w:r w:rsidR="00E855A0">
        <w:t>’</w:t>
      </w:r>
      <w:r>
        <w:t>appliquait pas au contrôle annuel du revêtement prescrit dans la disposition spéciale TT2 du 6.8.4.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Le groupe de travail a approuvé la proposition d</w:t>
      </w:r>
      <w:r w:rsidR="00E855A0">
        <w:t>’</w:t>
      </w:r>
      <w:r>
        <w:t>amendement au Règlement formulée par les États-Unis d</w:t>
      </w:r>
      <w:r w:rsidR="00E855A0">
        <w:t>’</w:t>
      </w:r>
      <w:r>
        <w:t>Amérique dans le document INF.31. Une fois cette question réglée pour les citernes mobiles, il pourrait être indiqué de procéder à des modifications en ce qui concerne les citernes RID/ADR.</w:t>
      </w:r>
    </w:p>
    <w:p w:rsidR="00F042B9" w:rsidRPr="007F5AB3" w:rsidRDefault="007D4724" w:rsidP="007D4724">
      <w:pPr>
        <w:pStyle w:val="H23G"/>
      </w:pPr>
      <w:r>
        <w:tab/>
      </w:r>
      <w:r>
        <w:tab/>
      </w:r>
      <w:r w:rsidR="00F042B9">
        <w:t>Point 9</w:t>
      </w:r>
      <w:r>
        <w:br/>
      </w:r>
      <w:r w:rsidR="00F042B9">
        <w:t xml:space="preserve">INF.6 (Fédération de Russie) </w:t>
      </w:r>
      <w:r w:rsidR="00B444FE">
        <w:t>−</w:t>
      </w:r>
      <w:r w:rsidR="00F042B9">
        <w:t xml:space="preserve"> Proposition d</w:t>
      </w:r>
      <w:r w:rsidR="00E855A0">
        <w:t>’</w:t>
      </w:r>
      <w:r w:rsidR="00F042B9">
        <w:t xml:space="preserve">amendement au point 4.3.4.1.3 </w:t>
      </w:r>
      <w:r w:rsidR="00B444FE">
        <w:br/>
      </w:r>
      <w:r w:rsidR="00F042B9">
        <w:t xml:space="preserve">du chapitre 4.3 du RID/ADR et INF.19 (Royaume-Uni) 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Le groupe de travail a souscrit à la proposition de la Fédération de Russie de regrouper sous forme de tableau l</w:t>
      </w:r>
      <w:r w:rsidR="00E855A0">
        <w:t>’</w:t>
      </w:r>
      <w:r>
        <w:t>information contenue dans le 4.3.4.1.3, conformément à la proposition avancée dans le document INF.19 par le Royaume-Uni.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Le secrétariat est prié de compléter les tableaux selon qu</w:t>
      </w:r>
      <w:r w:rsidR="00E855A0">
        <w:t>’</w:t>
      </w:r>
      <w:r>
        <w:t>il convient pour le RID et l</w:t>
      </w:r>
      <w:r w:rsidR="00E855A0">
        <w:t>’</w:t>
      </w:r>
      <w:r>
        <w:t xml:space="preserve">ADR. </w:t>
      </w:r>
    </w:p>
    <w:p w:rsidR="00F042B9" w:rsidRPr="00EF51F1" w:rsidRDefault="00F042B9" w:rsidP="000D179C">
      <w:pPr>
        <w:pStyle w:val="H23G"/>
      </w:pPr>
      <w:r>
        <w:tab/>
      </w:r>
      <w:r>
        <w:tab/>
      </w:r>
      <w:r w:rsidRPr="00EF51F1">
        <w:t>Point 10</w:t>
      </w:r>
      <w:r w:rsidR="000D179C">
        <w:br/>
      </w:r>
      <w:r w:rsidRPr="00EF51F1">
        <w:t xml:space="preserve">INF.21 (Allemagne) </w:t>
      </w:r>
      <w:r w:rsidR="000D179C">
        <w:t>−</w:t>
      </w:r>
      <w:r w:rsidRPr="00EF51F1">
        <w:t xml:space="preserve"> Renseignements concernant les marchandises dangereuses utilisées aux fins de réfrigération des citernes et CGEM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Il a été confirmé que le RID et l</w:t>
      </w:r>
      <w:r w:rsidR="00E855A0">
        <w:t>’</w:t>
      </w:r>
      <w:r>
        <w:t>ADR ne comportaient aucune prescription relative au marquage du réfrigérant. L</w:t>
      </w:r>
      <w:r w:rsidR="00E855A0">
        <w:t>’</w:t>
      </w:r>
      <w:r>
        <w:t>EIGA a relevé qu</w:t>
      </w:r>
      <w:r w:rsidR="00E855A0">
        <w:t>’</w:t>
      </w:r>
      <w:r>
        <w:t>une marque était apposée, sur une base volontaire, sur toutes les citernes pour mettre en garde contre les risques de fuite d</w:t>
      </w:r>
      <w:r w:rsidR="00E855A0">
        <w:t>’</w:t>
      </w:r>
      <w:r>
        <w:t>azote pendant le transport.</w:t>
      </w:r>
      <w:r w:rsidR="00700031">
        <w:t xml:space="preserve"> </w:t>
      </w:r>
      <w:r>
        <w:t>En vertu des règles d</w:t>
      </w:r>
      <w:r w:rsidR="00E855A0">
        <w:t>’</w:t>
      </w:r>
      <w:r>
        <w:t>arrimage concernant le transport maritime (catégorie </w:t>
      </w:r>
      <w:r w:rsidR="00214B03">
        <w:t>« </w:t>
      </w:r>
      <w:r>
        <w:t>D</w:t>
      </w:r>
      <w:r w:rsidR="00214B03">
        <w:t> »</w:t>
      </w:r>
      <w:r>
        <w:t>), ces citernes peuvent être placées uniquement en pontée, où l</w:t>
      </w:r>
      <w:r w:rsidR="00E855A0">
        <w:t>’</w:t>
      </w:r>
      <w:r>
        <w:t>aération est suffisante. Pour le transport ferroviaire ou routier, le transport des citernes mobiles se fait exclusivement par véhicule porte-conteneur pour éviter tout problème d</w:t>
      </w:r>
      <w:r w:rsidR="00E855A0">
        <w:t>’</w:t>
      </w:r>
      <w:r>
        <w:t>aération. Le groupe ne disposait pas des connaissances nécessaires pour apprécier si la prescription relative à l</w:t>
      </w:r>
      <w:r w:rsidR="00E855A0">
        <w:t>’</w:t>
      </w:r>
      <w:r>
        <w:t>arrimage dans le transport maritime s</w:t>
      </w:r>
      <w:r w:rsidR="00E855A0">
        <w:t>’</w:t>
      </w:r>
      <w:r>
        <w:t>appliquait également au transport par voie navigable.</w:t>
      </w:r>
    </w:p>
    <w:p w:rsidR="00F042B9" w:rsidRPr="007F5AB3" w:rsidRDefault="000D179C" w:rsidP="000D179C">
      <w:pPr>
        <w:pStyle w:val="H23G"/>
      </w:pPr>
      <w:r>
        <w:tab/>
      </w:r>
      <w:r>
        <w:tab/>
      </w:r>
      <w:r w:rsidR="00F042B9">
        <w:t>Point 11</w:t>
      </w:r>
      <w:r>
        <w:br/>
      </w:r>
      <w:r w:rsidR="00F042B9">
        <w:t xml:space="preserve">INF.23 (Allemagne) – Interprétation de la référence au diamètre aux 6.8.2.1.18 </w:t>
      </w:r>
      <w:r>
        <w:br/>
      </w:r>
      <w:r w:rsidR="00F042B9">
        <w:t>et 6.8.2.1.19 du RID/ADR</w:t>
      </w:r>
    </w:p>
    <w:p w:rsidR="00F042B9" w:rsidRPr="007F5AB3" w:rsidRDefault="00F042B9" w:rsidP="00F44282">
      <w:pPr>
        <w:pStyle w:val="ParNoG"/>
        <w:tabs>
          <w:tab w:val="clear" w:pos="1701"/>
        </w:tabs>
      </w:pPr>
      <w:r>
        <w:t>En ce qui concerne la question, soulevée par l</w:t>
      </w:r>
      <w:r w:rsidR="00E855A0">
        <w:t>’</w:t>
      </w:r>
      <w:r>
        <w:t>Allemagne, de savoir si le diamètre mentionné aux 6.8.2.1.18 et 6.8.2.1.19 était le diamètre intérieur ou extérieur du réservoir, le groupe a estimé qu</w:t>
      </w:r>
      <w:r w:rsidR="00E855A0">
        <w:t>’</w:t>
      </w:r>
      <w:r>
        <w:t>il s</w:t>
      </w:r>
      <w:r w:rsidR="00E855A0">
        <w:t>’</w:t>
      </w:r>
      <w:r>
        <w:t xml:space="preserve">agissait du diamètre intérieur, comme au 6.8.2.1.17. </w:t>
      </w:r>
    </w:p>
    <w:p w:rsidR="00F042B9" w:rsidRPr="007F5AB3" w:rsidRDefault="00A16FEF" w:rsidP="00A16FEF">
      <w:pPr>
        <w:pStyle w:val="H23G"/>
      </w:pPr>
      <w:r>
        <w:tab/>
      </w:r>
      <w:r>
        <w:tab/>
      </w:r>
      <w:r w:rsidR="00F042B9">
        <w:t>Point 12</w:t>
      </w:r>
      <w:r>
        <w:br/>
      </w:r>
      <w:r w:rsidR="00F042B9">
        <w:t xml:space="preserve">INF.28 (Portugal) </w:t>
      </w:r>
      <w:r>
        <w:t>−</w:t>
      </w:r>
      <w:r w:rsidR="00F042B9">
        <w:t xml:space="preserve"> Renseignements inscrits sur les plaques de citernes </w:t>
      </w:r>
    </w:p>
    <w:p w:rsidR="00F042B9" w:rsidRPr="00992778" w:rsidRDefault="00F042B9" w:rsidP="00F44282">
      <w:pPr>
        <w:pStyle w:val="ParNoG"/>
        <w:tabs>
          <w:tab w:val="clear" w:pos="1701"/>
        </w:tabs>
        <w:rPr>
          <w:b/>
        </w:rPr>
      </w:pPr>
      <w:r>
        <w:t>Le groupe de travail a confirmé l</w:t>
      </w:r>
      <w:r w:rsidR="00E855A0">
        <w:t>’</w:t>
      </w:r>
      <w:r>
        <w:t>interprétation du Règlement faite par le Portugal. Il</w:t>
      </w:r>
      <w:r w:rsidR="00A16FEF">
        <w:t> </w:t>
      </w:r>
      <w:r>
        <w:t>a été demandé si l</w:t>
      </w:r>
      <w:r w:rsidR="00E855A0">
        <w:t>’</w:t>
      </w:r>
      <w:r>
        <w:t xml:space="preserve">objet du marquage était convenablement réglementé pour cette application et si les renseignements relatifs au chargement réel se trouveraient dans le document de transport et sur la plaque orange. Il a aussi été </w:t>
      </w:r>
      <w:r w:rsidR="00A16FEF">
        <w:t>noté qu</w:t>
      </w:r>
      <w:r w:rsidR="00E855A0">
        <w:t>’</w:t>
      </w:r>
      <w:r w:rsidR="00A16FEF">
        <w:t>un renvoi à la norme EN </w:t>
      </w:r>
      <w:r>
        <w:t>15877</w:t>
      </w:r>
      <w:r w:rsidR="00C06F8E">
        <w:t>:</w:t>
      </w:r>
      <w:r>
        <w:t>2012 avait été récemment ajouté dans le RID, mais qu</w:t>
      </w:r>
      <w:r w:rsidR="00E855A0">
        <w:t>’</w:t>
      </w:r>
      <w:r>
        <w:t>en raison de la disponibilité tardive du document, le contenu de ce renvoi n</w:t>
      </w:r>
      <w:r w:rsidR="00E855A0">
        <w:t>’</w:t>
      </w:r>
      <w:r>
        <w:t>avait pu être contrôlé.</w:t>
      </w:r>
    </w:p>
    <w:p w:rsidR="00F9573C" w:rsidRPr="00F44282" w:rsidRDefault="00F44282" w:rsidP="00F442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F44282" w:rsidSect="00917C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F8" w:rsidRDefault="002C3EF8" w:rsidP="00F95C08">
      <w:pPr>
        <w:spacing w:line="240" w:lineRule="auto"/>
      </w:pPr>
    </w:p>
  </w:endnote>
  <w:endnote w:type="continuationSeparator" w:id="0">
    <w:p w:rsidR="002C3EF8" w:rsidRPr="00AC3823" w:rsidRDefault="002C3EF8" w:rsidP="00AC3823">
      <w:pPr>
        <w:pStyle w:val="Footer"/>
      </w:pPr>
    </w:p>
  </w:endnote>
  <w:endnote w:type="continuationNotice" w:id="1">
    <w:p w:rsidR="002C3EF8" w:rsidRDefault="002C3E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F8" w:rsidRPr="00917C23" w:rsidRDefault="002C3EF8" w:rsidP="00917C23">
    <w:pPr>
      <w:pStyle w:val="Footer"/>
      <w:tabs>
        <w:tab w:val="right" w:pos="9638"/>
      </w:tabs>
    </w:pPr>
    <w:r w:rsidRPr="00917C23">
      <w:rPr>
        <w:b/>
        <w:sz w:val="18"/>
      </w:rPr>
      <w:fldChar w:fldCharType="begin"/>
    </w:r>
    <w:r w:rsidRPr="00917C23">
      <w:rPr>
        <w:b/>
        <w:sz w:val="18"/>
      </w:rPr>
      <w:instrText xml:space="preserve"> PAGE  \* MERGEFORMAT </w:instrText>
    </w:r>
    <w:r w:rsidRPr="00917C23">
      <w:rPr>
        <w:b/>
        <w:sz w:val="18"/>
      </w:rPr>
      <w:fldChar w:fldCharType="separate"/>
    </w:r>
    <w:r w:rsidR="006103D7">
      <w:rPr>
        <w:b/>
        <w:noProof/>
        <w:sz w:val="18"/>
      </w:rPr>
      <w:t>2</w:t>
    </w:r>
    <w:r w:rsidRPr="00917C23">
      <w:rPr>
        <w:b/>
        <w:sz w:val="18"/>
      </w:rPr>
      <w:fldChar w:fldCharType="end"/>
    </w:r>
    <w:r>
      <w:rPr>
        <w:b/>
        <w:sz w:val="18"/>
      </w:rPr>
      <w:tab/>
    </w:r>
    <w:r>
      <w:t>GE.16-20760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F8" w:rsidRPr="00917C23" w:rsidRDefault="002C3EF8" w:rsidP="00917C23">
    <w:pPr>
      <w:pStyle w:val="Footer"/>
      <w:tabs>
        <w:tab w:val="right" w:pos="9638"/>
      </w:tabs>
      <w:rPr>
        <w:b/>
        <w:sz w:val="18"/>
      </w:rPr>
    </w:pPr>
    <w:r>
      <w:t>GE.16-20760</w:t>
    </w:r>
    <w:r>
      <w:tab/>
    </w:r>
    <w:r w:rsidRPr="00917C23">
      <w:rPr>
        <w:b/>
        <w:sz w:val="18"/>
      </w:rPr>
      <w:fldChar w:fldCharType="begin"/>
    </w:r>
    <w:r w:rsidRPr="00917C23">
      <w:rPr>
        <w:b/>
        <w:sz w:val="18"/>
      </w:rPr>
      <w:instrText xml:space="preserve"> PAGE  \* MERGEFORMAT </w:instrText>
    </w:r>
    <w:r w:rsidRPr="00917C23">
      <w:rPr>
        <w:b/>
        <w:sz w:val="18"/>
      </w:rPr>
      <w:fldChar w:fldCharType="separate"/>
    </w:r>
    <w:r w:rsidR="006103D7">
      <w:rPr>
        <w:b/>
        <w:noProof/>
        <w:sz w:val="18"/>
      </w:rPr>
      <w:t>3</w:t>
    </w:r>
    <w:r w:rsidRPr="00917C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F8" w:rsidRPr="00917C23" w:rsidRDefault="002C3EF8" w:rsidP="00917C23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78F46187" wp14:editId="524E5E8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16-20760  (F)    021216    020217</w:t>
    </w:r>
    <w:r>
      <w:rPr>
        <w:sz w:val="20"/>
      </w:rPr>
      <w:br/>
    </w:r>
    <w:r w:rsidRPr="00917C23">
      <w:rPr>
        <w:rFonts w:ascii="C39T30Lfz" w:hAnsi="C39T30Lfz"/>
        <w:sz w:val="56"/>
      </w:rPr>
      <w:t></w:t>
    </w:r>
    <w:r w:rsidRPr="00917C23">
      <w:rPr>
        <w:rFonts w:ascii="C39T30Lfz" w:hAnsi="C39T30Lfz"/>
        <w:sz w:val="56"/>
      </w:rPr>
      <w:t></w:t>
    </w:r>
    <w:r w:rsidRPr="00917C23">
      <w:rPr>
        <w:rFonts w:ascii="C39T30Lfz" w:hAnsi="C39T30Lfz"/>
        <w:sz w:val="56"/>
      </w:rPr>
      <w:t></w:t>
    </w:r>
    <w:r w:rsidRPr="00917C23">
      <w:rPr>
        <w:rFonts w:ascii="C39T30Lfz" w:hAnsi="C39T30Lfz"/>
        <w:sz w:val="56"/>
      </w:rPr>
      <w:t></w:t>
    </w:r>
    <w:r w:rsidRPr="00917C23">
      <w:rPr>
        <w:rFonts w:ascii="C39T30Lfz" w:hAnsi="C39T30Lfz"/>
        <w:sz w:val="56"/>
      </w:rPr>
      <w:t></w:t>
    </w:r>
    <w:r w:rsidRPr="00917C23">
      <w:rPr>
        <w:rFonts w:ascii="C39T30Lfz" w:hAnsi="C39T30Lfz"/>
        <w:sz w:val="56"/>
      </w:rPr>
      <w:t></w:t>
    </w:r>
    <w:r w:rsidRPr="00917C23">
      <w:rPr>
        <w:rFonts w:ascii="C39T30Lfz" w:hAnsi="C39T30Lfz"/>
        <w:sz w:val="56"/>
      </w:rPr>
      <w:t></w:t>
    </w:r>
    <w:r w:rsidRPr="00917C23">
      <w:rPr>
        <w:rFonts w:ascii="C39T30Lfz" w:hAnsi="C39T30Lfz"/>
        <w:sz w:val="56"/>
      </w:rPr>
      <w:t></w:t>
    </w:r>
    <w:r w:rsidRPr="00917C23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15/AC.1/144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144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F8" w:rsidRPr="00AC3823" w:rsidRDefault="002C3E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C3EF8" w:rsidRPr="00AC3823" w:rsidRDefault="002C3E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C3EF8" w:rsidRPr="00AC3823" w:rsidRDefault="002C3EF8">
      <w:pPr>
        <w:spacing w:line="240" w:lineRule="auto"/>
        <w:rPr>
          <w:sz w:val="2"/>
          <w:szCs w:val="2"/>
        </w:rPr>
      </w:pPr>
    </w:p>
  </w:footnote>
  <w:footnote w:id="2">
    <w:p w:rsidR="002C3EF8" w:rsidRPr="0012746A" w:rsidRDefault="002C3EF8">
      <w:pPr>
        <w:pStyle w:val="FootnoteText"/>
      </w:pPr>
      <w:r>
        <w:rPr>
          <w:rStyle w:val="FootnoteReference"/>
        </w:rPr>
        <w:tab/>
      </w:r>
      <w:r w:rsidRPr="0012746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Diffusé par l</w:t>
      </w:r>
      <w:r w:rsidR="00E855A0">
        <w:t>’</w:t>
      </w:r>
      <w:r>
        <w:t>Organisation intergouvernementale pour les transports internationaux ferroviaires (OTIF) sous la cote OTIF/RID/RC/2016-B. Sauf indication contraire, les autres documents auxquels il est fait référence dans le présent rapport et qui portent une cote ECE/TRANS/WP.15/AC.1/ suivie de l</w:t>
      </w:r>
      <w:r w:rsidR="00E855A0">
        <w:t>’</w:t>
      </w:r>
      <w:r>
        <w:t>année et d</w:t>
      </w:r>
      <w:r w:rsidR="00E855A0">
        <w:t>’</w:t>
      </w:r>
      <w:r>
        <w:t>un numéro de série ont été diffusés par l</w:t>
      </w:r>
      <w:r w:rsidR="00E855A0">
        <w:t>’</w:t>
      </w:r>
      <w:r>
        <w:t>OTIF sous la cote OTIF/RID/RC/ suivie de l</w:t>
      </w:r>
      <w:r w:rsidR="00E855A0">
        <w:t>’</w:t>
      </w:r>
      <w:r>
        <w:t>année et du même numéro de série.</w:t>
      </w:r>
    </w:p>
  </w:footnote>
  <w:footnote w:id="3">
    <w:p w:rsidR="002C3EF8" w:rsidRPr="00987CF9" w:rsidRDefault="002C3EF8">
      <w:pPr>
        <w:pStyle w:val="FootnoteText"/>
      </w:pPr>
      <w:r>
        <w:rPr>
          <w:rStyle w:val="FootnoteReference"/>
        </w:rPr>
        <w:tab/>
      </w:r>
      <w:r w:rsidRPr="00987CF9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t>Diffusé par l</w:t>
      </w:r>
      <w:r w:rsidR="00E855A0">
        <w:t>’</w:t>
      </w:r>
      <w:r>
        <w:t>Organisation intergouvernementale pour les transports internationaux ferroviaires (OTIF) sous la cote OTIF/RID/RC/2016-B/Add.1.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F8" w:rsidRPr="00917C23" w:rsidRDefault="002C3EF8">
    <w:pPr>
      <w:pStyle w:val="Header"/>
    </w:pPr>
    <w:r>
      <w:t>ECE/TRANS/WP.15/AC.1/144/Add.1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F8" w:rsidRPr="00917C23" w:rsidRDefault="002C3EF8" w:rsidP="00917C23">
    <w:pPr>
      <w:pStyle w:val="Header"/>
      <w:jc w:val="right"/>
    </w:pPr>
    <w:r>
      <w:t>ECE/TRANS/WP.15/AC.1/144/Add.1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1"/>
    <w:rsid w:val="00017F94"/>
    <w:rsid w:val="00023842"/>
    <w:rsid w:val="000334F9"/>
    <w:rsid w:val="0007796D"/>
    <w:rsid w:val="000B7790"/>
    <w:rsid w:val="000D179C"/>
    <w:rsid w:val="000D6561"/>
    <w:rsid w:val="00111F2F"/>
    <w:rsid w:val="0012746A"/>
    <w:rsid w:val="001433E1"/>
    <w:rsid w:val="0014365E"/>
    <w:rsid w:val="00143C66"/>
    <w:rsid w:val="00160B13"/>
    <w:rsid w:val="00164945"/>
    <w:rsid w:val="00176178"/>
    <w:rsid w:val="00190534"/>
    <w:rsid w:val="001F525A"/>
    <w:rsid w:val="00214B03"/>
    <w:rsid w:val="00223272"/>
    <w:rsid w:val="0024779E"/>
    <w:rsid w:val="00257168"/>
    <w:rsid w:val="00273992"/>
    <w:rsid w:val="002744B8"/>
    <w:rsid w:val="002832AC"/>
    <w:rsid w:val="002C3EF8"/>
    <w:rsid w:val="002D7C93"/>
    <w:rsid w:val="00305801"/>
    <w:rsid w:val="00333314"/>
    <w:rsid w:val="003836E1"/>
    <w:rsid w:val="003916DE"/>
    <w:rsid w:val="003A22CC"/>
    <w:rsid w:val="003E53E4"/>
    <w:rsid w:val="00441C3B"/>
    <w:rsid w:val="00446FE5"/>
    <w:rsid w:val="00452396"/>
    <w:rsid w:val="004837D8"/>
    <w:rsid w:val="004C1063"/>
    <w:rsid w:val="004E468C"/>
    <w:rsid w:val="0055053B"/>
    <w:rsid w:val="005505B7"/>
    <w:rsid w:val="00573BE5"/>
    <w:rsid w:val="00586ED3"/>
    <w:rsid w:val="00596AA9"/>
    <w:rsid w:val="005C4727"/>
    <w:rsid w:val="006103D7"/>
    <w:rsid w:val="00700031"/>
    <w:rsid w:val="0071601D"/>
    <w:rsid w:val="00737E8A"/>
    <w:rsid w:val="0077297D"/>
    <w:rsid w:val="007A62E6"/>
    <w:rsid w:val="007D4724"/>
    <w:rsid w:val="007F20FA"/>
    <w:rsid w:val="0080684C"/>
    <w:rsid w:val="00871ABA"/>
    <w:rsid w:val="00871C75"/>
    <w:rsid w:val="008776DC"/>
    <w:rsid w:val="00882C94"/>
    <w:rsid w:val="00917C23"/>
    <w:rsid w:val="009705C8"/>
    <w:rsid w:val="00987CF9"/>
    <w:rsid w:val="009B01D1"/>
    <w:rsid w:val="009C1CF4"/>
    <w:rsid w:val="009D7004"/>
    <w:rsid w:val="009F6B74"/>
    <w:rsid w:val="00A16FEF"/>
    <w:rsid w:val="00A30353"/>
    <w:rsid w:val="00A75F0F"/>
    <w:rsid w:val="00AC3823"/>
    <w:rsid w:val="00AE323C"/>
    <w:rsid w:val="00AF0CB5"/>
    <w:rsid w:val="00B00181"/>
    <w:rsid w:val="00B00B0D"/>
    <w:rsid w:val="00B444FE"/>
    <w:rsid w:val="00B765F7"/>
    <w:rsid w:val="00BA0CA9"/>
    <w:rsid w:val="00C02897"/>
    <w:rsid w:val="00C06F8E"/>
    <w:rsid w:val="00C15DF8"/>
    <w:rsid w:val="00CD4B13"/>
    <w:rsid w:val="00CE31EE"/>
    <w:rsid w:val="00D3439C"/>
    <w:rsid w:val="00DB1831"/>
    <w:rsid w:val="00DD3BFD"/>
    <w:rsid w:val="00DD6726"/>
    <w:rsid w:val="00DF6678"/>
    <w:rsid w:val="00E855A0"/>
    <w:rsid w:val="00E85C74"/>
    <w:rsid w:val="00EA6547"/>
    <w:rsid w:val="00EF2E22"/>
    <w:rsid w:val="00F042B9"/>
    <w:rsid w:val="00F35BAF"/>
    <w:rsid w:val="00F44282"/>
    <w:rsid w:val="00F660DF"/>
    <w:rsid w:val="00F94664"/>
    <w:rsid w:val="00F9573C"/>
    <w:rsid w:val="00F95C08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9AAD29-51EF-42EF-A4F8-60789CE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F042B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F042B9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F042B9"/>
    <w:rPr>
      <w:rFonts w:ascii="Times New Roman" w:hAnsi="Times New Roman" w:cs="Times New Roman"/>
      <w:b/>
      <w:sz w:val="28"/>
      <w:szCs w:val="20"/>
      <w:lang w:eastAsia="en-US"/>
    </w:rPr>
  </w:style>
  <w:style w:type="paragraph" w:customStyle="1" w:styleId="Default">
    <w:name w:val="Default"/>
    <w:rsid w:val="00F042B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3293</Words>
  <Characters>18772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ECE/TRANS/WP.15/AC.1/144/Add.1</vt:lpstr>
      <vt:lpstr>ECE/TRANS/WP.15/AC.1/144/Add.1</vt:lpstr>
    </vt:vector>
  </TitlesOfParts>
  <Company>DCM</Company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ECE/TRANS/WP.15/AC.1/144/Add.1</dc:title>
  <dc:subject/>
  <dc:creator>Nath V.</dc:creator>
  <cp:keywords/>
  <dc:description/>
  <cp:lastModifiedBy>Christine Barrio-Champeau</cp:lastModifiedBy>
  <cp:revision>2</cp:revision>
  <cp:lastPrinted>2017-02-02T07:52:00Z</cp:lastPrinted>
  <dcterms:created xsi:type="dcterms:W3CDTF">2017-03-10T14:41:00Z</dcterms:created>
  <dcterms:modified xsi:type="dcterms:W3CDTF">2017-03-10T14:41:00Z</dcterms:modified>
</cp:coreProperties>
</file>