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842E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842EB" w:rsidP="00A842EB">
            <w:pPr>
              <w:jc w:val="right"/>
            </w:pPr>
            <w:r w:rsidRPr="00A842EB">
              <w:rPr>
                <w:sz w:val="40"/>
              </w:rPr>
              <w:t>ECE</w:t>
            </w:r>
            <w:r>
              <w:t>/TRANS/WP.15/2017/10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842EB" w:rsidP="00C97039">
            <w:pPr>
              <w:spacing w:before="240"/>
            </w:pPr>
            <w:r>
              <w:t>Distr. générale</w:t>
            </w:r>
          </w:p>
          <w:p w:rsidR="00A842EB" w:rsidRDefault="00A842EB" w:rsidP="00A842EB">
            <w:pPr>
              <w:spacing w:line="240" w:lineRule="exact"/>
            </w:pPr>
            <w:r>
              <w:t>22 février 2017</w:t>
            </w:r>
          </w:p>
          <w:p w:rsidR="00A842EB" w:rsidRDefault="00A842EB" w:rsidP="00A842EB">
            <w:pPr>
              <w:spacing w:line="240" w:lineRule="exact"/>
            </w:pPr>
            <w:r>
              <w:t>Français</w:t>
            </w:r>
          </w:p>
          <w:p w:rsidR="00A842EB" w:rsidRPr="00DB58B5" w:rsidRDefault="00A842EB" w:rsidP="00A842EB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33751" w:rsidRPr="009E01B8" w:rsidRDefault="00933751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933751" w:rsidRPr="00992778" w:rsidRDefault="00933751" w:rsidP="00E85C74">
      <w:pPr>
        <w:spacing w:before="120"/>
        <w:rPr>
          <w:b/>
        </w:rPr>
      </w:pPr>
      <w:r w:rsidRPr="004C61F8">
        <w:rPr>
          <w:rFonts w:eastAsia="SimSun"/>
          <w:b/>
        </w:rPr>
        <w:t>102</w:t>
      </w:r>
      <w:r w:rsidRPr="004C61F8">
        <w:rPr>
          <w:rFonts w:eastAsia="SimSun"/>
          <w:b/>
          <w:vertAlign w:val="superscript"/>
        </w:rPr>
        <w:t>e</w:t>
      </w:r>
      <w:r>
        <w:rPr>
          <w:b/>
        </w:rPr>
        <w:t xml:space="preserve"> </w:t>
      </w:r>
      <w:r w:rsidRPr="00992778">
        <w:rPr>
          <w:b/>
        </w:rPr>
        <w:t>session</w:t>
      </w:r>
    </w:p>
    <w:p w:rsidR="00933751" w:rsidRDefault="00933751" w:rsidP="00E85C74">
      <w:r>
        <w:t xml:space="preserve">Genève, </w:t>
      </w:r>
      <w:r w:rsidRPr="004C61F8">
        <w:rPr>
          <w:rFonts w:eastAsia="SimSun"/>
        </w:rPr>
        <w:t>8-12</w:t>
      </w:r>
      <w:r w:rsidR="00A344E7">
        <w:rPr>
          <w:rFonts w:eastAsia="SimSun"/>
        </w:rPr>
        <w:t> </w:t>
      </w:r>
      <w:r w:rsidRPr="004C61F8">
        <w:rPr>
          <w:rFonts w:eastAsia="SimSun"/>
        </w:rPr>
        <w:t>mai 2017</w:t>
      </w:r>
    </w:p>
    <w:p w:rsidR="00933751" w:rsidRDefault="00933751" w:rsidP="00E85C74">
      <w:r w:rsidRPr="00B93E72">
        <w:t xml:space="preserve">Point </w:t>
      </w:r>
      <w:r>
        <w:t>5 b)</w:t>
      </w:r>
      <w:r w:rsidRPr="00B93E72">
        <w:t xml:space="preserve"> de l’ordre du jour provisoire</w:t>
      </w:r>
    </w:p>
    <w:p w:rsidR="00933751" w:rsidRPr="004C61F8" w:rsidRDefault="00933751" w:rsidP="00933751">
      <w:pPr>
        <w:rPr>
          <w:b/>
        </w:rPr>
      </w:pPr>
      <w:r w:rsidRPr="004C61F8">
        <w:rPr>
          <w:b/>
        </w:rPr>
        <w:t>Propositions d</w:t>
      </w:r>
      <w:r>
        <w:rPr>
          <w:b/>
        </w:rPr>
        <w:t>’</w:t>
      </w:r>
      <w:r w:rsidRPr="004C61F8">
        <w:rPr>
          <w:b/>
        </w:rPr>
        <w:t>amendement aux annexes A et B de l</w:t>
      </w:r>
      <w:r>
        <w:rPr>
          <w:b/>
        </w:rPr>
        <w:t>’</w:t>
      </w:r>
      <w:r w:rsidRPr="004C61F8">
        <w:rPr>
          <w:b/>
        </w:rPr>
        <w:t>ADR</w:t>
      </w:r>
      <w:r>
        <w:rPr>
          <w:b/>
        </w:rPr>
        <w:t> :</w:t>
      </w:r>
    </w:p>
    <w:p w:rsidR="00F9573C" w:rsidRDefault="00933751" w:rsidP="00933751">
      <w:pPr>
        <w:rPr>
          <w:b/>
        </w:rPr>
      </w:pPr>
      <w:r w:rsidRPr="004C61F8">
        <w:rPr>
          <w:b/>
        </w:rPr>
        <w:t>Propositions diverse</w:t>
      </w:r>
      <w:r w:rsidR="007F6126">
        <w:rPr>
          <w:b/>
        </w:rPr>
        <w:t>s</w:t>
      </w:r>
    </w:p>
    <w:p w:rsidR="007F6126" w:rsidRDefault="007F6126" w:rsidP="007F6126">
      <w:pPr>
        <w:pStyle w:val="HChG"/>
      </w:pPr>
      <w:r>
        <w:tab/>
      </w:r>
      <w:r>
        <w:tab/>
      </w:r>
      <w:r w:rsidRPr="004C61F8">
        <w:t xml:space="preserve">Propositions visant à apporter des </w:t>
      </w:r>
      <w:r>
        <w:t>corrections</w:t>
      </w:r>
      <w:r w:rsidRPr="004C61F8">
        <w:t xml:space="preserve"> </w:t>
      </w:r>
      <w:r>
        <w:br/>
      </w:r>
      <w:r w:rsidRPr="004C61F8">
        <w:t xml:space="preserve">aux </w:t>
      </w:r>
      <w:r>
        <w:t>paragraphes </w:t>
      </w:r>
      <w:r w:rsidRPr="004C61F8">
        <w:t>5.3.2.1.4 et 5.3.2.1.6 de l</w:t>
      </w:r>
      <w:r>
        <w:t>’</w:t>
      </w:r>
      <w:r w:rsidRPr="004C61F8">
        <w:t>ADR</w:t>
      </w:r>
    </w:p>
    <w:p w:rsidR="007F6126" w:rsidRDefault="00E32A43" w:rsidP="007064E3">
      <w:pPr>
        <w:pStyle w:val="H1G"/>
      </w:pPr>
      <w:r>
        <w:tab/>
      </w:r>
      <w:r>
        <w:tab/>
      </w:r>
      <w:r w:rsidR="007F6126" w:rsidRPr="004C61F8">
        <w:t>Communication du Gouvernement de l</w:t>
      </w:r>
      <w:r w:rsidR="007F6126">
        <w:t>’</w:t>
      </w:r>
      <w:r w:rsidR="007704EB">
        <w:t>Autriche</w:t>
      </w:r>
      <w:r w:rsidR="00F51B90" w:rsidRPr="00F51B90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/>
      </w:tblPr>
      <w:tblGrid>
        <w:gridCol w:w="9637"/>
      </w:tblGrid>
      <w:tr w:rsidR="007704E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7704EB" w:rsidRPr="000001E7" w:rsidRDefault="007704EB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7704E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7704EB" w:rsidRDefault="007704EB" w:rsidP="00194AF2">
            <w:pPr>
              <w:pStyle w:val="SingleTxtG"/>
              <w:ind w:left="2835" w:hanging="2268"/>
            </w:pPr>
            <w:r w:rsidRPr="004C61F8">
              <w:rPr>
                <w:b/>
                <w:szCs w:val="22"/>
              </w:rPr>
              <w:t>Résumé analytique</w:t>
            </w:r>
            <w:r w:rsidR="009A774D">
              <w:rPr>
                <w:szCs w:val="22"/>
              </w:rPr>
              <w:t> :</w:t>
            </w:r>
            <w:r w:rsidRPr="004C61F8">
              <w:tab/>
            </w:r>
            <w:r>
              <w:tab/>
            </w:r>
            <w:r w:rsidR="00136091">
              <w:t>Au paragraphe </w:t>
            </w:r>
            <w:r w:rsidR="00526C42">
              <w:t>5.3.2.1.4 :</w:t>
            </w:r>
            <w:r w:rsidRPr="004C61F8">
              <w:t xml:space="preserve"> Le terme </w:t>
            </w:r>
            <w:r>
              <w:t>« </w:t>
            </w:r>
            <w:r w:rsidRPr="004C61F8">
              <w:t>unités de transport</w:t>
            </w:r>
            <w:r>
              <w:t> »</w:t>
            </w:r>
            <w:r w:rsidRPr="004C61F8">
              <w:t xml:space="preserve"> </w:t>
            </w:r>
            <w:r>
              <w:t>pourrait être compris comme</w:t>
            </w:r>
            <w:r w:rsidRPr="004C61F8">
              <w:t xml:space="preserve"> </w:t>
            </w:r>
            <w:r>
              <w:t>impliquant un marquage officiel</w:t>
            </w:r>
            <w:r w:rsidRPr="004C61F8">
              <w:t xml:space="preserve">, </w:t>
            </w:r>
            <w:r>
              <w:t xml:space="preserve">ce qui </w:t>
            </w:r>
            <w:r w:rsidRPr="004C61F8">
              <w:t>contrast</w:t>
            </w:r>
            <w:r w:rsidR="00526C42">
              <w:t xml:space="preserve">e </w:t>
            </w:r>
            <w:r>
              <w:t>avec l’objet de ce paragraphe</w:t>
            </w:r>
            <w:r w:rsidRPr="004C61F8">
              <w:t>.</w:t>
            </w:r>
            <w:r w:rsidR="009120B2">
              <w:t xml:space="preserve"> </w:t>
            </w:r>
            <w:r w:rsidRPr="00400E50">
              <w:t xml:space="preserve">On peut remédier à cette </w:t>
            </w:r>
            <w:r>
              <w:t>incohérence en remplaçant « unités de transport » par « véhicules »</w:t>
            </w:r>
            <w:r w:rsidRPr="004C61F8">
              <w:t>.</w:t>
            </w:r>
          </w:p>
        </w:tc>
      </w:tr>
      <w:tr w:rsidR="007704E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7704EB" w:rsidRDefault="00176B0E" w:rsidP="00194AF2">
            <w:pPr>
              <w:pStyle w:val="SingleTxtG"/>
              <w:ind w:left="2835" w:hanging="567"/>
            </w:pPr>
            <w:r w:rsidRPr="004C61F8">
              <w:tab/>
            </w:r>
            <w:r>
              <w:t>Au paragraphe 5.3.2.1.6 :</w:t>
            </w:r>
            <w:r w:rsidRPr="004C61F8">
              <w:t xml:space="preserve"> </w:t>
            </w:r>
            <w:r>
              <w:t>Préciser le sens de l’</w:t>
            </w:r>
            <w:r w:rsidRPr="004C61F8">
              <w:t xml:space="preserve">expression </w:t>
            </w:r>
            <w:r>
              <w:t>« matière dangereuse et aucune matière non dangereuse » permettrait d’éviter toute mauvaise interprétation de ce</w:t>
            </w:r>
            <w:r w:rsidR="00F448AA">
              <w:t> </w:t>
            </w:r>
            <w:r w:rsidRPr="004C61F8">
              <w:t>paragraph</w:t>
            </w:r>
            <w:r>
              <w:t>e.</w:t>
            </w:r>
          </w:p>
        </w:tc>
      </w:tr>
      <w:tr w:rsidR="00176B0E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176B0E" w:rsidRDefault="00176B0E" w:rsidP="00176B0E"/>
        </w:tc>
      </w:tr>
    </w:tbl>
    <w:p w:rsidR="00F872C2" w:rsidRDefault="00F872C2" w:rsidP="00ED7EF5"/>
    <w:p w:rsidR="00ED7EF5" w:rsidRPr="004C61F8" w:rsidRDefault="00F872C2" w:rsidP="00286900">
      <w:pPr>
        <w:pStyle w:val="HChG"/>
        <w:rPr>
          <w:snapToGrid w:val="0"/>
        </w:rPr>
      </w:pPr>
      <w:r>
        <w:br w:type="page"/>
      </w:r>
      <w:r w:rsidR="00286900">
        <w:lastRenderedPageBreak/>
        <w:tab/>
        <w:t>I.</w:t>
      </w:r>
      <w:r w:rsidR="00286900">
        <w:tab/>
      </w:r>
      <w:r w:rsidR="00ED7EF5" w:rsidRPr="004C61F8">
        <w:t>Introduction</w:t>
      </w:r>
    </w:p>
    <w:p w:rsidR="00ED7EF5" w:rsidRPr="004C61F8" w:rsidRDefault="00ED7EF5" w:rsidP="00286900">
      <w:pPr>
        <w:pStyle w:val="H1G"/>
      </w:pPr>
      <w:r w:rsidRPr="004C61F8">
        <w:tab/>
      </w:r>
      <w:r w:rsidRPr="004C61F8">
        <w:tab/>
      </w:r>
      <w:r w:rsidR="00F83776">
        <w:t>Paragraphe </w:t>
      </w:r>
      <w:r w:rsidRPr="004C61F8">
        <w:t>5.3.2.1.4</w:t>
      </w:r>
    </w:p>
    <w:p w:rsidR="00ED7EF5" w:rsidRPr="004C61F8" w:rsidRDefault="00ED7EF5" w:rsidP="007B2EF9">
      <w:pPr>
        <w:pStyle w:val="ParNoG"/>
      </w:pPr>
      <w:r>
        <w:t xml:space="preserve">Il est prescrit, au titre de ce </w:t>
      </w:r>
      <w:r w:rsidRPr="004C61F8">
        <w:t>paragraph</w:t>
      </w:r>
      <w:r>
        <w:t>e, d’apposer des panneaux de couleur orange</w:t>
      </w:r>
      <w:r w:rsidRPr="004C61F8">
        <w:t xml:space="preserve"> (</w:t>
      </w:r>
      <w:r>
        <w:t>sur les côtés gauche et droit</w:t>
      </w:r>
      <w:r w:rsidRPr="004C61F8">
        <w:t xml:space="preserve">), </w:t>
      </w:r>
      <w:r>
        <w:t>où doivent figurer le numéro d’</w:t>
      </w:r>
      <w:r w:rsidRPr="004C61F8">
        <w:t xml:space="preserve">identification </w:t>
      </w:r>
      <w:r>
        <w:t>du danger et le numéro ONU</w:t>
      </w:r>
      <w:r w:rsidRPr="004C61F8">
        <w:t xml:space="preserve">, </w:t>
      </w:r>
      <w:r>
        <w:t>lorsque sont transportés des matières solides,</w:t>
      </w:r>
      <w:r w:rsidR="009120B2">
        <w:t xml:space="preserve"> </w:t>
      </w:r>
      <w:r>
        <w:t xml:space="preserve">des objets (non emballés) ou des matières radioactives </w:t>
      </w:r>
      <w:r w:rsidR="00286900">
        <w:t xml:space="preserve">sous </w:t>
      </w:r>
      <w:r>
        <w:t>utilisation exclusive</w:t>
      </w:r>
      <w:r w:rsidRPr="004C61F8">
        <w:t xml:space="preserve"> (</w:t>
      </w:r>
      <w:r>
        <w:t>numéro ONU unique</w:t>
      </w:r>
      <w:r w:rsidRPr="004C61F8">
        <w:t>).</w:t>
      </w:r>
    </w:p>
    <w:p w:rsidR="00ED7EF5" w:rsidRPr="004C61F8" w:rsidRDefault="00ED7EF5" w:rsidP="007B2EF9">
      <w:pPr>
        <w:pStyle w:val="ParNoG"/>
      </w:pPr>
      <w:r>
        <w:t>L’exemple suivant illustre le problème exposé</w:t>
      </w:r>
      <w:r w:rsidR="009120B2">
        <w:t xml:space="preserve"> </w:t>
      </w:r>
      <w:r>
        <w:t>dans le résumé</w:t>
      </w:r>
      <w:r w:rsidRPr="004C61F8">
        <w:t xml:space="preserve">. </w:t>
      </w:r>
      <w:r>
        <w:t>Une unité de</w:t>
      </w:r>
      <w:r w:rsidRPr="004C61F8">
        <w:t xml:space="preserve"> transport </w:t>
      </w:r>
      <w:r>
        <w:t>(un camion avec remorque</w:t>
      </w:r>
      <w:r w:rsidRPr="004C61F8">
        <w:t xml:space="preserve">) </w:t>
      </w:r>
      <w:r>
        <w:t>est chargée de marchandises relevant du numéro ONU</w:t>
      </w:r>
      <w:r w:rsidR="009E689B">
        <w:t> </w:t>
      </w:r>
      <w:r w:rsidRPr="004C61F8">
        <w:t>3170 (</w:t>
      </w:r>
      <w:r>
        <w:t>en vrac</w:t>
      </w:r>
      <w:r w:rsidRPr="004C61F8">
        <w:t xml:space="preserve">, </w:t>
      </w:r>
      <w:r>
        <w:t>conformément aux dispositions</w:t>
      </w:r>
      <w:r w:rsidRPr="004C61F8">
        <w:t xml:space="preserve"> VC1 </w:t>
      </w:r>
      <w:r>
        <w:t xml:space="preserve">et </w:t>
      </w:r>
      <w:r w:rsidRPr="004C61F8">
        <w:t xml:space="preserve">AP2 </w:t>
      </w:r>
      <w:r w:rsidR="008E781C">
        <w:t>–</w:t>
      </w:r>
      <w:r w:rsidRPr="004C61F8">
        <w:t xml:space="preserve"> </w:t>
      </w:r>
      <w:r>
        <w:t>dans le camion</w:t>
      </w:r>
      <w:r w:rsidRPr="004C61F8">
        <w:t xml:space="preserve">) </w:t>
      </w:r>
      <w:r>
        <w:t>et d’une marchandise non dangereuse</w:t>
      </w:r>
      <w:r w:rsidRPr="004C61F8">
        <w:t xml:space="preserve"> (</w:t>
      </w:r>
      <w:r>
        <w:t>par exemple du sable</w:t>
      </w:r>
      <w:r w:rsidRPr="004C61F8">
        <w:t xml:space="preserve"> </w:t>
      </w:r>
      <w:r w:rsidR="008E781C">
        <w:t>–</w:t>
      </w:r>
      <w:r w:rsidRPr="004C61F8">
        <w:t xml:space="preserve"> </w:t>
      </w:r>
      <w:r>
        <w:t>dans la remorque</w:t>
      </w:r>
      <w:r w:rsidRPr="004C61F8">
        <w:t>).</w:t>
      </w:r>
    </w:p>
    <w:p w:rsidR="007704EB" w:rsidRDefault="00ED7EF5" w:rsidP="0013215F">
      <w:pPr>
        <w:pStyle w:val="ParNoG"/>
      </w:pPr>
      <w:r>
        <w:t>La marque conforme au</w:t>
      </w:r>
      <w:r w:rsidRPr="004C61F8">
        <w:t xml:space="preserve"> </w:t>
      </w:r>
      <w:r w:rsidR="005F5FD7">
        <w:t>paragraphe </w:t>
      </w:r>
      <w:r w:rsidRPr="004C61F8">
        <w:t xml:space="preserve">5.3.2.1.4 </w:t>
      </w:r>
      <w:r>
        <w:t>est la suivante :</w:t>
      </w:r>
    </w:p>
    <w:p w:rsidR="0013215F" w:rsidRDefault="0013215F" w:rsidP="0013215F">
      <w:pPr>
        <w:pStyle w:val="ParNoG"/>
        <w:numPr>
          <w:ilvl w:val="0"/>
          <w:numId w:val="0"/>
        </w:numPr>
        <w:spacing w:after="240"/>
        <w:ind w:left="1701"/>
      </w:pPr>
      <w:r>
        <w:rPr>
          <w:noProof/>
          <w:lang w:val="fr-FR" w:eastAsia="fr-FR"/>
        </w:rPr>
        <w:drawing>
          <wp:inline distT="0" distB="0" distL="0" distR="0">
            <wp:extent cx="3658235" cy="7143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15F" w:rsidRDefault="0013215F" w:rsidP="0013215F">
      <w:pPr>
        <w:pStyle w:val="ParNoG"/>
        <w:numPr>
          <w:ilvl w:val="0"/>
          <w:numId w:val="0"/>
        </w:numPr>
        <w:ind w:left="2268"/>
      </w:pPr>
      <w:r>
        <w:rPr>
          <w:noProof/>
          <w:lang w:val="fr-FR" w:eastAsia="fr-FR"/>
        </w:rPr>
        <w:drawing>
          <wp:inline distT="0" distB="0" distL="0" distR="0">
            <wp:extent cx="2057400" cy="7143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15F" w:rsidRDefault="007B2EF9" w:rsidP="00A3506F">
      <w:pPr>
        <w:pStyle w:val="ParNoG"/>
        <w:spacing w:before="240"/>
      </w:pPr>
      <w:r>
        <w:t>L’autre possibilité</w:t>
      </w:r>
      <w:r w:rsidR="00C8300A">
        <w:t xml:space="preserve"> – </w:t>
      </w:r>
      <w:r>
        <w:t xml:space="preserve">qui n’est pas incompatible avec le </w:t>
      </w:r>
      <w:r w:rsidR="00D55173">
        <w:t>paragraphe </w:t>
      </w:r>
      <w:r w:rsidRPr="004C61F8">
        <w:t xml:space="preserve">5.3.2.1.4, </w:t>
      </w:r>
      <w:r>
        <w:t>puisque seul le</w:t>
      </w:r>
      <w:r w:rsidRPr="004C61F8">
        <w:t xml:space="preserve"> transport </w:t>
      </w:r>
      <w:r>
        <w:t>d’autres marchandises dangereuses est exclu</w:t>
      </w:r>
      <w:r w:rsidRPr="004C61F8">
        <w:t xml:space="preserve"> </w:t>
      </w:r>
      <w:r>
        <w:t>et que les panneaux de couleur orange doivent être apposés sur l’unité de</w:t>
      </w:r>
      <w:r w:rsidRPr="004C61F8">
        <w:t xml:space="preserve"> transport</w:t>
      </w:r>
      <w:r w:rsidR="00C8300A">
        <w:t xml:space="preserve"> – </w:t>
      </w:r>
      <w:r>
        <w:t>est la suivante</w:t>
      </w:r>
      <w:r w:rsidR="0013215F">
        <w:t> </w:t>
      </w:r>
    </w:p>
    <w:p w:rsidR="0013215F" w:rsidRDefault="0084546F" w:rsidP="0084546F">
      <w:pPr>
        <w:ind w:left="1701"/>
      </w:pPr>
      <w:r>
        <w:rPr>
          <w:noProof/>
          <w:lang w:val="fr-FR" w:eastAsia="fr-FR"/>
        </w:rPr>
        <w:drawing>
          <wp:inline distT="0" distB="0" distL="0" distR="0">
            <wp:extent cx="3657600" cy="71310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215F" w:rsidRDefault="0084546F" w:rsidP="00661B5E">
      <w:pPr>
        <w:pStyle w:val="ParNoG"/>
        <w:numPr>
          <w:ilvl w:val="0"/>
          <w:numId w:val="0"/>
        </w:numPr>
        <w:spacing w:before="240"/>
        <w:ind w:left="5103"/>
      </w:pPr>
      <w:r>
        <w:rPr>
          <w:noProof/>
          <w:lang w:val="fr-FR" w:eastAsia="fr-FR"/>
        </w:rPr>
        <w:drawing>
          <wp:inline distT="0" distB="0" distL="0" distR="0">
            <wp:extent cx="2060575" cy="71310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B3E" w:rsidRDefault="00314B3E" w:rsidP="00A3506F">
      <w:pPr>
        <w:pStyle w:val="ParNoG"/>
        <w:tabs>
          <w:tab w:val="clear" w:pos="1701"/>
        </w:tabs>
        <w:spacing w:before="240"/>
      </w:pPr>
      <w:r>
        <w:t>La deuxième possibilité n’est aucunement prévue</w:t>
      </w:r>
      <w:r w:rsidR="009120B2">
        <w:t xml:space="preserve"> </w:t>
      </w:r>
      <w:r w:rsidR="006F2AE7">
        <w:t>par le paragraphe </w:t>
      </w:r>
      <w:r w:rsidRPr="004C61F8">
        <w:t>5.3.2.1.4</w:t>
      </w:r>
      <w:r w:rsidR="00661B5E">
        <w:t>.</w:t>
      </w:r>
    </w:p>
    <w:p w:rsidR="00314B3E" w:rsidRPr="004C61F8" w:rsidRDefault="00C11107" w:rsidP="00C11107">
      <w:pPr>
        <w:pStyle w:val="H1G"/>
      </w:pPr>
      <w:r>
        <w:tab/>
      </w:r>
      <w:r>
        <w:tab/>
        <w:t>Paragraphe </w:t>
      </w:r>
      <w:r w:rsidR="00314B3E" w:rsidRPr="004C61F8">
        <w:t>5.3.2.1.6</w:t>
      </w:r>
    </w:p>
    <w:p w:rsidR="00314B3E" w:rsidRPr="004C61F8" w:rsidRDefault="00314B3E" w:rsidP="00765002">
      <w:pPr>
        <w:pStyle w:val="ParNoG"/>
      </w:pPr>
      <w:r>
        <w:t>Ce</w:t>
      </w:r>
      <w:r w:rsidRPr="004C61F8">
        <w:t xml:space="preserve"> paragraph</w:t>
      </w:r>
      <w:r>
        <w:t>e permet d’apposer un panneau de couleur orange simplifié</w:t>
      </w:r>
      <w:r w:rsidRPr="004C61F8">
        <w:t xml:space="preserve"> </w:t>
      </w:r>
      <w:r>
        <w:t xml:space="preserve">sur les unités de </w:t>
      </w:r>
      <w:r w:rsidRPr="004C61F8">
        <w:t xml:space="preserve">transport </w:t>
      </w:r>
      <w:r>
        <w:t xml:space="preserve">dans des </w:t>
      </w:r>
      <w:r w:rsidRPr="004C61F8">
        <w:t>circonstances</w:t>
      </w:r>
      <w:r>
        <w:t xml:space="preserve"> particulières</w:t>
      </w:r>
      <w:r w:rsidR="002B4D8C">
        <w:t> :</w:t>
      </w:r>
    </w:p>
    <w:p w:rsidR="00314B3E" w:rsidRPr="004C61F8" w:rsidRDefault="00314B3E" w:rsidP="00BF255E">
      <w:pPr>
        <w:pStyle w:val="SingleTxtG"/>
        <w:ind w:firstLine="567"/>
      </w:pPr>
      <w:r w:rsidRPr="004C61F8">
        <w:t>a)</w:t>
      </w:r>
      <w:r w:rsidRPr="004C61F8">
        <w:tab/>
      </w:r>
      <w:r>
        <w:t>Le marquage est prescrit pour</w:t>
      </w:r>
      <w:r w:rsidR="008974EB">
        <w:t> :</w:t>
      </w:r>
    </w:p>
    <w:p w:rsidR="00314B3E" w:rsidRPr="004C61F8" w:rsidRDefault="00314B3E" w:rsidP="00BF255E">
      <w:pPr>
        <w:pStyle w:val="SingleTxtG"/>
        <w:ind w:left="1701"/>
      </w:pPr>
      <w:r w:rsidRPr="004C61F8">
        <w:t>i)</w:t>
      </w:r>
      <w:r w:rsidRPr="004C61F8">
        <w:tab/>
      </w:r>
      <w:r w:rsidR="00952DD6">
        <w:t>L</w:t>
      </w:r>
      <w:r>
        <w:t>es véhicules</w:t>
      </w:r>
      <w:r w:rsidRPr="004C61F8">
        <w:t>-</w:t>
      </w:r>
      <w:r>
        <w:t>citernes</w:t>
      </w:r>
      <w:r w:rsidRPr="004C61F8">
        <w:t xml:space="preserve">, </w:t>
      </w:r>
      <w:r>
        <w:t xml:space="preserve">les </w:t>
      </w:r>
      <w:r w:rsidRPr="004C61F8">
        <w:t>véhicules</w:t>
      </w:r>
      <w:r>
        <w:t>-batteries</w:t>
      </w:r>
      <w:r w:rsidRPr="004C61F8">
        <w:t>…</w:t>
      </w:r>
      <w:r w:rsidR="001F1A8B">
        <w:t xml:space="preserve"> </w:t>
      </w:r>
      <w:r w:rsidRPr="004C61F8">
        <w:t>(5.3.2.1.2)</w:t>
      </w:r>
      <w:r w:rsidR="00A3093F">
        <w:t> ;</w:t>
      </w:r>
      <w:r>
        <w:t xml:space="preserve"> ou</w:t>
      </w:r>
    </w:p>
    <w:p w:rsidR="00314B3E" w:rsidRPr="004C61F8" w:rsidRDefault="00314B3E" w:rsidP="00BF255E">
      <w:pPr>
        <w:pStyle w:val="SingleTxtG"/>
        <w:ind w:left="1701"/>
      </w:pPr>
      <w:r w:rsidRPr="004C61F8">
        <w:t>ii)</w:t>
      </w:r>
      <w:r w:rsidRPr="004C61F8">
        <w:tab/>
      </w:r>
      <w:r w:rsidR="00952DD6">
        <w:t>L</w:t>
      </w:r>
      <w:r>
        <w:t>e</w:t>
      </w:r>
      <w:r w:rsidRPr="004C61F8">
        <w:t xml:space="preserve"> transport </w:t>
      </w:r>
      <w:r>
        <w:t>de</w:t>
      </w:r>
      <w:r w:rsidRPr="004C61F8">
        <w:t xml:space="preserve"> </w:t>
      </w:r>
      <w:r>
        <w:t xml:space="preserve">matières </w:t>
      </w:r>
      <w:r w:rsidRPr="004C61F8">
        <w:t>solid</w:t>
      </w:r>
      <w:r>
        <w:t>e</w:t>
      </w:r>
      <w:r w:rsidRPr="004C61F8">
        <w:t xml:space="preserve">s </w:t>
      </w:r>
      <w:r>
        <w:t>ou d’objets</w:t>
      </w:r>
      <w:r w:rsidRPr="004C61F8">
        <w:t xml:space="preserve"> </w:t>
      </w:r>
      <w:r>
        <w:t xml:space="preserve">non emballés </w:t>
      </w:r>
      <w:r w:rsidRPr="004C61F8">
        <w:t>(5.3.2.1.4)</w:t>
      </w:r>
      <w:r w:rsidR="00A3093F">
        <w:t> ;</w:t>
      </w:r>
      <w:r>
        <w:t xml:space="preserve"> ou</w:t>
      </w:r>
    </w:p>
    <w:p w:rsidR="00314B3E" w:rsidRPr="004C61F8" w:rsidRDefault="00314B3E" w:rsidP="00BF255E">
      <w:pPr>
        <w:pStyle w:val="SingleTxtG"/>
        <w:ind w:left="1701"/>
      </w:pPr>
      <w:r w:rsidRPr="004C61F8">
        <w:t>iii)</w:t>
      </w:r>
      <w:r w:rsidRPr="004C61F8">
        <w:tab/>
      </w:r>
      <w:r w:rsidR="00952DD6">
        <w:t>L</w:t>
      </w:r>
      <w:r>
        <w:t>e « doublement »</w:t>
      </w:r>
      <w:r w:rsidRPr="004C61F8">
        <w:t xml:space="preserve"> </w:t>
      </w:r>
      <w:r>
        <w:t>des panneaux oranges</w:t>
      </w:r>
      <w:r w:rsidRPr="004C61F8">
        <w:t xml:space="preserve">, </w:t>
      </w:r>
      <w:r>
        <w:t>si ceux qui sont fixés au conteneur, au conteneur-citerne</w:t>
      </w:r>
      <w:r w:rsidRPr="004C61F8">
        <w:t xml:space="preserve">, … </w:t>
      </w:r>
      <w:r>
        <w:t xml:space="preserve">ne sont pas </w:t>
      </w:r>
      <w:r w:rsidRPr="004C61F8">
        <w:t>visible</w:t>
      </w:r>
      <w:r>
        <w:t>s</w:t>
      </w:r>
      <w:r w:rsidRPr="004C61F8">
        <w:t xml:space="preserve"> (5.3.2.1.5)</w:t>
      </w:r>
      <w:r w:rsidR="00A3093F">
        <w:t> ;</w:t>
      </w:r>
      <w:r w:rsidRPr="004C61F8">
        <w:t xml:space="preserve"> </w:t>
      </w:r>
      <w:r>
        <w:t>et</w:t>
      </w:r>
    </w:p>
    <w:p w:rsidR="00314B3E" w:rsidRPr="004C61F8" w:rsidRDefault="00314B3E" w:rsidP="00BF255E">
      <w:pPr>
        <w:pStyle w:val="SingleTxtG"/>
        <w:keepNext/>
        <w:ind w:firstLine="567"/>
      </w:pPr>
      <w:r w:rsidRPr="004C61F8">
        <w:lastRenderedPageBreak/>
        <w:t>b)</w:t>
      </w:r>
      <w:r w:rsidRPr="004C61F8">
        <w:tab/>
      </w:r>
      <w:r>
        <w:t>Le chargement</w:t>
      </w:r>
    </w:p>
    <w:p w:rsidR="00314B3E" w:rsidRPr="004C61F8" w:rsidRDefault="00314B3E" w:rsidP="00BF255E">
      <w:pPr>
        <w:pStyle w:val="SingleTxtG"/>
        <w:ind w:left="1701"/>
      </w:pPr>
      <w:r w:rsidRPr="004C61F8">
        <w:t>i)</w:t>
      </w:r>
      <w:r w:rsidRPr="004C61F8">
        <w:tab/>
      </w:r>
      <w:r w:rsidR="00195C1C">
        <w:t>C</w:t>
      </w:r>
      <w:r>
        <w:t>omprend</w:t>
      </w:r>
      <w:r w:rsidR="009120B2">
        <w:t xml:space="preserve"> </w:t>
      </w:r>
      <w:r>
        <w:rPr>
          <w:u w:val="single"/>
        </w:rPr>
        <w:t>u</w:t>
      </w:r>
      <w:r w:rsidRPr="004C61F8">
        <w:rPr>
          <w:u w:val="single"/>
        </w:rPr>
        <w:t>ne</w:t>
      </w:r>
      <w:r w:rsidRPr="004C61F8">
        <w:t xml:space="preserve"> </w:t>
      </w:r>
      <w:r>
        <w:t>seule matière dangere</w:t>
      </w:r>
      <w:r w:rsidRPr="004C61F8">
        <w:t>us</w:t>
      </w:r>
      <w:r>
        <w:t>e</w:t>
      </w:r>
      <w:r w:rsidRPr="004C61F8">
        <w:t xml:space="preserve"> (</w:t>
      </w:r>
      <w:r>
        <w:t>ce qui implique un seul numéro ONU</w:t>
      </w:r>
      <w:r w:rsidRPr="004C61F8">
        <w:t>)</w:t>
      </w:r>
      <w:r w:rsidR="00A3093F">
        <w:t> ;</w:t>
      </w:r>
      <w:r w:rsidRPr="004C61F8">
        <w:t xml:space="preserve"> </w:t>
      </w:r>
      <w:r>
        <w:t>et</w:t>
      </w:r>
    </w:p>
    <w:p w:rsidR="00314B3E" w:rsidRPr="004C61F8" w:rsidRDefault="00314B3E" w:rsidP="00BF255E">
      <w:pPr>
        <w:pStyle w:val="SingleTxtG"/>
        <w:ind w:left="1701"/>
      </w:pPr>
      <w:r w:rsidRPr="004C61F8">
        <w:t>ii)</w:t>
      </w:r>
      <w:r w:rsidRPr="004C61F8">
        <w:tab/>
      </w:r>
      <w:r w:rsidR="00195C1C">
        <w:t>N</w:t>
      </w:r>
      <w:r>
        <w:t>e comprend pas d’autres marchandises</w:t>
      </w:r>
      <w:r w:rsidRPr="004C61F8">
        <w:t xml:space="preserve"> </w:t>
      </w:r>
      <w:r>
        <w:t>(dangere</w:t>
      </w:r>
      <w:r w:rsidRPr="004C61F8">
        <w:t>us</w:t>
      </w:r>
      <w:r>
        <w:t>es</w:t>
      </w:r>
      <w:r w:rsidRPr="004C61F8">
        <w:t xml:space="preserve"> </w:t>
      </w:r>
      <w:r>
        <w:t xml:space="preserve">ou </w:t>
      </w:r>
      <w:r w:rsidRPr="004C61F8">
        <w:t>non).</w:t>
      </w:r>
    </w:p>
    <w:p w:rsidR="00314B3E" w:rsidRPr="004C61F8" w:rsidRDefault="00314B3E" w:rsidP="00765002">
      <w:pPr>
        <w:pStyle w:val="ParNoG"/>
      </w:pPr>
      <w:r>
        <w:t xml:space="preserve">Dans les cas précités, on peut apposer des panneaux oranges </w:t>
      </w:r>
      <w:proofErr w:type="gramStart"/>
      <w:r w:rsidRPr="004C61F8">
        <w:t>(</w:t>
      </w:r>
      <w:r>
        <w:t xml:space="preserve"> portant</w:t>
      </w:r>
      <w:proofErr w:type="gramEnd"/>
      <w:r>
        <w:t xml:space="preserve"> le numéro d’</w:t>
      </w:r>
      <w:r w:rsidRPr="004C61F8">
        <w:t xml:space="preserve">identification </w:t>
      </w:r>
      <w:r>
        <w:t>du danger et le numéro ONU</w:t>
      </w:r>
      <w:r w:rsidRPr="004C61F8">
        <w:t xml:space="preserve">) </w:t>
      </w:r>
      <w:r>
        <w:t>à l’avant et à l’arrière de l’unité de transport</w:t>
      </w:r>
      <w:r w:rsidRPr="004C61F8">
        <w:t>.</w:t>
      </w:r>
    </w:p>
    <w:p w:rsidR="00314B3E" w:rsidRPr="004C61F8" w:rsidRDefault="00314B3E" w:rsidP="00765002">
      <w:pPr>
        <w:pStyle w:val="ParNoG"/>
        <w:tabs>
          <w:tab w:val="clear" w:pos="1701"/>
        </w:tabs>
      </w:pPr>
      <w:r>
        <w:t>Si l’on considère la</w:t>
      </w:r>
      <w:r w:rsidR="00A631C9">
        <w:t xml:space="preserve"> situation </w:t>
      </w:r>
      <w:r w:rsidRPr="004C61F8">
        <w:t>2b</w:t>
      </w:r>
      <w:r w:rsidR="009A774D">
        <w:t> :</w:t>
      </w:r>
    </w:p>
    <w:p w:rsidR="00314B3E" w:rsidRPr="004C61F8" w:rsidRDefault="00314B3E" w:rsidP="00765002">
      <w:pPr>
        <w:pStyle w:val="SingleTxtG"/>
      </w:pPr>
      <w:r>
        <w:t>Un véhicule-citerne</w:t>
      </w:r>
      <w:r w:rsidRPr="004C61F8">
        <w:t xml:space="preserve"> (</w:t>
      </w:r>
      <w:r>
        <w:t>citerne</w:t>
      </w:r>
      <w:r w:rsidRPr="004C61F8">
        <w:t xml:space="preserve"> </w:t>
      </w:r>
      <w:r>
        <w:t>dotée de trois</w:t>
      </w:r>
      <w:r w:rsidRPr="004C61F8">
        <w:t xml:space="preserve"> compart</w:t>
      </w:r>
      <w:r>
        <w:t>i</w:t>
      </w:r>
      <w:r w:rsidRPr="004C61F8">
        <w:t xml:space="preserve">ments, </w:t>
      </w:r>
      <w:r>
        <w:t>chargée d’une matière relevant du numéro ONU </w:t>
      </w:r>
      <w:r w:rsidRPr="004C61F8">
        <w:t xml:space="preserve">1203) </w:t>
      </w:r>
      <w:r>
        <w:t>transporte également des boîtes en plastique chargées de marchandises non dangere</w:t>
      </w:r>
      <w:r w:rsidRPr="004C61F8">
        <w:t>us</w:t>
      </w:r>
      <w:r>
        <w:t>es</w:t>
      </w:r>
      <w:r w:rsidRPr="004C61F8">
        <w:t xml:space="preserve">. </w:t>
      </w:r>
      <w:r>
        <w:t>Cette</w:t>
      </w:r>
      <w:r w:rsidRPr="004C61F8">
        <w:t xml:space="preserve"> situation</w:t>
      </w:r>
      <w:r>
        <w:t xml:space="preserve"> ne permet pas</w:t>
      </w:r>
      <w:r w:rsidR="009120B2">
        <w:t xml:space="preserve"> </w:t>
      </w:r>
      <w:r>
        <w:t xml:space="preserve">d’appliquer le </w:t>
      </w:r>
      <w:r w:rsidR="003742E1">
        <w:t>paragraphe</w:t>
      </w:r>
      <w:r w:rsidR="004E021E">
        <w:t> </w:t>
      </w:r>
      <w:r w:rsidRPr="004C61F8">
        <w:t>5.3.2.1.6.</w:t>
      </w:r>
    </w:p>
    <w:p w:rsidR="00314B3E" w:rsidRPr="004C61F8" w:rsidRDefault="00314B3E" w:rsidP="00765002">
      <w:pPr>
        <w:pStyle w:val="SingleTxtG"/>
      </w:pPr>
      <w:r>
        <w:t>L’idée s</w:t>
      </w:r>
      <w:r w:rsidR="00587AFA">
        <w:t>ur laquelle repose la situation</w:t>
      </w:r>
      <w:r w:rsidR="00601F9D">
        <w:t> </w:t>
      </w:r>
      <w:r w:rsidRPr="004C61F8">
        <w:t xml:space="preserve">2b </w:t>
      </w:r>
      <w:r>
        <w:t>est que les chargements des compartiments de la citerne ne doivent pas être mélangés. Ainsi, par exemple, si le chargement se compose de marchandise dangereuse/marchandise non dangereuse/marchandise dangereuse</w:t>
      </w:r>
      <w:r w:rsidR="00D47BFD">
        <w:t xml:space="preserve"> </w:t>
      </w:r>
      <w:r>
        <w:t>…</w:t>
      </w:r>
      <w:r w:rsidRPr="004C61F8">
        <w:t xml:space="preserve"> </w:t>
      </w:r>
      <w:r>
        <w:t>alors les compartiments doivent être marqués correctement</w:t>
      </w:r>
      <w:r w:rsidRPr="004C61F8">
        <w:t xml:space="preserve">. </w:t>
      </w:r>
      <w:r>
        <w:t xml:space="preserve">Le marquage simplifié au moyen de l’apposition à l’avant et à l’arrière de panneaux </w:t>
      </w:r>
      <w:proofErr w:type="gramStart"/>
      <w:r>
        <w:t>oranges</w:t>
      </w:r>
      <w:proofErr w:type="gramEnd"/>
      <w:r w:rsidRPr="004C61F8">
        <w:t xml:space="preserve"> </w:t>
      </w:r>
      <w:r>
        <w:t>sur lesquels sont indiqués les numéros pertinents</w:t>
      </w:r>
      <w:r w:rsidRPr="004C61F8">
        <w:t xml:space="preserve"> </w:t>
      </w:r>
      <w:r>
        <w:t>n’est pas admis</w:t>
      </w:r>
      <w:r w:rsidRPr="004C61F8">
        <w:t>.</w:t>
      </w:r>
    </w:p>
    <w:p w:rsidR="00314B3E" w:rsidRPr="004C61F8" w:rsidRDefault="00314B3E" w:rsidP="00765002">
      <w:pPr>
        <w:pStyle w:val="ParNoG"/>
      </w:pPr>
      <w:r>
        <w:t>Si l’on considère la</w:t>
      </w:r>
      <w:r w:rsidRPr="004C61F8">
        <w:t xml:space="preserve"> </w:t>
      </w:r>
      <w:r w:rsidR="00E52F28">
        <w:t>situation </w:t>
      </w:r>
      <w:r w:rsidRPr="004C61F8">
        <w:t>2a</w:t>
      </w:r>
      <w:r w:rsidR="009A774D">
        <w:t> :</w:t>
      </w:r>
    </w:p>
    <w:p w:rsidR="00314B3E" w:rsidRPr="004C61F8" w:rsidRDefault="00314B3E" w:rsidP="00765002">
      <w:pPr>
        <w:pStyle w:val="SingleTxtG"/>
      </w:pPr>
      <w:r>
        <w:t>Un</w:t>
      </w:r>
      <w:r w:rsidRPr="004C61F8">
        <w:t xml:space="preserve"> </w:t>
      </w:r>
      <w:r>
        <w:t>véhicule-citerne</w:t>
      </w:r>
      <w:r w:rsidRPr="004C61F8">
        <w:t xml:space="preserve"> (</w:t>
      </w:r>
      <w:r>
        <w:t>citerne dotée d’un</w:t>
      </w:r>
      <w:r w:rsidRPr="004C61F8">
        <w:t xml:space="preserve"> compart</w:t>
      </w:r>
      <w:r>
        <w:t>i</w:t>
      </w:r>
      <w:r w:rsidRPr="004C61F8">
        <w:t xml:space="preserve">ment, </w:t>
      </w:r>
      <w:r>
        <w:t>chargée d’une matière relevant du numéro ONU</w:t>
      </w:r>
      <w:r w:rsidRPr="004C61F8">
        <w:t xml:space="preserve"> 1202) </w:t>
      </w:r>
      <w:r>
        <w:t xml:space="preserve">transporte également des boîtes ou des jerricans contenant des marchandises dangereuses </w:t>
      </w:r>
      <w:r w:rsidRPr="004C61F8">
        <w:t>(</w:t>
      </w:r>
      <w:r>
        <w:t>par exemple des additifs</w:t>
      </w:r>
      <w:r w:rsidRPr="004C61F8">
        <w:t xml:space="preserve">) </w:t>
      </w:r>
      <w:r>
        <w:t>conformément au</w:t>
      </w:r>
      <w:r w:rsidR="00407BCE">
        <w:t xml:space="preserve"> chapitre </w:t>
      </w:r>
      <w:r w:rsidRPr="004C61F8">
        <w:t xml:space="preserve">3.4 </w:t>
      </w:r>
      <w:r>
        <w:t>de l’</w:t>
      </w:r>
      <w:r w:rsidRPr="004C61F8">
        <w:t>ADR.</w:t>
      </w:r>
    </w:p>
    <w:p w:rsidR="00314B3E" w:rsidRPr="004C61F8" w:rsidRDefault="00314B3E" w:rsidP="00765002">
      <w:pPr>
        <w:pStyle w:val="SingleTxtG"/>
      </w:pPr>
      <w:r>
        <w:t>Cette cargaison n’a aucune</w:t>
      </w:r>
      <w:r w:rsidRPr="004C61F8">
        <w:t xml:space="preserve"> </w:t>
      </w:r>
      <w:r>
        <w:t>incidence</w:t>
      </w:r>
      <w:r w:rsidRPr="004C61F8">
        <w:t xml:space="preserve"> </w:t>
      </w:r>
      <w:r>
        <w:t>sur la nécessité d’apposer des panneaux orange, mais</w:t>
      </w:r>
      <w:r w:rsidR="009120B2">
        <w:t xml:space="preserve"> </w:t>
      </w:r>
      <w:r>
        <w:t>interdit d’appliquer le</w:t>
      </w:r>
      <w:r w:rsidRPr="004C61F8">
        <w:t xml:space="preserve"> </w:t>
      </w:r>
      <w:r w:rsidR="005D6A51">
        <w:t>paragraphe </w:t>
      </w:r>
      <w:r w:rsidRPr="004C61F8">
        <w:t>5.3.2.1.6.</w:t>
      </w:r>
    </w:p>
    <w:p w:rsidR="00314B3E" w:rsidRPr="004C61F8" w:rsidRDefault="00314B3E" w:rsidP="00765002">
      <w:pPr>
        <w:pStyle w:val="HChG"/>
        <w:rPr>
          <w:snapToGrid w:val="0"/>
        </w:rPr>
      </w:pPr>
      <w:r w:rsidRPr="004C61F8">
        <w:tab/>
      </w:r>
      <w:r w:rsidRPr="004C61F8">
        <w:rPr>
          <w:snapToGrid w:val="0"/>
        </w:rPr>
        <w:tab/>
      </w:r>
      <w:r>
        <w:rPr>
          <w:snapToGrid w:val="0"/>
        </w:rPr>
        <w:t>Proposition</w:t>
      </w:r>
    </w:p>
    <w:p w:rsidR="00314B3E" w:rsidRPr="004C61F8" w:rsidRDefault="00314B3E" w:rsidP="00B96A47">
      <w:pPr>
        <w:pStyle w:val="H1G"/>
      </w:pPr>
      <w:r w:rsidRPr="004C61F8">
        <w:tab/>
      </w:r>
      <w:r w:rsidRPr="004C61F8">
        <w:tab/>
        <w:t>5.3.2.1.4</w:t>
      </w:r>
    </w:p>
    <w:p w:rsidR="00314B3E" w:rsidRPr="004C61F8" w:rsidRDefault="00314B3E" w:rsidP="00463736">
      <w:pPr>
        <w:pStyle w:val="ParNoG"/>
      </w:pPr>
      <w:r w:rsidRPr="004C61F8">
        <w:t>Re</w:t>
      </w:r>
      <w:r>
        <w:t>m</w:t>
      </w:r>
      <w:r w:rsidRPr="004C61F8">
        <w:t>place</w:t>
      </w:r>
      <w:r>
        <w:t>r</w:t>
      </w:r>
      <w:r w:rsidRPr="004C61F8">
        <w:t xml:space="preserve"> </w:t>
      </w:r>
      <w:r>
        <w:t xml:space="preserve">« unités de </w:t>
      </w:r>
      <w:r w:rsidRPr="004C61F8">
        <w:t>transport</w:t>
      </w:r>
      <w:r>
        <w:t> »</w:t>
      </w:r>
      <w:r w:rsidRPr="004C61F8">
        <w:t xml:space="preserve"> </w:t>
      </w:r>
      <w:r>
        <w:t>par « véhicules »,</w:t>
      </w:r>
      <w:r w:rsidR="009120B2">
        <w:t xml:space="preserve"> </w:t>
      </w:r>
      <w:r>
        <w:t>comme suit</w:t>
      </w:r>
      <w:r w:rsidR="00463736">
        <w:t> :</w:t>
      </w:r>
    </w:p>
    <w:p w:rsidR="00314B3E" w:rsidRPr="004C61F8" w:rsidRDefault="001C5EC7" w:rsidP="001C5EC7">
      <w:pPr>
        <w:pStyle w:val="SingleTxtG"/>
        <w:ind w:left="1701" w:hanging="567"/>
      </w:pPr>
      <w:r>
        <w:tab/>
      </w:r>
      <w:r w:rsidR="00314B3E">
        <w:t>« Si</w:t>
      </w:r>
      <w:r w:rsidR="009120B2">
        <w:t xml:space="preserve"> </w:t>
      </w:r>
      <w:r w:rsidR="00314B3E">
        <w:t>un numéro d’</w:t>
      </w:r>
      <w:r w:rsidR="00314B3E" w:rsidRPr="004C61F8">
        <w:t xml:space="preserve">identification </w:t>
      </w:r>
      <w:r w:rsidR="00314B3E">
        <w:t>du danger est indiqué dans la colonne</w:t>
      </w:r>
      <w:r w:rsidR="00314B3E" w:rsidRPr="004C61F8">
        <w:t xml:space="preserve"> (20) </w:t>
      </w:r>
      <w:r w:rsidR="00314B3E">
        <w:t>du tableau </w:t>
      </w:r>
      <w:r w:rsidR="00314B3E" w:rsidRPr="004C61F8">
        <w:t xml:space="preserve">A </w:t>
      </w:r>
      <w:r w:rsidR="00314B3E">
        <w:t>du chapitre</w:t>
      </w:r>
      <w:r w:rsidR="005B6A96">
        <w:t> </w:t>
      </w:r>
      <w:r w:rsidR="00314B3E" w:rsidRPr="004C61F8">
        <w:t>3.2,</w:t>
      </w:r>
      <w:r w:rsidR="00314B3E">
        <w:t xml:space="preserve"> les</w:t>
      </w:r>
      <w:r w:rsidR="00314B3E" w:rsidRPr="004C61F8">
        <w:t xml:space="preserve"> </w:t>
      </w:r>
      <w:r w:rsidR="00314B3E">
        <w:rPr>
          <w:strike/>
        </w:rPr>
        <w:t>unités de t</w:t>
      </w:r>
      <w:r w:rsidR="00314B3E" w:rsidRPr="004C61F8">
        <w:rPr>
          <w:strike/>
        </w:rPr>
        <w:t xml:space="preserve">ransport </w:t>
      </w:r>
      <w:r w:rsidR="00314B3E">
        <w:rPr>
          <w:b/>
        </w:rPr>
        <w:t>vé</w:t>
      </w:r>
      <w:r w:rsidR="00314B3E" w:rsidRPr="004C61F8">
        <w:rPr>
          <w:b/>
        </w:rPr>
        <w:t>hic</w:t>
      </w:r>
      <w:r w:rsidR="00314B3E">
        <w:rPr>
          <w:b/>
        </w:rPr>
        <w:t>u</w:t>
      </w:r>
      <w:r w:rsidR="00314B3E" w:rsidRPr="004C61F8">
        <w:rPr>
          <w:b/>
        </w:rPr>
        <w:t>les</w:t>
      </w:r>
      <w:r w:rsidR="00314B3E" w:rsidRPr="004C61F8">
        <w:rPr>
          <w:color w:val="FF0000"/>
        </w:rPr>
        <w:t xml:space="preserve"> </w:t>
      </w:r>
      <w:r w:rsidR="00314B3E">
        <w:t>et les conteneurs</w:t>
      </w:r>
      <w:r w:rsidR="00314B3E" w:rsidRPr="004C61F8">
        <w:t xml:space="preserve"> </w:t>
      </w:r>
      <w:r>
        <w:t>transportant…</w:t>
      </w:r>
      <w:r w:rsidR="00314B3E">
        <w:t> ».</w:t>
      </w:r>
    </w:p>
    <w:p w:rsidR="00314B3E" w:rsidRPr="004C61F8" w:rsidRDefault="00314B3E" w:rsidP="00B96A47">
      <w:pPr>
        <w:pStyle w:val="H1G"/>
      </w:pPr>
      <w:r w:rsidRPr="004C61F8">
        <w:tab/>
      </w:r>
      <w:r w:rsidRPr="004C61F8">
        <w:tab/>
        <w:t>5.3.2.1.6</w:t>
      </w:r>
    </w:p>
    <w:p w:rsidR="00314B3E" w:rsidRPr="004C61F8" w:rsidRDefault="00337293" w:rsidP="00337293">
      <w:pPr>
        <w:pStyle w:val="ParNoG"/>
      </w:pPr>
      <w:r>
        <w:t> </w:t>
      </w:r>
      <w:r w:rsidR="00314B3E">
        <w:t xml:space="preserve">Une </w:t>
      </w:r>
      <w:r w:rsidR="00314B3E" w:rsidRPr="004C61F8">
        <w:t xml:space="preserve">description </w:t>
      </w:r>
      <w:r w:rsidR="00314B3E">
        <w:t>précise des « matières dangereuses » et l’interdiction du</w:t>
      </w:r>
      <w:r w:rsidR="00314B3E" w:rsidRPr="004C61F8">
        <w:t xml:space="preserve"> transport </w:t>
      </w:r>
      <w:r w:rsidR="00314B3E">
        <w:t>exclusif de matières non dangereuses en citerne ou en vrac</w:t>
      </w:r>
      <w:r w:rsidR="00E64703">
        <w:t> :</w:t>
      </w:r>
    </w:p>
    <w:p w:rsidR="00314B3E" w:rsidRPr="004C61F8" w:rsidRDefault="00314B3E" w:rsidP="00E64703">
      <w:pPr>
        <w:pStyle w:val="SingleTxtG"/>
      </w:pPr>
      <w:r>
        <w:t>Modifier le</w:t>
      </w:r>
      <w:r w:rsidRPr="004C61F8">
        <w:t xml:space="preserve"> </w:t>
      </w:r>
      <w:r w:rsidR="00407BCE">
        <w:t>paragraphe </w:t>
      </w:r>
      <w:r w:rsidRPr="004C61F8">
        <w:t xml:space="preserve">5.3.2.1.6 </w:t>
      </w:r>
      <w:r>
        <w:t>comme suit</w:t>
      </w:r>
      <w:r w:rsidR="00E64703">
        <w:t> :</w:t>
      </w:r>
    </w:p>
    <w:p w:rsidR="00314B3E" w:rsidRDefault="00314B3E" w:rsidP="00287DA9">
      <w:pPr>
        <w:pStyle w:val="Bullet1G"/>
        <w:numPr>
          <w:ilvl w:val="0"/>
          <w:numId w:val="0"/>
        </w:numPr>
        <w:ind w:left="1701"/>
        <w:rPr>
          <w:color w:val="000000" w:themeColor="text1"/>
        </w:rPr>
      </w:pPr>
      <w:r>
        <w:t>« Pour les unités de</w:t>
      </w:r>
      <w:r w:rsidRPr="004C61F8">
        <w:t xml:space="preserve"> transport</w:t>
      </w:r>
      <w:r>
        <w:t xml:space="preserve"> qui ne transportent</w:t>
      </w:r>
      <w:r w:rsidR="00407BCE">
        <w:t xml:space="preserve"> </w:t>
      </w:r>
      <w:r>
        <w:t>qu’une seule matière dangereuse</w:t>
      </w:r>
      <w:r w:rsidRPr="004C61F8">
        <w:t>,</w:t>
      </w:r>
      <w:r w:rsidR="009120B2">
        <w:t xml:space="preserve"> </w:t>
      </w:r>
      <w:r>
        <w:t>nécessitant l’apposition de panneaux orange</w:t>
      </w:r>
      <w:r w:rsidRPr="004C61F8">
        <w:t>,</w:t>
      </w:r>
      <w:r w:rsidRPr="004C61F8">
        <w:rPr>
          <w:color w:val="FF0000"/>
        </w:rPr>
        <w:t xml:space="preserve"> </w:t>
      </w:r>
      <w:r>
        <w:t>et</w:t>
      </w:r>
      <w:r w:rsidR="00407BCE">
        <w:t xml:space="preserve"> </w:t>
      </w:r>
      <w:r>
        <w:t>aucune matière</w:t>
      </w:r>
      <w:r w:rsidRPr="004C61F8">
        <w:t xml:space="preserve"> non</w:t>
      </w:r>
      <w:r>
        <w:t xml:space="preserve"> dangere</w:t>
      </w:r>
      <w:r w:rsidRPr="004C61F8">
        <w:t>us</w:t>
      </w:r>
      <w:r>
        <w:t>e</w:t>
      </w:r>
      <w:r w:rsidRPr="004C61F8">
        <w:t xml:space="preserve"> </w:t>
      </w:r>
      <w:r>
        <w:t>dans des citernes fixes, des citernes portables, des citernes démo</w:t>
      </w:r>
      <w:r w:rsidRPr="004C61F8">
        <w:t>ntable</w:t>
      </w:r>
      <w:r>
        <w:t>s</w:t>
      </w:r>
      <w:r w:rsidRPr="004C61F8">
        <w:t xml:space="preserve">, </w:t>
      </w:r>
      <w:r>
        <w:t>des conteneurs-citernes</w:t>
      </w:r>
      <w:r w:rsidRPr="004C61F8">
        <w:t xml:space="preserve">, </w:t>
      </w:r>
      <w:r>
        <w:t>des CGEM, ou en vrac</w:t>
      </w:r>
      <w:r w:rsidRPr="004C61F8">
        <w:rPr>
          <w:color w:val="000000" w:themeColor="text1"/>
        </w:rPr>
        <w:t>,</w:t>
      </w:r>
      <w:r w:rsidR="00407BCE">
        <w:rPr>
          <w:color w:val="000000" w:themeColor="text1"/>
        </w:rPr>
        <w:t xml:space="preserve"> </w:t>
      </w:r>
      <w:r>
        <w:rPr>
          <w:color w:val="000000" w:themeColor="text1"/>
        </w:rPr>
        <w:t>les panneaux orange</w:t>
      </w:r>
      <w:r w:rsidRPr="004C61F8">
        <w:rPr>
          <w:color w:val="000000" w:themeColor="text1"/>
        </w:rPr>
        <w:t xml:space="preserve"> </w:t>
      </w:r>
      <w:r>
        <w:rPr>
          <w:color w:val="000000" w:themeColor="text1"/>
        </w:rPr>
        <w:t>prescrits aux</w:t>
      </w:r>
      <w:r w:rsidRPr="004C61F8">
        <w:rPr>
          <w:color w:val="000000" w:themeColor="text1"/>
        </w:rPr>
        <w:t xml:space="preserve"> </w:t>
      </w:r>
      <w:r w:rsidR="00407BCE">
        <w:rPr>
          <w:color w:val="000000" w:themeColor="text1"/>
        </w:rPr>
        <w:t>paragraphes </w:t>
      </w:r>
      <w:r w:rsidRPr="004C61F8">
        <w:rPr>
          <w:color w:val="000000" w:themeColor="text1"/>
        </w:rPr>
        <w:t>5.3.2.1.2, …</w:t>
      </w:r>
      <w:r>
        <w:rPr>
          <w:color w:val="000000" w:themeColor="text1"/>
        </w:rPr>
        <w:t> »</w:t>
      </w:r>
      <w:r w:rsidRPr="004C61F8">
        <w:rPr>
          <w:color w:val="000000" w:themeColor="text1"/>
        </w:rPr>
        <w:t>.</w:t>
      </w:r>
    </w:p>
    <w:p w:rsidR="005E0135" w:rsidRPr="004C61F8" w:rsidRDefault="007B1A87" w:rsidP="009A774D">
      <w:pPr>
        <w:pStyle w:val="HChG"/>
        <w:rPr>
          <w:snapToGrid w:val="0"/>
        </w:rPr>
      </w:pPr>
      <w:r>
        <w:br w:type="page"/>
      </w:r>
      <w:r w:rsidR="009A774D">
        <w:lastRenderedPageBreak/>
        <w:tab/>
      </w:r>
      <w:r w:rsidR="009A774D">
        <w:tab/>
      </w:r>
      <w:r w:rsidR="005E0135" w:rsidRPr="00B96A47">
        <w:t>Justification</w:t>
      </w:r>
    </w:p>
    <w:p w:rsidR="005E0135" w:rsidRPr="004C61F8" w:rsidRDefault="005E0135" w:rsidP="0091761A">
      <w:pPr>
        <w:pStyle w:val="SingleTxtG"/>
        <w:ind w:left="3402" w:hanging="2268"/>
      </w:pPr>
      <w:r>
        <w:t>Sécurité</w:t>
      </w:r>
      <w:r w:rsidRPr="004C61F8">
        <w:tab/>
      </w:r>
      <w:r w:rsidRPr="004C61F8">
        <w:tab/>
      </w:r>
      <w:r>
        <w:t xml:space="preserve">Les propositions ci-dessus n’ont aucune incidence sur le niveau de sécurité des </w:t>
      </w:r>
      <w:r w:rsidR="006C2C7C">
        <w:t>paragraphes </w:t>
      </w:r>
      <w:r>
        <w:t>5.3.2.1.4 et</w:t>
      </w:r>
      <w:r w:rsidRPr="004C61F8">
        <w:t xml:space="preserve"> 5.3.2.1.6.</w:t>
      </w:r>
    </w:p>
    <w:p w:rsidR="0091761A" w:rsidRDefault="005E0135" w:rsidP="0091761A">
      <w:pPr>
        <w:pStyle w:val="SingleTxtG"/>
        <w:ind w:left="3402" w:hanging="2268"/>
      </w:pPr>
      <w:r>
        <w:t>Faisabilité</w:t>
      </w:r>
      <w:r w:rsidRPr="004C61F8">
        <w:tab/>
      </w:r>
      <w:r w:rsidRPr="004C61F8">
        <w:tab/>
      </w:r>
      <w:r>
        <w:t>Elles apportent des précisions concernant la teneur des</w:t>
      </w:r>
      <w:r w:rsidRPr="004C61F8">
        <w:t xml:space="preserve"> </w:t>
      </w:r>
      <w:r w:rsidR="004E745D">
        <w:t>paragraphes </w:t>
      </w:r>
      <w:r>
        <w:t>5.3.2.1.4 et</w:t>
      </w:r>
      <w:r w:rsidRPr="004C61F8">
        <w:t xml:space="preserve"> 5.3.2.1.6 </w:t>
      </w:r>
      <w:r w:rsidR="00BF2CB7">
        <w:t>sans toutefois en modifier le</w:t>
      </w:r>
      <w:bookmarkStart w:id="0" w:name="_GoBack"/>
      <w:bookmarkEnd w:id="0"/>
      <w:r w:rsidR="00BC6072">
        <w:t> </w:t>
      </w:r>
      <w:r>
        <w:t>contenu</w:t>
      </w:r>
      <w:r w:rsidRPr="004C61F8">
        <w:t>.</w:t>
      </w:r>
    </w:p>
    <w:p w:rsidR="005E0135" w:rsidRDefault="005E0135" w:rsidP="0091761A">
      <w:pPr>
        <w:pStyle w:val="SingleTxtG"/>
        <w:ind w:left="3402" w:hanging="2268"/>
      </w:pPr>
      <w:r>
        <w:rPr>
          <w:lang w:eastAsia="en-GB"/>
        </w:rPr>
        <w:t>Applicabilité</w:t>
      </w:r>
      <w:r w:rsidR="0091761A">
        <w:rPr>
          <w:lang w:eastAsia="en-GB"/>
        </w:rPr>
        <w:tab/>
      </w:r>
      <w:r w:rsidR="0091761A">
        <w:rPr>
          <w:lang w:eastAsia="en-GB"/>
        </w:rPr>
        <w:tab/>
      </w:r>
      <w:r>
        <w:rPr>
          <w:lang w:eastAsia="en-GB"/>
        </w:rPr>
        <w:t>Les propositions ci-dessus permettent d’expliciter l’objet de ces deux paragraphes (en particulier pour les utilisateurs</w:t>
      </w:r>
      <w:r w:rsidRPr="004C61F8">
        <w:rPr>
          <w:lang w:eastAsia="en-GB"/>
        </w:rPr>
        <w:t>).</w:t>
      </w:r>
    </w:p>
    <w:p w:rsidR="005E0135" w:rsidRPr="005E0135" w:rsidRDefault="005E0135" w:rsidP="005E013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E0135" w:rsidRPr="005E0135" w:rsidSect="00A842E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68" w:rsidRDefault="00D07568" w:rsidP="00F95C08">
      <w:pPr>
        <w:spacing w:line="240" w:lineRule="auto"/>
      </w:pPr>
    </w:p>
  </w:endnote>
  <w:endnote w:type="continuationSeparator" w:id="0">
    <w:p w:rsidR="00D07568" w:rsidRPr="00AC3823" w:rsidRDefault="00D07568" w:rsidP="00AC3823">
      <w:pPr>
        <w:pStyle w:val="Pieddepage"/>
      </w:pPr>
    </w:p>
  </w:endnote>
  <w:endnote w:type="continuationNotice" w:id="1">
    <w:p w:rsidR="00D07568" w:rsidRDefault="00D07568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EB" w:rsidRPr="00A842EB" w:rsidRDefault="00BA5534" w:rsidP="00A842EB">
    <w:pPr>
      <w:pStyle w:val="Pieddepage"/>
      <w:tabs>
        <w:tab w:val="right" w:pos="9638"/>
      </w:tabs>
    </w:pPr>
    <w:r w:rsidRPr="00A842EB">
      <w:rPr>
        <w:b/>
        <w:sz w:val="18"/>
      </w:rPr>
      <w:fldChar w:fldCharType="begin"/>
    </w:r>
    <w:r w:rsidR="00A842EB" w:rsidRPr="00A842EB">
      <w:rPr>
        <w:b/>
        <w:sz w:val="18"/>
      </w:rPr>
      <w:instrText xml:space="preserve"> PAGE  \* MERGEFORMAT </w:instrText>
    </w:r>
    <w:r w:rsidRPr="00A842EB">
      <w:rPr>
        <w:b/>
        <w:sz w:val="18"/>
      </w:rPr>
      <w:fldChar w:fldCharType="separate"/>
    </w:r>
    <w:r w:rsidR="00CF593A">
      <w:rPr>
        <w:b/>
        <w:noProof/>
        <w:sz w:val="18"/>
      </w:rPr>
      <w:t>4</w:t>
    </w:r>
    <w:r w:rsidRPr="00A842EB">
      <w:rPr>
        <w:b/>
        <w:sz w:val="18"/>
      </w:rPr>
      <w:fldChar w:fldCharType="end"/>
    </w:r>
    <w:r w:rsidR="00A842EB">
      <w:rPr>
        <w:b/>
        <w:sz w:val="18"/>
      </w:rPr>
      <w:tab/>
    </w:r>
    <w:r w:rsidR="00A842EB">
      <w:t>GE.17-02882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EB" w:rsidRPr="00A842EB" w:rsidRDefault="00A842EB" w:rsidP="00A842EB">
    <w:pPr>
      <w:pStyle w:val="Pieddepage"/>
      <w:tabs>
        <w:tab w:val="right" w:pos="9638"/>
      </w:tabs>
      <w:rPr>
        <w:b/>
        <w:sz w:val="18"/>
      </w:rPr>
    </w:pPr>
    <w:r>
      <w:t>GE.17-02882</w:t>
    </w:r>
    <w:r>
      <w:tab/>
    </w:r>
    <w:r w:rsidR="00BA5534" w:rsidRPr="00A842EB">
      <w:rPr>
        <w:b/>
        <w:sz w:val="18"/>
      </w:rPr>
      <w:fldChar w:fldCharType="begin"/>
    </w:r>
    <w:r w:rsidRPr="00A842EB">
      <w:rPr>
        <w:b/>
        <w:sz w:val="18"/>
      </w:rPr>
      <w:instrText xml:space="preserve"> PAGE  \* MERGEFORMAT </w:instrText>
    </w:r>
    <w:r w:rsidR="00BA5534" w:rsidRPr="00A842EB">
      <w:rPr>
        <w:b/>
        <w:sz w:val="18"/>
      </w:rPr>
      <w:fldChar w:fldCharType="separate"/>
    </w:r>
    <w:r w:rsidR="00CF593A">
      <w:rPr>
        <w:b/>
        <w:noProof/>
        <w:sz w:val="18"/>
      </w:rPr>
      <w:t>3</w:t>
    </w:r>
    <w:r w:rsidR="00BA5534" w:rsidRPr="00A842EB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FA" w:rsidRPr="00A842EB" w:rsidRDefault="00A842EB" w:rsidP="00A842E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>17-02882  (F)</w:t>
    </w:r>
    <w:r w:rsidR="00A3093F">
      <w:rPr>
        <w:sz w:val="20"/>
      </w:rPr>
      <w:t xml:space="preserve">    030317    080317</w:t>
    </w:r>
    <w:r>
      <w:rPr>
        <w:sz w:val="20"/>
      </w:rPr>
      <w:br/>
    </w:r>
    <w:r w:rsidRPr="00A842EB">
      <w:rPr>
        <w:rFonts w:ascii="C39T30Lfz" w:hAnsi="C39T30Lfz"/>
        <w:sz w:val="56"/>
      </w:rPr>
      <w:t></w:t>
    </w:r>
    <w:r w:rsidRPr="00A842EB">
      <w:rPr>
        <w:rFonts w:ascii="C39T30Lfz" w:hAnsi="C39T30Lfz"/>
        <w:sz w:val="56"/>
      </w:rPr>
      <w:t></w:t>
    </w:r>
    <w:r w:rsidRPr="00A842EB">
      <w:rPr>
        <w:rFonts w:ascii="C39T30Lfz" w:hAnsi="C39T30Lfz"/>
        <w:sz w:val="56"/>
      </w:rPr>
      <w:t></w:t>
    </w:r>
    <w:r w:rsidRPr="00A842EB">
      <w:rPr>
        <w:rFonts w:ascii="C39T30Lfz" w:hAnsi="C39T30Lfz"/>
        <w:sz w:val="56"/>
      </w:rPr>
      <w:t></w:t>
    </w:r>
    <w:r w:rsidRPr="00A842EB">
      <w:rPr>
        <w:rFonts w:ascii="C39T30Lfz" w:hAnsi="C39T30Lfz"/>
        <w:sz w:val="56"/>
      </w:rPr>
      <w:t></w:t>
    </w:r>
    <w:r w:rsidRPr="00A842EB">
      <w:rPr>
        <w:rFonts w:ascii="C39T30Lfz" w:hAnsi="C39T30Lfz"/>
        <w:sz w:val="56"/>
      </w:rPr>
      <w:t></w:t>
    </w:r>
    <w:r w:rsidRPr="00A842EB">
      <w:rPr>
        <w:rFonts w:ascii="C39T30Lfz" w:hAnsi="C39T30Lfz"/>
        <w:sz w:val="56"/>
      </w:rPr>
      <w:t></w:t>
    </w:r>
    <w:r w:rsidRPr="00A842EB">
      <w:rPr>
        <w:rFonts w:ascii="C39T30Lfz" w:hAnsi="C39T30Lfz"/>
        <w:sz w:val="56"/>
      </w:rPr>
      <w:t></w:t>
    </w:r>
    <w:r w:rsidRPr="00A842EB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://undocs.org/m2/QRCode.ashx?DS=ECE/TRANS/WP.15/2017/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2017/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68" w:rsidRPr="00AC3823" w:rsidRDefault="00D0756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07568" w:rsidRPr="00AC3823" w:rsidRDefault="00D0756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07568" w:rsidRPr="00AC3823" w:rsidRDefault="00D07568">
      <w:pPr>
        <w:spacing w:line="240" w:lineRule="auto"/>
        <w:rPr>
          <w:sz w:val="2"/>
          <w:szCs w:val="2"/>
        </w:rPr>
      </w:pPr>
    </w:p>
  </w:footnote>
  <w:footnote w:id="2">
    <w:p w:rsidR="00F51B90" w:rsidRPr="00F51B90" w:rsidRDefault="00F51B90">
      <w:pPr>
        <w:pStyle w:val="Notedebasdepage"/>
      </w:pPr>
      <w:r>
        <w:rPr>
          <w:rStyle w:val="Appelnotedebasdep"/>
        </w:rPr>
        <w:tab/>
      </w:r>
      <w:r w:rsidRPr="00F51B90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E314D5">
        <w:rPr>
          <w:lang w:val="fr-FR"/>
        </w:rPr>
        <w:t>Conformément au programme de travail du Comité des transports intérieurs pour 2016-2017, (ECE/TRANS/2016/28/</w:t>
      </w:r>
      <w:proofErr w:type="spellStart"/>
      <w:r w:rsidRPr="00E314D5">
        <w:rPr>
          <w:lang w:val="fr-FR"/>
        </w:rPr>
        <w:t>Add</w:t>
      </w:r>
      <w:proofErr w:type="spellEnd"/>
      <w:r w:rsidRPr="00E314D5">
        <w:rPr>
          <w:lang w:val="fr-FR"/>
        </w:rPr>
        <w:t>.</w:t>
      </w:r>
      <w:r w:rsidR="00006343">
        <w:rPr>
          <w:lang w:val="fr-FR"/>
        </w:rPr>
        <w:t> </w:t>
      </w:r>
      <w:r w:rsidRPr="00E314D5">
        <w:rPr>
          <w:lang w:val="fr-FR"/>
        </w:rPr>
        <w:t>1 (9.1)).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EB" w:rsidRPr="00A842EB" w:rsidRDefault="00BA5534">
    <w:pPr>
      <w:pStyle w:val="En-tte"/>
    </w:pPr>
    <w:fldSimple w:instr=" TITLE  \* MERGEFORMAT ">
      <w:r w:rsidR="00D53B32">
        <w:t>ECE/TRANS/WP.15/2017/10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2EB" w:rsidRPr="00A842EB" w:rsidRDefault="00BA5534" w:rsidP="00A842EB">
    <w:pPr>
      <w:pStyle w:val="En-tte"/>
      <w:jc w:val="right"/>
    </w:pPr>
    <w:fldSimple w:instr=" TITLE  \* MERGEFORMAT ">
      <w:r w:rsidR="00D53B32">
        <w:t>ECE/TRANS/WP.15/2017/10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921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</w:compat>
  <w:rsids>
    <w:rsidRoot w:val="00571150"/>
    <w:rsid w:val="00006343"/>
    <w:rsid w:val="00017F94"/>
    <w:rsid w:val="00023842"/>
    <w:rsid w:val="000334F9"/>
    <w:rsid w:val="00045FEB"/>
    <w:rsid w:val="000640B2"/>
    <w:rsid w:val="0007796D"/>
    <w:rsid w:val="000B7790"/>
    <w:rsid w:val="00111F2F"/>
    <w:rsid w:val="0013215F"/>
    <w:rsid w:val="00136091"/>
    <w:rsid w:val="0014365E"/>
    <w:rsid w:val="00143C66"/>
    <w:rsid w:val="001729C8"/>
    <w:rsid w:val="00176178"/>
    <w:rsid w:val="00176B0E"/>
    <w:rsid w:val="001911EB"/>
    <w:rsid w:val="00194AF2"/>
    <w:rsid w:val="00195C1C"/>
    <w:rsid w:val="001C5EC7"/>
    <w:rsid w:val="001F1A8B"/>
    <w:rsid w:val="001F525A"/>
    <w:rsid w:val="00223272"/>
    <w:rsid w:val="0024779E"/>
    <w:rsid w:val="00257168"/>
    <w:rsid w:val="002744B8"/>
    <w:rsid w:val="002832AC"/>
    <w:rsid w:val="00286900"/>
    <w:rsid w:val="00287DA9"/>
    <w:rsid w:val="002B4D8C"/>
    <w:rsid w:val="002D7C93"/>
    <w:rsid w:val="00305801"/>
    <w:rsid w:val="00314B3E"/>
    <w:rsid w:val="00337293"/>
    <w:rsid w:val="00356729"/>
    <w:rsid w:val="003742E1"/>
    <w:rsid w:val="003916DE"/>
    <w:rsid w:val="00407BCE"/>
    <w:rsid w:val="00412AB6"/>
    <w:rsid w:val="00441C3B"/>
    <w:rsid w:val="004447D9"/>
    <w:rsid w:val="00446FE5"/>
    <w:rsid w:val="00452396"/>
    <w:rsid w:val="00463736"/>
    <w:rsid w:val="004837D8"/>
    <w:rsid w:val="004B0EC1"/>
    <w:rsid w:val="004D2940"/>
    <w:rsid w:val="004E021E"/>
    <w:rsid w:val="004E468C"/>
    <w:rsid w:val="004E745D"/>
    <w:rsid w:val="00526C42"/>
    <w:rsid w:val="005505B7"/>
    <w:rsid w:val="00571150"/>
    <w:rsid w:val="00573BE5"/>
    <w:rsid w:val="00586ED3"/>
    <w:rsid w:val="00587AFA"/>
    <w:rsid w:val="00596AA9"/>
    <w:rsid w:val="005B6A96"/>
    <w:rsid w:val="005D6A51"/>
    <w:rsid w:val="005E0135"/>
    <w:rsid w:val="005F5FD7"/>
    <w:rsid w:val="00601F9D"/>
    <w:rsid w:val="00622214"/>
    <w:rsid w:val="00661B5E"/>
    <w:rsid w:val="006C2C7C"/>
    <w:rsid w:val="006D2EE6"/>
    <w:rsid w:val="006F2AE7"/>
    <w:rsid w:val="007064E3"/>
    <w:rsid w:val="0071601D"/>
    <w:rsid w:val="00765002"/>
    <w:rsid w:val="007704EB"/>
    <w:rsid w:val="007A62E6"/>
    <w:rsid w:val="007B1A87"/>
    <w:rsid w:val="007B2EF9"/>
    <w:rsid w:val="007D52AE"/>
    <w:rsid w:val="007F20FA"/>
    <w:rsid w:val="007F6126"/>
    <w:rsid w:val="0080684C"/>
    <w:rsid w:val="0084546F"/>
    <w:rsid w:val="00871C75"/>
    <w:rsid w:val="008776DC"/>
    <w:rsid w:val="00897107"/>
    <w:rsid w:val="008974EB"/>
    <w:rsid w:val="008E781C"/>
    <w:rsid w:val="008F5C2C"/>
    <w:rsid w:val="009120B2"/>
    <w:rsid w:val="0091761A"/>
    <w:rsid w:val="00933751"/>
    <w:rsid w:val="009446C0"/>
    <w:rsid w:val="00952DD6"/>
    <w:rsid w:val="009705C8"/>
    <w:rsid w:val="009A774D"/>
    <w:rsid w:val="009C1CF4"/>
    <w:rsid w:val="009E689B"/>
    <w:rsid w:val="009F6B74"/>
    <w:rsid w:val="00A06F43"/>
    <w:rsid w:val="00A15002"/>
    <w:rsid w:val="00A30353"/>
    <w:rsid w:val="00A3093F"/>
    <w:rsid w:val="00A344E7"/>
    <w:rsid w:val="00A3506F"/>
    <w:rsid w:val="00A631C9"/>
    <w:rsid w:val="00A842EB"/>
    <w:rsid w:val="00AB5261"/>
    <w:rsid w:val="00AC3823"/>
    <w:rsid w:val="00AC4A03"/>
    <w:rsid w:val="00AE323C"/>
    <w:rsid w:val="00AF0CB5"/>
    <w:rsid w:val="00B00181"/>
    <w:rsid w:val="00B00B0D"/>
    <w:rsid w:val="00B23294"/>
    <w:rsid w:val="00B52206"/>
    <w:rsid w:val="00B7182C"/>
    <w:rsid w:val="00B765F7"/>
    <w:rsid w:val="00B96A47"/>
    <w:rsid w:val="00B97622"/>
    <w:rsid w:val="00BA0CA9"/>
    <w:rsid w:val="00BA5534"/>
    <w:rsid w:val="00BC5EC8"/>
    <w:rsid w:val="00BC6072"/>
    <w:rsid w:val="00BF255E"/>
    <w:rsid w:val="00BF2CB7"/>
    <w:rsid w:val="00C02897"/>
    <w:rsid w:val="00C11107"/>
    <w:rsid w:val="00C768E1"/>
    <w:rsid w:val="00C8300A"/>
    <w:rsid w:val="00C97039"/>
    <w:rsid w:val="00CF593A"/>
    <w:rsid w:val="00D07568"/>
    <w:rsid w:val="00D3439C"/>
    <w:rsid w:val="00D47B92"/>
    <w:rsid w:val="00D47BFD"/>
    <w:rsid w:val="00D53B32"/>
    <w:rsid w:val="00D55173"/>
    <w:rsid w:val="00DB1831"/>
    <w:rsid w:val="00DD3BFD"/>
    <w:rsid w:val="00DF6678"/>
    <w:rsid w:val="00E32A43"/>
    <w:rsid w:val="00E52F28"/>
    <w:rsid w:val="00E64703"/>
    <w:rsid w:val="00E6719C"/>
    <w:rsid w:val="00E85C74"/>
    <w:rsid w:val="00EA6547"/>
    <w:rsid w:val="00ED7EF5"/>
    <w:rsid w:val="00EF2E22"/>
    <w:rsid w:val="00F35BAF"/>
    <w:rsid w:val="00F448AA"/>
    <w:rsid w:val="00F51B90"/>
    <w:rsid w:val="00F660DF"/>
    <w:rsid w:val="00F83776"/>
    <w:rsid w:val="00F872C2"/>
    <w:rsid w:val="00F94664"/>
    <w:rsid w:val="00F9573C"/>
    <w:rsid w:val="00F95C08"/>
    <w:rsid w:val="00FA0CE0"/>
    <w:rsid w:val="00FD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704EB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ingleTxtGR">
    <w:name w:val="_ Single Txt_GR"/>
    <w:basedOn w:val="Normal"/>
    <w:qFormat/>
    <w:rsid w:val="00F872C2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spacing w:val="4"/>
      <w:w w:val="103"/>
      <w:kern w:val="1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7704EB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SingleTxtGR">
    <w:name w:val="_ Single Txt_GR"/>
    <w:basedOn w:val="Normal"/>
    <w:qFormat/>
    <w:rsid w:val="00F872C2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spacing w:val="4"/>
      <w:w w:val="103"/>
      <w:kern w:val="1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4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ECE/TRANS/WP.15/2017/10</vt:lpstr>
    </vt:vector>
  </TitlesOfParts>
  <Company>DCM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ECE/TRANS/WP.15/2017/10</dc:title>
  <dc:creator>DEVOS</dc:creator>
  <cp:lastModifiedBy>Maison</cp:lastModifiedBy>
  <cp:revision>2</cp:revision>
  <cp:lastPrinted>2017-03-08T15:55:00Z</cp:lastPrinted>
  <dcterms:created xsi:type="dcterms:W3CDTF">2017-03-09T09:16:00Z</dcterms:created>
  <dcterms:modified xsi:type="dcterms:W3CDTF">2017-03-09T09:16:00Z</dcterms:modified>
</cp:coreProperties>
</file>