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14:paraId="3EEA5169" w14:textId="77777777" w:rsidTr="00691F20">
        <w:trPr>
          <w:cantSplit/>
          <w:trHeight w:hRule="exact" w:val="851"/>
        </w:trPr>
        <w:tc>
          <w:tcPr>
            <w:tcW w:w="9639" w:type="dxa"/>
            <w:tcBorders>
              <w:bottom w:val="single" w:sz="4" w:space="0" w:color="auto"/>
            </w:tcBorders>
            <w:vAlign w:val="bottom"/>
          </w:tcPr>
          <w:p w14:paraId="737A8918" w14:textId="6E221E1E" w:rsidR="0099001C" w:rsidRPr="0099001C" w:rsidRDefault="0099001C" w:rsidP="00784208">
            <w:pPr>
              <w:jc w:val="right"/>
              <w:rPr>
                <w:b/>
                <w:sz w:val="40"/>
                <w:szCs w:val="40"/>
              </w:rPr>
            </w:pPr>
            <w:r w:rsidRPr="0099001C">
              <w:rPr>
                <w:b/>
                <w:sz w:val="40"/>
                <w:szCs w:val="40"/>
              </w:rPr>
              <w:t>UN/SCEGHS/</w:t>
            </w:r>
            <w:r w:rsidR="00E22E6E">
              <w:rPr>
                <w:b/>
                <w:sz w:val="40"/>
                <w:szCs w:val="40"/>
              </w:rPr>
              <w:t>34</w:t>
            </w:r>
            <w:r w:rsidRPr="0099001C">
              <w:rPr>
                <w:b/>
                <w:sz w:val="40"/>
                <w:szCs w:val="40"/>
              </w:rPr>
              <w:t>/INF.</w:t>
            </w:r>
            <w:r w:rsidR="00784208">
              <w:rPr>
                <w:b/>
                <w:sz w:val="40"/>
                <w:szCs w:val="40"/>
              </w:rPr>
              <w:t>16</w:t>
            </w:r>
          </w:p>
        </w:tc>
      </w:tr>
      <w:tr w:rsidR="0099001C" w14:paraId="0CF18C10" w14:textId="77777777" w:rsidTr="008B6E26">
        <w:trPr>
          <w:cantSplit/>
          <w:trHeight w:hRule="exact" w:val="3114"/>
        </w:trPr>
        <w:tc>
          <w:tcPr>
            <w:tcW w:w="9639" w:type="dxa"/>
            <w:tcBorders>
              <w:top w:val="single" w:sz="4" w:space="0" w:color="auto"/>
            </w:tcBorders>
          </w:tcPr>
          <w:p w14:paraId="3E41EE01" w14:textId="77777777"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14:paraId="0254736F" w14:textId="56627615" w:rsidR="00965932" w:rsidRPr="001B03EA" w:rsidRDefault="00965932" w:rsidP="00965932">
            <w:pPr>
              <w:tabs>
                <w:tab w:val="left" w:pos="7230"/>
                <w:tab w:val="right" w:pos="9300"/>
              </w:tabs>
              <w:spacing w:before="120"/>
              <w:rPr>
                <w:rFonts w:ascii="Helv" w:hAnsi="Helv" w:cs="Helv"/>
                <w:b/>
                <w:color w:val="000000"/>
                <w:lang w:val="en-US"/>
              </w:rPr>
            </w:pPr>
            <w:r w:rsidRPr="001B03EA">
              <w:rPr>
                <w:b/>
                <w:lang w:val="en-US"/>
              </w:rPr>
              <w:t>Sub-Committee of Experts on the Globally Harmonized</w:t>
            </w:r>
            <w:r w:rsidRPr="001B03EA">
              <w:rPr>
                <w:b/>
                <w:lang w:val="en-US"/>
              </w:rPr>
              <w:br/>
              <w:t>System of Classification and Labelling of Chemicals</w:t>
            </w:r>
            <w:r w:rsidRPr="001B03EA">
              <w:rPr>
                <w:b/>
                <w:lang w:val="en-US"/>
              </w:rPr>
              <w:tab/>
            </w:r>
            <w:r w:rsidR="00784208">
              <w:rPr>
                <w:b/>
                <w:lang w:val="en-US"/>
              </w:rPr>
              <w:t>27</w:t>
            </w:r>
            <w:r w:rsidRPr="001B03EA">
              <w:rPr>
                <w:b/>
                <w:lang w:val="en-US"/>
              </w:rPr>
              <w:t xml:space="preserve"> </w:t>
            </w:r>
            <w:r>
              <w:rPr>
                <w:b/>
                <w:lang w:val="en-US"/>
              </w:rPr>
              <w:t>November</w:t>
            </w:r>
            <w:r w:rsidRPr="001B03EA">
              <w:rPr>
                <w:b/>
                <w:lang w:val="en-US"/>
              </w:rPr>
              <w:t xml:space="preserve"> </w:t>
            </w:r>
            <w:r w:rsidR="00AD67E3">
              <w:rPr>
                <w:b/>
                <w:lang w:val="en-US"/>
              </w:rPr>
              <w:t>2017</w:t>
            </w:r>
          </w:p>
          <w:p w14:paraId="7CDD1F58" w14:textId="77777777" w:rsidR="00965932" w:rsidRPr="001B03EA" w:rsidRDefault="00965932" w:rsidP="00965932">
            <w:pPr>
              <w:jc w:val="both"/>
              <w:rPr>
                <w:b/>
              </w:rPr>
            </w:pPr>
          </w:p>
          <w:p w14:paraId="4A0871C0" w14:textId="77777777" w:rsidR="00965932" w:rsidRPr="001B03EA" w:rsidRDefault="00965932" w:rsidP="00965932">
            <w:pPr>
              <w:jc w:val="both"/>
            </w:pPr>
            <w:r w:rsidRPr="001B03EA">
              <w:rPr>
                <w:b/>
              </w:rPr>
              <w:t>Thirty-</w:t>
            </w:r>
            <w:r w:rsidR="00E22E6E">
              <w:rPr>
                <w:b/>
              </w:rPr>
              <w:t>fourth</w:t>
            </w:r>
            <w:r w:rsidRPr="001B03EA">
              <w:rPr>
                <w:b/>
              </w:rPr>
              <w:t xml:space="preserve"> session</w:t>
            </w:r>
            <w:r w:rsidRPr="001B03EA">
              <w:t xml:space="preserve"> </w:t>
            </w:r>
          </w:p>
          <w:p w14:paraId="4100AA31" w14:textId="77777777" w:rsidR="00965932" w:rsidRPr="001B03EA" w:rsidRDefault="00965932" w:rsidP="00965932">
            <w:pPr>
              <w:jc w:val="both"/>
            </w:pPr>
            <w:r w:rsidRPr="001B03EA">
              <w:t xml:space="preserve">Geneva, </w:t>
            </w:r>
            <w:r w:rsidR="00E22E6E">
              <w:t>6</w:t>
            </w:r>
            <w:r>
              <w:t>-</w:t>
            </w:r>
            <w:r w:rsidR="00E22E6E">
              <w:t>8</w:t>
            </w:r>
            <w:r w:rsidRPr="001B03EA">
              <w:t xml:space="preserve"> </w:t>
            </w:r>
            <w:r>
              <w:t xml:space="preserve">December </w:t>
            </w:r>
            <w:r w:rsidR="00E22E6E">
              <w:t>2017</w:t>
            </w:r>
          </w:p>
          <w:p w14:paraId="518DF2AA" w14:textId="77777777" w:rsidR="00965932" w:rsidRPr="001B03EA" w:rsidRDefault="00965932" w:rsidP="00965932">
            <w:pPr>
              <w:spacing w:before="40"/>
            </w:pPr>
            <w:r w:rsidRPr="001B03EA">
              <w:t xml:space="preserve">Item </w:t>
            </w:r>
            <w:r w:rsidR="00E22E6E">
              <w:t>7</w:t>
            </w:r>
            <w:r w:rsidR="00F124A0">
              <w:t xml:space="preserve"> </w:t>
            </w:r>
            <w:r w:rsidRPr="001B03EA">
              <w:t>of the provisional agenda</w:t>
            </w:r>
          </w:p>
          <w:p w14:paraId="4DA34DEE" w14:textId="77777777" w:rsidR="0099001C" w:rsidRDefault="00E22E6E" w:rsidP="00E22E6E">
            <w:pPr>
              <w:spacing w:line="240" w:lineRule="exact"/>
            </w:pPr>
            <w:r>
              <w:rPr>
                <w:b/>
              </w:rPr>
              <w:t>Other business</w:t>
            </w:r>
          </w:p>
        </w:tc>
      </w:tr>
    </w:tbl>
    <w:p w14:paraId="29970B2B" w14:textId="77777777" w:rsidR="00965932" w:rsidRPr="006F2710" w:rsidRDefault="00965932" w:rsidP="00CC65B7">
      <w:pPr>
        <w:pStyle w:val="HChG"/>
      </w:pPr>
      <w:r w:rsidRPr="009E7ABD">
        <w:rPr>
          <w:rFonts w:eastAsia="MS Mincho"/>
          <w:lang w:val="en-US" w:eastAsia="ja-JP"/>
        </w:rPr>
        <w:tab/>
      </w:r>
      <w:r>
        <w:rPr>
          <w:rFonts w:eastAsia="MS Mincho"/>
          <w:lang w:val="en-US" w:eastAsia="ja-JP"/>
        </w:rPr>
        <w:tab/>
      </w:r>
      <w:r w:rsidR="00E22E6E">
        <w:t>Work of informal working groups</w:t>
      </w:r>
      <w:r>
        <w:t xml:space="preserve"> </w:t>
      </w:r>
    </w:p>
    <w:p w14:paraId="229443CB" w14:textId="68C623BE" w:rsidR="00965932" w:rsidRDefault="00965932" w:rsidP="00965932">
      <w:pPr>
        <w:pStyle w:val="H1G"/>
        <w:rPr>
          <w:rFonts w:eastAsia="MS Mincho"/>
        </w:rPr>
      </w:pPr>
      <w:r w:rsidRPr="00DC0E36">
        <w:rPr>
          <w:rFonts w:eastAsia="MS Mincho"/>
        </w:rPr>
        <w:tab/>
      </w:r>
      <w:r w:rsidRPr="00DC0E36">
        <w:rPr>
          <w:rFonts w:eastAsia="MS Mincho"/>
        </w:rPr>
        <w:tab/>
      </w:r>
      <w:r w:rsidR="00C31445">
        <w:rPr>
          <w:rFonts w:eastAsia="MS Mincho"/>
        </w:rPr>
        <w:t>Note</w:t>
      </w:r>
      <w:r w:rsidR="0060668D">
        <w:rPr>
          <w:rFonts w:eastAsia="MS Mincho"/>
        </w:rPr>
        <w:t xml:space="preserve"> by the Chair and Vice-chair persons</w:t>
      </w:r>
      <w:r>
        <w:rPr>
          <w:rFonts w:eastAsia="MS Mincho"/>
        </w:rPr>
        <w:t xml:space="preserve"> </w:t>
      </w:r>
    </w:p>
    <w:p w14:paraId="2CF98E0D" w14:textId="77777777" w:rsidR="00E22E6E" w:rsidRDefault="00E22E6E" w:rsidP="00E22E6E">
      <w:pPr>
        <w:pStyle w:val="SingleTxtG"/>
      </w:pPr>
      <w:r>
        <w:t>1.</w:t>
      </w:r>
      <w:r>
        <w:tab/>
      </w:r>
      <w:r w:rsidR="00335925">
        <w:t>According to Rule 24, para.2 of the rules of procedure of the Economic and Social Council applicable to its subsidiary bodies, the Sub-Committee may not create either standing or ad hoc intersessional subsidiary bodies without prior approval of the Council.</w:t>
      </w:r>
    </w:p>
    <w:p w14:paraId="7CCB5140" w14:textId="77777777" w:rsidR="00335925" w:rsidRDefault="00335925" w:rsidP="00E22E6E">
      <w:pPr>
        <w:pStyle w:val="SingleTxtG"/>
      </w:pPr>
      <w:r>
        <w:t>2.</w:t>
      </w:r>
      <w:r>
        <w:tab/>
        <w:t>Working groups may be organized during sessions, but they are not provided with interpretation o</w:t>
      </w:r>
      <w:r w:rsidR="009C127C">
        <w:t>r</w:t>
      </w:r>
      <w:r>
        <w:t xml:space="preserve"> secretariat services.</w:t>
      </w:r>
    </w:p>
    <w:p w14:paraId="1EF8FDDC" w14:textId="77777777" w:rsidR="00335925" w:rsidRDefault="00335925" w:rsidP="00E22E6E">
      <w:pPr>
        <w:pStyle w:val="SingleTxtG"/>
      </w:pPr>
      <w:r>
        <w:t>3.</w:t>
      </w:r>
      <w:r>
        <w:tab/>
        <w:t>Informal intersessional working group meetings may be organized by Governments or non-gover</w:t>
      </w:r>
      <w:r w:rsidR="009C127C">
        <w:t>n</w:t>
      </w:r>
      <w:r>
        <w:t xml:space="preserve">mental organizations, but the United Nations do not provide secretariat services. These groups may not take </w:t>
      </w:r>
      <w:r w:rsidR="00B80CCF">
        <w:t xml:space="preserve">formal </w:t>
      </w:r>
      <w:r>
        <w:t>decisions. They may only submit their reports and proposals to the Sub-Committee.</w:t>
      </w:r>
    </w:p>
    <w:p w14:paraId="512FB344" w14:textId="0D662AEC" w:rsidR="009C127C" w:rsidRDefault="00335925" w:rsidP="00E22E6E">
      <w:pPr>
        <w:pStyle w:val="SingleTxtG"/>
        <w:rPr>
          <w:rFonts w:eastAsia="MS Mincho"/>
        </w:rPr>
      </w:pPr>
      <w:r>
        <w:rPr>
          <w:rFonts w:eastAsia="MS Mincho"/>
        </w:rPr>
        <w:t>4.</w:t>
      </w:r>
      <w:r>
        <w:rPr>
          <w:rFonts w:eastAsia="MS Mincho"/>
        </w:rPr>
        <w:tab/>
      </w:r>
      <w:r w:rsidR="00B80CCF">
        <w:rPr>
          <w:rFonts w:eastAsia="MS Mincho"/>
        </w:rPr>
        <w:t>Since its creation t</w:t>
      </w:r>
      <w:r>
        <w:rPr>
          <w:rFonts w:eastAsia="MS Mincho"/>
        </w:rPr>
        <w:t xml:space="preserve">he Sub-Committee has relied </w:t>
      </w:r>
      <w:r w:rsidR="00B80CCF">
        <w:rPr>
          <w:rFonts w:eastAsia="MS Mincho"/>
        </w:rPr>
        <w:t>o</w:t>
      </w:r>
      <w:r>
        <w:rPr>
          <w:rFonts w:eastAsia="MS Mincho"/>
        </w:rPr>
        <w:t xml:space="preserve">n work done within informal intersessional working groups </w:t>
      </w:r>
      <w:r w:rsidR="00B80CCF">
        <w:rPr>
          <w:rFonts w:eastAsia="MS Mincho"/>
        </w:rPr>
        <w:t>to</w:t>
      </w:r>
      <w:r>
        <w:rPr>
          <w:rFonts w:eastAsia="MS Mincho"/>
        </w:rPr>
        <w:t xml:space="preserve"> develop prop</w:t>
      </w:r>
      <w:r w:rsidR="009C127C">
        <w:rPr>
          <w:rFonts w:eastAsia="MS Mincho"/>
        </w:rPr>
        <w:t xml:space="preserve">osals, when it considered that the difficulty of the subject </w:t>
      </w:r>
      <w:r w:rsidR="00A2158F">
        <w:rPr>
          <w:rFonts w:eastAsia="MS Mincho"/>
        </w:rPr>
        <w:t>requir</w:t>
      </w:r>
      <w:r w:rsidR="00B80CCF">
        <w:rPr>
          <w:rFonts w:eastAsia="MS Mincho"/>
        </w:rPr>
        <w:t>ed</w:t>
      </w:r>
      <w:r w:rsidR="009C127C">
        <w:rPr>
          <w:rFonts w:eastAsia="MS Mincho"/>
        </w:rPr>
        <w:t xml:space="preserve"> more time </w:t>
      </w:r>
      <w:r w:rsidR="00B80CCF">
        <w:rPr>
          <w:rFonts w:eastAsia="MS Mincho"/>
        </w:rPr>
        <w:t>for detailed consideration</w:t>
      </w:r>
      <w:r w:rsidR="00CF22A3">
        <w:rPr>
          <w:rFonts w:eastAsia="MS Mincho"/>
        </w:rPr>
        <w:t xml:space="preserve"> </w:t>
      </w:r>
      <w:r w:rsidR="009C127C">
        <w:rPr>
          <w:rFonts w:eastAsia="MS Mincho"/>
        </w:rPr>
        <w:t xml:space="preserve">than </w:t>
      </w:r>
      <w:r w:rsidR="00B80CCF">
        <w:rPr>
          <w:rFonts w:eastAsia="MS Mincho"/>
        </w:rPr>
        <w:t>is</w:t>
      </w:r>
      <w:r w:rsidR="009C127C">
        <w:rPr>
          <w:rFonts w:eastAsia="MS Mincho"/>
        </w:rPr>
        <w:t xml:space="preserve"> available during the plenary sessions.</w:t>
      </w:r>
    </w:p>
    <w:p w14:paraId="2DFD2972" w14:textId="77777777" w:rsidR="00CF22A3" w:rsidRDefault="009C127C" w:rsidP="00E22E6E">
      <w:pPr>
        <w:pStyle w:val="SingleTxtG"/>
        <w:rPr>
          <w:rFonts w:eastAsia="MS Mincho"/>
        </w:rPr>
      </w:pPr>
      <w:r>
        <w:rPr>
          <w:rFonts w:eastAsia="MS Mincho"/>
        </w:rPr>
        <w:t>5.</w:t>
      </w:r>
      <w:r>
        <w:rPr>
          <w:rFonts w:eastAsia="MS Mincho"/>
        </w:rPr>
        <w:tab/>
      </w:r>
      <w:r w:rsidR="00CF22A3">
        <w:rPr>
          <w:rFonts w:eastAsia="MS Mincho"/>
        </w:rPr>
        <w:t xml:space="preserve">Some informal groups provide detailed information on the status of their work to the Sub-Committee on a regular basis, others </w:t>
      </w:r>
      <w:r w:rsidR="00533DBE">
        <w:rPr>
          <w:rFonts w:eastAsia="MS Mincho"/>
        </w:rPr>
        <w:t>provide</w:t>
      </w:r>
      <w:r w:rsidR="00CF22A3">
        <w:rPr>
          <w:rFonts w:eastAsia="MS Mincho"/>
        </w:rPr>
        <w:t xml:space="preserve"> a succinct </w:t>
      </w:r>
      <w:r w:rsidR="00533DBE">
        <w:rPr>
          <w:rFonts w:eastAsia="MS Mincho"/>
        </w:rPr>
        <w:t>summary report</w:t>
      </w:r>
      <w:r w:rsidR="00CF22A3">
        <w:rPr>
          <w:rFonts w:eastAsia="MS Mincho"/>
        </w:rPr>
        <w:t xml:space="preserve"> and </w:t>
      </w:r>
      <w:r w:rsidR="00533DBE">
        <w:rPr>
          <w:rFonts w:eastAsia="MS Mincho"/>
        </w:rPr>
        <w:t xml:space="preserve">wait </w:t>
      </w:r>
      <w:r w:rsidR="00CF22A3">
        <w:rPr>
          <w:rFonts w:eastAsia="MS Mincho"/>
        </w:rPr>
        <w:t>until a final proposal has been agreed within the group to provide further details.</w:t>
      </w:r>
    </w:p>
    <w:p w14:paraId="642BC9E9" w14:textId="156A1FBD" w:rsidR="0053092F" w:rsidRDefault="009C127C" w:rsidP="00E22E6E">
      <w:pPr>
        <w:pStyle w:val="SingleTxtG"/>
        <w:rPr>
          <w:rFonts w:eastAsia="MS Mincho"/>
        </w:rPr>
      </w:pPr>
      <w:r>
        <w:rPr>
          <w:rFonts w:eastAsia="MS Mincho"/>
        </w:rPr>
        <w:t>6.</w:t>
      </w:r>
      <w:r>
        <w:rPr>
          <w:rFonts w:eastAsia="MS Mincho"/>
        </w:rPr>
        <w:tab/>
      </w:r>
      <w:r w:rsidR="00CF22A3">
        <w:rPr>
          <w:rFonts w:eastAsia="MS Mincho"/>
        </w:rPr>
        <w:t>As regards meetings during the Sub-Committee sessions, t</w:t>
      </w:r>
      <w:r>
        <w:rPr>
          <w:rFonts w:eastAsia="MS Mincho"/>
        </w:rPr>
        <w:t xml:space="preserve">he secretariat </w:t>
      </w:r>
      <w:r w:rsidR="0053092F">
        <w:rPr>
          <w:rFonts w:eastAsia="MS Mincho"/>
        </w:rPr>
        <w:t>and the bureau have not</w:t>
      </w:r>
      <w:r w:rsidR="00B80CCF">
        <w:rPr>
          <w:rFonts w:eastAsia="MS Mincho"/>
        </w:rPr>
        <w:t>ed</w:t>
      </w:r>
      <w:r w:rsidR="0053092F">
        <w:rPr>
          <w:rFonts w:eastAsia="MS Mincho"/>
        </w:rPr>
        <w:t xml:space="preserve"> an increase in the demand for meeting time for informal working group meetings, particularly during the first and second sessions of a biennium. This has been accompanied by a </w:t>
      </w:r>
      <w:r w:rsidR="00B80CCF">
        <w:rPr>
          <w:rFonts w:eastAsia="MS Mincho"/>
        </w:rPr>
        <w:t xml:space="preserve">significant </w:t>
      </w:r>
      <w:r w:rsidR="0053092F">
        <w:rPr>
          <w:rFonts w:eastAsia="MS Mincho"/>
        </w:rPr>
        <w:t xml:space="preserve">reduction in the number of documents submitted for discussion in plenary. </w:t>
      </w:r>
    </w:p>
    <w:p w14:paraId="7EEDE521" w14:textId="0A3320A7" w:rsidR="00533DBE" w:rsidRDefault="00CF22A3" w:rsidP="00E22E6E">
      <w:pPr>
        <w:pStyle w:val="SingleTxtG"/>
        <w:rPr>
          <w:rFonts w:eastAsia="MS Mincho"/>
        </w:rPr>
      </w:pPr>
      <w:r>
        <w:rPr>
          <w:rFonts w:eastAsia="MS Mincho"/>
        </w:rPr>
        <w:t>7</w:t>
      </w:r>
      <w:r w:rsidR="0053092F">
        <w:rPr>
          <w:rFonts w:eastAsia="MS Mincho"/>
        </w:rPr>
        <w:t>.</w:t>
      </w:r>
      <w:r w:rsidR="0053092F">
        <w:rPr>
          <w:rFonts w:eastAsia="MS Mincho"/>
        </w:rPr>
        <w:tab/>
      </w:r>
      <w:r w:rsidR="0060668D">
        <w:rPr>
          <w:rFonts w:eastAsia="MS Mincho"/>
        </w:rPr>
        <w:t>T</w:t>
      </w:r>
      <w:r>
        <w:rPr>
          <w:rFonts w:eastAsia="MS Mincho"/>
        </w:rPr>
        <w:t xml:space="preserve">he bureau and the secretariat </w:t>
      </w:r>
      <w:r w:rsidR="00B80CCF">
        <w:rPr>
          <w:rFonts w:eastAsia="MS Mincho"/>
        </w:rPr>
        <w:t xml:space="preserve">recognise that presently the Sub-Committee is taking forward work in a number of challenging </w:t>
      </w:r>
      <w:r w:rsidR="00826F10">
        <w:rPr>
          <w:rFonts w:eastAsia="MS Mincho"/>
        </w:rPr>
        <w:t xml:space="preserve">and highly technical </w:t>
      </w:r>
      <w:r w:rsidR="00B80CCF">
        <w:rPr>
          <w:rFonts w:eastAsia="MS Mincho"/>
        </w:rPr>
        <w:t xml:space="preserve">areas, such as the review of Chapter 2.1 (explosives), use of non-animal testing methods for classification of health hazards, </w:t>
      </w:r>
      <w:r w:rsidR="00497EF1">
        <w:rPr>
          <w:rFonts w:eastAsia="MS Mincho"/>
        </w:rPr>
        <w:t xml:space="preserve">and </w:t>
      </w:r>
      <w:r w:rsidR="00B80CCF">
        <w:rPr>
          <w:rFonts w:eastAsia="MS Mincho"/>
        </w:rPr>
        <w:t>assessing the possible development of a list of chemicals classified in accordance with the GHS</w:t>
      </w:r>
      <w:r w:rsidR="005014A3">
        <w:rPr>
          <w:rFonts w:eastAsia="MS Mincho"/>
        </w:rPr>
        <w:t xml:space="preserve">. </w:t>
      </w:r>
      <w:r w:rsidR="00337A81">
        <w:rPr>
          <w:rFonts w:eastAsia="MS Mincho"/>
        </w:rPr>
        <w:t xml:space="preserve"> </w:t>
      </w:r>
      <w:r w:rsidR="00826F10">
        <w:rPr>
          <w:rFonts w:eastAsia="MS Mincho"/>
        </w:rPr>
        <w:t xml:space="preserve">Progressing this </w:t>
      </w:r>
      <w:r w:rsidR="00337A81">
        <w:rPr>
          <w:rFonts w:eastAsia="MS Mincho"/>
        </w:rPr>
        <w:t xml:space="preserve">type of </w:t>
      </w:r>
      <w:r w:rsidR="00826F10">
        <w:rPr>
          <w:rFonts w:eastAsia="MS Mincho"/>
        </w:rPr>
        <w:t>work</w:t>
      </w:r>
      <w:r w:rsidR="005014A3">
        <w:rPr>
          <w:rFonts w:eastAsia="MS Mincho"/>
        </w:rPr>
        <w:t xml:space="preserve"> may require more working group time for an interim period. Nevertheless, the </w:t>
      </w:r>
      <w:r w:rsidR="005014A3" w:rsidRPr="005014A3">
        <w:rPr>
          <w:rFonts w:eastAsia="MS Mincho"/>
        </w:rPr>
        <w:t>bureau and the secretariat</w:t>
      </w:r>
      <w:r w:rsidR="005014A3">
        <w:rPr>
          <w:rFonts w:eastAsia="MS Mincho"/>
        </w:rPr>
        <w:t xml:space="preserve"> </w:t>
      </w:r>
      <w:r w:rsidR="002115B7">
        <w:rPr>
          <w:rFonts w:eastAsia="MS Mincho"/>
        </w:rPr>
        <w:t xml:space="preserve">have been considering </w:t>
      </w:r>
      <w:r w:rsidR="00533DBE">
        <w:rPr>
          <w:rFonts w:eastAsia="MS Mincho"/>
        </w:rPr>
        <w:t>how to better balance:</w:t>
      </w:r>
    </w:p>
    <w:p w14:paraId="077C1C00" w14:textId="77777777" w:rsidR="00533DBE" w:rsidRPr="00533DBE" w:rsidRDefault="00533DBE" w:rsidP="00533DBE">
      <w:pPr>
        <w:pStyle w:val="SingleTxtG"/>
        <w:ind w:left="2268" w:hanging="567"/>
        <w:rPr>
          <w:rFonts w:eastAsia="MS Mincho"/>
        </w:rPr>
      </w:pPr>
      <w:r>
        <w:rPr>
          <w:rFonts w:eastAsia="MS Mincho"/>
        </w:rPr>
        <w:t>(a)</w:t>
      </w:r>
      <w:r w:rsidRPr="00533DBE">
        <w:rPr>
          <w:rFonts w:eastAsia="MS Mincho"/>
        </w:rPr>
        <w:t xml:space="preserve"> </w:t>
      </w:r>
      <w:r>
        <w:rPr>
          <w:rFonts w:eastAsia="MS Mincho"/>
        </w:rPr>
        <w:tab/>
      </w:r>
      <w:r w:rsidRPr="00533DBE">
        <w:rPr>
          <w:rFonts w:eastAsia="MS Mincho"/>
        </w:rPr>
        <w:t>the benefits of face-to-face communication in relatively small groups of experts on complex and sensitive issues</w:t>
      </w:r>
      <w:r>
        <w:rPr>
          <w:rFonts w:eastAsia="MS Mincho"/>
        </w:rPr>
        <w:t>.</w:t>
      </w:r>
    </w:p>
    <w:p w14:paraId="3F4AECF7" w14:textId="2CCBE160" w:rsidR="00533DBE" w:rsidRPr="00533DBE" w:rsidRDefault="00533DBE" w:rsidP="00533DBE">
      <w:pPr>
        <w:pStyle w:val="SingleTxtG"/>
        <w:ind w:left="2268" w:hanging="567"/>
        <w:rPr>
          <w:rFonts w:eastAsia="MS Mincho"/>
        </w:rPr>
      </w:pPr>
      <w:r>
        <w:rPr>
          <w:rFonts w:eastAsia="MS Mincho"/>
        </w:rPr>
        <w:lastRenderedPageBreak/>
        <w:t>(</w:t>
      </w:r>
      <w:bookmarkStart w:id="0" w:name="_GoBack"/>
      <w:bookmarkEnd w:id="0"/>
      <w:r>
        <w:rPr>
          <w:rFonts w:eastAsia="MS Mincho"/>
        </w:rPr>
        <w:t>b)</w:t>
      </w:r>
      <w:r w:rsidRPr="00533DBE">
        <w:rPr>
          <w:rFonts w:eastAsia="MS Mincho"/>
        </w:rPr>
        <w:t xml:space="preserve"> </w:t>
      </w:r>
      <w:r>
        <w:rPr>
          <w:rFonts w:eastAsia="MS Mincho"/>
        </w:rPr>
        <w:tab/>
      </w:r>
      <w:r w:rsidRPr="00533DBE">
        <w:rPr>
          <w:rFonts w:eastAsia="MS Mincho"/>
        </w:rPr>
        <w:t>the need to progress work outside the plenary sessions while keeping the Sub-Committee informed</w:t>
      </w:r>
      <w:r>
        <w:rPr>
          <w:rFonts w:eastAsia="MS Mincho"/>
        </w:rPr>
        <w:t xml:space="preserve"> </w:t>
      </w:r>
      <w:r w:rsidR="005014A3">
        <w:rPr>
          <w:rFonts w:eastAsia="MS Mincho"/>
        </w:rPr>
        <w:t>and securing the Sub-Committee</w:t>
      </w:r>
      <w:r w:rsidR="00497EF1">
        <w:rPr>
          <w:rFonts w:eastAsia="MS Mincho"/>
        </w:rPr>
        <w:t>’</w:t>
      </w:r>
      <w:r w:rsidR="005014A3">
        <w:rPr>
          <w:rFonts w:eastAsia="MS Mincho"/>
        </w:rPr>
        <w:t xml:space="preserve">s input </w:t>
      </w:r>
      <w:r w:rsidR="00F47732">
        <w:rPr>
          <w:rFonts w:eastAsia="MS Mincho"/>
        </w:rPr>
        <w:t xml:space="preserve">and </w:t>
      </w:r>
      <w:r w:rsidR="00826F10">
        <w:rPr>
          <w:rFonts w:eastAsia="MS Mincho"/>
        </w:rPr>
        <w:t>direction</w:t>
      </w:r>
      <w:r w:rsidR="00F47732">
        <w:rPr>
          <w:rFonts w:eastAsia="MS Mincho"/>
        </w:rPr>
        <w:t xml:space="preserve"> </w:t>
      </w:r>
      <w:r w:rsidR="005014A3">
        <w:rPr>
          <w:rFonts w:eastAsia="MS Mincho"/>
        </w:rPr>
        <w:t>at key stages as the work progresses</w:t>
      </w:r>
      <w:r>
        <w:rPr>
          <w:rFonts w:eastAsia="MS Mincho"/>
        </w:rPr>
        <w:t>.</w:t>
      </w:r>
      <w:r w:rsidRPr="00533DBE">
        <w:rPr>
          <w:rFonts w:eastAsia="MS Mincho"/>
        </w:rPr>
        <w:t xml:space="preserve"> </w:t>
      </w:r>
    </w:p>
    <w:p w14:paraId="387185B7" w14:textId="77777777" w:rsidR="00533DBE" w:rsidRPr="00533DBE" w:rsidRDefault="00533DBE" w:rsidP="00533DBE">
      <w:pPr>
        <w:pStyle w:val="SingleTxtG"/>
        <w:ind w:left="2268" w:hanging="567"/>
        <w:rPr>
          <w:rFonts w:eastAsia="MS Mincho"/>
        </w:rPr>
      </w:pPr>
      <w:r>
        <w:rPr>
          <w:rFonts w:eastAsia="MS Mincho"/>
        </w:rPr>
        <w:t>(c)</w:t>
      </w:r>
      <w:r w:rsidRPr="00533DBE">
        <w:rPr>
          <w:rFonts w:eastAsia="MS Mincho"/>
        </w:rPr>
        <w:t xml:space="preserve"> </w:t>
      </w:r>
      <w:r>
        <w:rPr>
          <w:rFonts w:eastAsia="MS Mincho"/>
        </w:rPr>
        <w:tab/>
      </w:r>
      <w:r w:rsidRPr="00533DBE">
        <w:rPr>
          <w:rFonts w:eastAsia="MS Mincho"/>
        </w:rPr>
        <w:t xml:space="preserve">the </w:t>
      </w:r>
      <w:r w:rsidR="005014A3">
        <w:rPr>
          <w:rFonts w:eastAsia="MS Mincho"/>
        </w:rPr>
        <w:t xml:space="preserve">proper </w:t>
      </w:r>
      <w:r w:rsidRPr="00533DBE">
        <w:rPr>
          <w:rFonts w:eastAsia="MS Mincho"/>
        </w:rPr>
        <w:t xml:space="preserve">use of the resources allocated to the plenary sessions of the </w:t>
      </w:r>
      <w:r>
        <w:rPr>
          <w:rFonts w:eastAsia="MS Mincho"/>
        </w:rPr>
        <w:br/>
      </w:r>
      <w:r w:rsidRPr="00533DBE">
        <w:rPr>
          <w:rFonts w:eastAsia="MS Mincho"/>
        </w:rPr>
        <w:t>Sub-Committee</w:t>
      </w:r>
      <w:r>
        <w:rPr>
          <w:rFonts w:eastAsia="MS Mincho"/>
        </w:rPr>
        <w:t>.</w:t>
      </w:r>
    </w:p>
    <w:p w14:paraId="762389FB" w14:textId="77777777" w:rsidR="00CF22A3" w:rsidRDefault="00AD67E3" w:rsidP="00E22E6E">
      <w:pPr>
        <w:pStyle w:val="SingleTxtG"/>
        <w:rPr>
          <w:rFonts w:eastAsia="MS Mincho"/>
        </w:rPr>
      </w:pPr>
      <w:r>
        <w:rPr>
          <w:rFonts w:eastAsia="MS Mincho"/>
        </w:rPr>
        <w:t>8.</w:t>
      </w:r>
      <w:r>
        <w:rPr>
          <w:rFonts w:eastAsia="MS Mincho"/>
        </w:rPr>
        <w:tab/>
      </w:r>
      <w:r w:rsidR="0060668D">
        <w:rPr>
          <w:rFonts w:eastAsia="MS Mincho"/>
        </w:rPr>
        <w:t xml:space="preserve">In view of the above, and to provide a common framework for the work of all informal working groups, the bureau </w:t>
      </w:r>
      <w:r w:rsidR="006B6238">
        <w:rPr>
          <w:rFonts w:eastAsia="MS Mincho"/>
        </w:rPr>
        <w:t>would like to propose</w:t>
      </w:r>
      <w:r w:rsidR="0060668D">
        <w:rPr>
          <w:rFonts w:eastAsia="MS Mincho"/>
        </w:rPr>
        <w:t xml:space="preserve"> the following arrangements:</w:t>
      </w:r>
    </w:p>
    <w:p w14:paraId="4C714D7B" w14:textId="77777777" w:rsidR="0060668D" w:rsidRDefault="00A02F4C" w:rsidP="00BE59FB">
      <w:pPr>
        <w:pStyle w:val="SingleTxtG"/>
        <w:ind w:left="2268" w:hanging="567"/>
        <w:rPr>
          <w:rFonts w:eastAsia="MS Mincho"/>
        </w:rPr>
      </w:pPr>
      <w:r>
        <w:rPr>
          <w:rFonts w:eastAsia="MS Mincho"/>
        </w:rPr>
        <w:t xml:space="preserve">(a) </w:t>
      </w:r>
      <w:r>
        <w:rPr>
          <w:rFonts w:eastAsia="MS Mincho"/>
        </w:rPr>
        <w:tab/>
        <w:t>info</w:t>
      </w:r>
      <w:r w:rsidR="00BE59FB">
        <w:rPr>
          <w:rFonts w:eastAsia="MS Mincho"/>
        </w:rPr>
        <w:t xml:space="preserve">rmal working groups should try </w:t>
      </w:r>
      <w:r>
        <w:rPr>
          <w:rFonts w:eastAsia="MS Mincho"/>
        </w:rPr>
        <w:t>to progress work inter</w:t>
      </w:r>
      <w:r w:rsidR="00E137B8">
        <w:rPr>
          <w:rFonts w:eastAsia="MS Mincho"/>
        </w:rPr>
        <w:t>-</w:t>
      </w:r>
      <w:r>
        <w:rPr>
          <w:rFonts w:eastAsia="MS Mincho"/>
        </w:rPr>
        <w:t>sessionally</w:t>
      </w:r>
      <w:r w:rsidR="00BE59FB">
        <w:rPr>
          <w:rFonts w:eastAsia="MS Mincho"/>
        </w:rPr>
        <w:t>,</w:t>
      </w:r>
      <w:r>
        <w:rPr>
          <w:rFonts w:eastAsia="MS Mincho"/>
        </w:rPr>
        <w:t xml:space="preserve"> </w:t>
      </w:r>
      <w:r w:rsidR="00BE59FB">
        <w:rPr>
          <w:rFonts w:eastAsia="MS Mincho"/>
        </w:rPr>
        <w:t>to the maximum extent possible</w:t>
      </w:r>
    </w:p>
    <w:p w14:paraId="31B645B8" w14:textId="61CD79AE" w:rsidR="00A02F4C" w:rsidRDefault="00A02F4C" w:rsidP="00A02F4C">
      <w:pPr>
        <w:pStyle w:val="SingleTxtG"/>
        <w:ind w:left="2268" w:hanging="567"/>
        <w:rPr>
          <w:rFonts w:eastAsia="MS Mincho"/>
        </w:rPr>
      </w:pPr>
      <w:r>
        <w:rPr>
          <w:rFonts w:eastAsia="MS Mincho"/>
        </w:rPr>
        <w:t>(b)</w:t>
      </w:r>
      <w:r>
        <w:rPr>
          <w:rFonts w:eastAsia="MS Mincho"/>
        </w:rPr>
        <w:tab/>
      </w:r>
      <w:r w:rsidR="00BE59FB">
        <w:rPr>
          <w:rFonts w:eastAsia="MS Mincho"/>
        </w:rPr>
        <w:t xml:space="preserve">each informal working group should submit a report, in writing, not later than </w:t>
      </w:r>
      <w:r w:rsidR="005014A3">
        <w:rPr>
          <w:rFonts w:eastAsia="MS Mincho"/>
        </w:rPr>
        <w:t xml:space="preserve">two </w:t>
      </w:r>
      <w:r w:rsidR="00BE59FB">
        <w:rPr>
          <w:rFonts w:eastAsia="MS Mincho"/>
        </w:rPr>
        <w:t>week(s) prior to the Sub-Committee session. The report should contain information about the progress achieved since the previous session (e.g. issues solved, matters still under consideration) as well as the agenda for the next meeting of the informal working group.</w:t>
      </w:r>
    </w:p>
    <w:p w14:paraId="389D7C1C" w14:textId="69A0DC07" w:rsidR="00BE59FB" w:rsidRDefault="00BE59FB" w:rsidP="00A02F4C">
      <w:pPr>
        <w:pStyle w:val="SingleTxtG"/>
        <w:ind w:left="2268" w:hanging="567"/>
        <w:rPr>
          <w:rFonts w:eastAsia="MS Mincho"/>
        </w:rPr>
      </w:pPr>
      <w:r>
        <w:rPr>
          <w:rFonts w:eastAsia="MS Mincho"/>
        </w:rPr>
        <w:t>(c)</w:t>
      </w:r>
      <w:r>
        <w:rPr>
          <w:rFonts w:eastAsia="MS Mincho"/>
        </w:rPr>
        <w:tab/>
        <w:t xml:space="preserve">when a meeting of the informal working group has been scheduled during the Sub-Committee session, the chairperson of the group will provide a summary of the outcome of the meeting and the follow-up actions. The report should be submitted preferably as an </w:t>
      </w:r>
      <w:r w:rsidR="006F0395">
        <w:rPr>
          <w:rFonts w:eastAsia="MS Mincho"/>
        </w:rPr>
        <w:t>informal</w:t>
      </w:r>
      <w:r>
        <w:rPr>
          <w:rFonts w:eastAsia="MS Mincho"/>
        </w:rPr>
        <w:t xml:space="preserve"> document. If this is not possible due to time constraints</w:t>
      </w:r>
      <w:r w:rsidR="00E137B8">
        <w:rPr>
          <w:rFonts w:eastAsia="MS Mincho"/>
        </w:rPr>
        <w:t xml:space="preserve">, the summary provided to the Sub-Committee orally during the plenary session should be made available to the secretariat in writing (e.g. by email or in handwriting) before the end of the day. </w:t>
      </w:r>
    </w:p>
    <w:p w14:paraId="0CAF16F7" w14:textId="679C7FD7" w:rsidR="00E137B8" w:rsidRDefault="00E137B8" w:rsidP="00A02F4C">
      <w:pPr>
        <w:pStyle w:val="SingleTxtG"/>
        <w:ind w:left="2268" w:hanging="567"/>
        <w:rPr>
          <w:rFonts w:eastAsia="MS Mincho"/>
        </w:rPr>
      </w:pPr>
      <w:r>
        <w:rPr>
          <w:rFonts w:eastAsia="MS Mincho"/>
        </w:rPr>
        <w:t>(d)</w:t>
      </w:r>
      <w:r>
        <w:rPr>
          <w:rFonts w:eastAsia="MS Mincho"/>
        </w:rPr>
        <w:tab/>
        <w:t xml:space="preserve">exceptionally, and with the agreement of the Chairperson and the secretariat, a group may hold a meeting in plenary time, where </w:t>
      </w:r>
      <w:r w:rsidR="006F0395">
        <w:rPr>
          <w:rFonts w:eastAsia="MS Mincho"/>
        </w:rPr>
        <w:t xml:space="preserve">this </w:t>
      </w:r>
      <w:r>
        <w:rPr>
          <w:rFonts w:eastAsia="MS Mincho"/>
        </w:rPr>
        <w:t xml:space="preserve">is necessary to make progress on issues likely to be of interest to the majority of Sub-Committee </w:t>
      </w:r>
      <w:r w:rsidR="00497EF1">
        <w:rPr>
          <w:rFonts w:eastAsia="MS Mincho"/>
        </w:rPr>
        <w:t xml:space="preserve">members </w:t>
      </w:r>
      <w:r>
        <w:rPr>
          <w:rFonts w:eastAsia="MS Mincho"/>
        </w:rPr>
        <w:t>and where a wider informal discussion would be helpful to secure consensus. This would have to be subject to time being available without disrupting formal Sub-Committee business.</w:t>
      </w:r>
    </w:p>
    <w:p w14:paraId="3410BE93" w14:textId="77777777" w:rsidR="00E137B8" w:rsidRDefault="00E137B8" w:rsidP="006B6238">
      <w:pPr>
        <w:pStyle w:val="SingleTxtG"/>
        <w:rPr>
          <w:rFonts w:eastAsia="MS Mincho"/>
        </w:rPr>
      </w:pPr>
      <w:r>
        <w:rPr>
          <w:rFonts w:eastAsia="MS Mincho"/>
        </w:rPr>
        <w:t>9.</w:t>
      </w:r>
      <w:r>
        <w:rPr>
          <w:rFonts w:eastAsia="MS Mincho"/>
        </w:rPr>
        <w:tab/>
        <w:t>The Sub-Committee is invited to consider the proposed arrangements in (a) to (d) above.</w:t>
      </w:r>
    </w:p>
    <w:p w14:paraId="016BD3C4" w14:textId="77777777" w:rsidR="00E137B8" w:rsidRPr="00E137B8" w:rsidRDefault="00E137B8" w:rsidP="00E137B8">
      <w:pPr>
        <w:pStyle w:val="SingleTxtG"/>
        <w:spacing w:before="240" w:after="0"/>
        <w:jc w:val="center"/>
        <w:rPr>
          <w:rFonts w:eastAsia="MS Mincho"/>
          <w:u w:val="single"/>
        </w:rPr>
      </w:pPr>
      <w:r>
        <w:rPr>
          <w:rFonts w:eastAsia="MS Mincho"/>
          <w:u w:val="single"/>
        </w:rPr>
        <w:tab/>
      </w:r>
      <w:r>
        <w:rPr>
          <w:rFonts w:eastAsia="MS Mincho"/>
          <w:u w:val="single"/>
        </w:rPr>
        <w:tab/>
      </w:r>
      <w:r>
        <w:rPr>
          <w:rFonts w:eastAsia="MS Mincho"/>
          <w:u w:val="single"/>
        </w:rPr>
        <w:tab/>
      </w:r>
    </w:p>
    <w:p w14:paraId="20A7A8D2" w14:textId="77777777" w:rsidR="00E137B8" w:rsidRDefault="00E137B8" w:rsidP="00A02F4C">
      <w:pPr>
        <w:pStyle w:val="SingleTxtG"/>
        <w:ind w:left="2268" w:hanging="567"/>
        <w:rPr>
          <w:rFonts w:eastAsia="MS Mincho"/>
        </w:rPr>
      </w:pPr>
    </w:p>
    <w:p w14:paraId="5B0456FB" w14:textId="77777777" w:rsidR="00CF22A3" w:rsidRDefault="00CF22A3" w:rsidP="00E22E6E">
      <w:pPr>
        <w:pStyle w:val="SingleTxtG"/>
        <w:rPr>
          <w:rFonts w:eastAsia="MS Mincho"/>
        </w:rPr>
      </w:pPr>
    </w:p>
    <w:p w14:paraId="5089C698" w14:textId="77777777" w:rsidR="00CF22A3" w:rsidRDefault="00CF22A3" w:rsidP="00CF22A3">
      <w:pPr>
        <w:pStyle w:val="SingleTxtG"/>
        <w:rPr>
          <w:rFonts w:eastAsia="MS Mincho"/>
        </w:rPr>
      </w:pPr>
    </w:p>
    <w:p w14:paraId="50948A7D" w14:textId="77777777" w:rsidR="00CF22A3" w:rsidRDefault="00CF22A3" w:rsidP="00E22E6E">
      <w:pPr>
        <w:pStyle w:val="SingleTxtG"/>
        <w:rPr>
          <w:rFonts w:eastAsia="MS Mincho"/>
        </w:rPr>
      </w:pPr>
    </w:p>
    <w:p w14:paraId="6D91AC02" w14:textId="77777777" w:rsidR="0053092F" w:rsidRDefault="0053092F" w:rsidP="00E22E6E">
      <w:pPr>
        <w:pStyle w:val="SingleTxtG"/>
        <w:rPr>
          <w:rFonts w:eastAsia="MS Mincho"/>
        </w:rPr>
      </w:pPr>
    </w:p>
    <w:p w14:paraId="0880B753" w14:textId="77777777" w:rsidR="0053092F" w:rsidRDefault="0053092F" w:rsidP="00E22E6E">
      <w:pPr>
        <w:pStyle w:val="SingleTxtG"/>
        <w:rPr>
          <w:rFonts w:eastAsia="MS Mincho"/>
        </w:rPr>
      </w:pPr>
    </w:p>
    <w:sectPr w:rsidR="0053092F" w:rsidSect="0099001C">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38D16F" w16cid:durableId="1DBD3E5E"/>
  <w16cid:commentId w16cid:paraId="5AC77899" w16cid:durableId="1DBD3C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3FF9B" w14:textId="77777777" w:rsidR="00CD7685" w:rsidRDefault="00CD7685"/>
  </w:endnote>
  <w:endnote w:type="continuationSeparator" w:id="0">
    <w:p w14:paraId="7CD99094" w14:textId="77777777" w:rsidR="00CD7685" w:rsidRDefault="00CD7685"/>
  </w:endnote>
  <w:endnote w:type="continuationNotice" w:id="1">
    <w:p w14:paraId="45F1A308" w14:textId="77777777" w:rsidR="00CD7685" w:rsidRDefault="00CD76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41E8C" w14:textId="1C5B1B66"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78420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BF98B" w14:textId="77777777"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F124A0">
      <w:rPr>
        <w:b/>
        <w:noProof/>
        <w:sz w:val="18"/>
      </w:rPr>
      <w:t>3</w:t>
    </w:r>
    <w:r w:rsidRPr="009900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AD4A3" w14:textId="77777777" w:rsidR="006A7757" w:rsidRPr="0099001C" w:rsidRDefault="006F0395">
    <w:r>
      <w:rPr>
        <w:noProof/>
        <w:lang w:val="en-US"/>
      </w:rPr>
      <w:drawing>
        <wp:anchor distT="0" distB="0" distL="114300" distR="114300" simplePos="0" relativeHeight="251657728" behindDoc="0" locked="1" layoutInCell="1" allowOverlap="1" wp14:anchorId="7F213053" wp14:editId="3747DEDB">
          <wp:simplePos x="0" y="0"/>
          <wp:positionH relativeFrom="column">
            <wp:posOffset>5148580</wp:posOffset>
          </wp:positionH>
          <wp:positionV relativeFrom="paragraph">
            <wp:posOffset>-79375</wp:posOffset>
          </wp:positionV>
          <wp:extent cx="930275" cy="230505"/>
          <wp:effectExtent l="0" t="0" r="0"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2E0D9" w14:textId="77777777" w:rsidR="00CD7685" w:rsidRPr="000B175B" w:rsidRDefault="00CD7685" w:rsidP="000B175B">
      <w:pPr>
        <w:tabs>
          <w:tab w:val="right" w:pos="2155"/>
        </w:tabs>
        <w:spacing w:after="80"/>
        <w:ind w:left="680"/>
        <w:rPr>
          <w:u w:val="single"/>
        </w:rPr>
      </w:pPr>
      <w:r>
        <w:rPr>
          <w:u w:val="single"/>
        </w:rPr>
        <w:tab/>
      </w:r>
    </w:p>
  </w:footnote>
  <w:footnote w:type="continuationSeparator" w:id="0">
    <w:p w14:paraId="2CC90F0B" w14:textId="77777777" w:rsidR="00CD7685" w:rsidRPr="00FC68B7" w:rsidRDefault="00CD7685" w:rsidP="00FC68B7">
      <w:pPr>
        <w:tabs>
          <w:tab w:val="left" w:pos="2155"/>
        </w:tabs>
        <w:spacing w:after="80"/>
        <w:ind w:left="680"/>
        <w:rPr>
          <w:u w:val="single"/>
        </w:rPr>
      </w:pPr>
      <w:r>
        <w:rPr>
          <w:u w:val="single"/>
        </w:rPr>
        <w:tab/>
      </w:r>
    </w:p>
  </w:footnote>
  <w:footnote w:type="continuationNotice" w:id="1">
    <w:p w14:paraId="5EE4E850" w14:textId="77777777" w:rsidR="00CD7685" w:rsidRDefault="00CD76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7FFE2" w14:textId="6942B6FD" w:rsidR="006A7757" w:rsidRPr="0099001C" w:rsidRDefault="006A7757" w:rsidP="00366CA7">
    <w:pPr>
      <w:pStyle w:val="Header"/>
    </w:pPr>
    <w:r w:rsidRPr="00CC65B7">
      <w:t>UN/SCEGHS/</w:t>
    </w:r>
    <w:r w:rsidR="00370421">
      <w:t>34</w:t>
    </w:r>
    <w:r w:rsidRPr="00CC65B7">
      <w:t>/INF.</w:t>
    </w:r>
    <w:r w:rsidR="00784208">
      <w:t>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E8B9" w14:textId="77777777" w:rsidR="006A7757" w:rsidRPr="0099001C" w:rsidRDefault="006A7757" w:rsidP="0099001C">
    <w:pPr>
      <w:pStyle w:val="Header"/>
      <w:jc w:val="right"/>
    </w:pPr>
    <w:r>
      <w:t>UN/SCEGHS/</w:t>
    </w:r>
    <w:r w:rsidR="00CC65B7">
      <w:t>32</w:t>
    </w:r>
    <w:r>
      <w:t>/INF.</w:t>
    </w:r>
    <w:r w:rsidR="00CC65B7">
      <w:t>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33B3D"/>
    <w:rsid w:val="00050F6B"/>
    <w:rsid w:val="00072C8C"/>
    <w:rsid w:val="00081647"/>
    <w:rsid w:val="000931C0"/>
    <w:rsid w:val="000B175B"/>
    <w:rsid w:val="000B3A0F"/>
    <w:rsid w:val="000C6544"/>
    <w:rsid w:val="000D10AA"/>
    <w:rsid w:val="000E0415"/>
    <w:rsid w:val="001220B8"/>
    <w:rsid w:val="00156F3C"/>
    <w:rsid w:val="00162BF7"/>
    <w:rsid w:val="001748C5"/>
    <w:rsid w:val="00190AEA"/>
    <w:rsid w:val="001B4B04"/>
    <w:rsid w:val="001C6663"/>
    <w:rsid w:val="001C7895"/>
    <w:rsid w:val="001D26DF"/>
    <w:rsid w:val="001E47FD"/>
    <w:rsid w:val="002115B7"/>
    <w:rsid w:val="00211E0B"/>
    <w:rsid w:val="002405A7"/>
    <w:rsid w:val="0025322D"/>
    <w:rsid w:val="00257E45"/>
    <w:rsid w:val="00262488"/>
    <w:rsid w:val="002D59D3"/>
    <w:rsid w:val="003107FA"/>
    <w:rsid w:val="003127A2"/>
    <w:rsid w:val="003229D8"/>
    <w:rsid w:val="0032550E"/>
    <w:rsid w:val="00335925"/>
    <w:rsid w:val="0033745A"/>
    <w:rsid w:val="00337A81"/>
    <w:rsid w:val="003642AF"/>
    <w:rsid w:val="00366CA7"/>
    <w:rsid w:val="0037026E"/>
    <w:rsid w:val="00370421"/>
    <w:rsid w:val="0039277A"/>
    <w:rsid w:val="003972E0"/>
    <w:rsid w:val="003B3A99"/>
    <w:rsid w:val="003C2CC4"/>
    <w:rsid w:val="003C3936"/>
    <w:rsid w:val="003D4B23"/>
    <w:rsid w:val="003F1ED3"/>
    <w:rsid w:val="00421612"/>
    <w:rsid w:val="004325CB"/>
    <w:rsid w:val="00446DE4"/>
    <w:rsid w:val="00460DD9"/>
    <w:rsid w:val="00467F71"/>
    <w:rsid w:val="00497EF1"/>
    <w:rsid w:val="004A41CA"/>
    <w:rsid w:val="004E7ED6"/>
    <w:rsid w:val="005014A3"/>
    <w:rsid w:val="00503228"/>
    <w:rsid w:val="00505384"/>
    <w:rsid w:val="0053092F"/>
    <w:rsid w:val="00532EF8"/>
    <w:rsid w:val="00533DBE"/>
    <w:rsid w:val="005420F2"/>
    <w:rsid w:val="005B2C89"/>
    <w:rsid w:val="005B3DB3"/>
    <w:rsid w:val="005E22FE"/>
    <w:rsid w:val="0060668D"/>
    <w:rsid w:val="00611FC4"/>
    <w:rsid w:val="006176FB"/>
    <w:rsid w:val="00627ED0"/>
    <w:rsid w:val="00640B26"/>
    <w:rsid w:val="00665595"/>
    <w:rsid w:val="00691F20"/>
    <w:rsid w:val="00693543"/>
    <w:rsid w:val="006A7392"/>
    <w:rsid w:val="006A7757"/>
    <w:rsid w:val="006B6238"/>
    <w:rsid w:val="006E564B"/>
    <w:rsid w:val="006F0395"/>
    <w:rsid w:val="0071349F"/>
    <w:rsid w:val="00720DEB"/>
    <w:rsid w:val="0072632A"/>
    <w:rsid w:val="00733AAE"/>
    <w:rsid w:val="00781A60"/>
    <w:rsid w:val="00784208"/>
    <w:rsid w:val="007A0B22"/>
    <w:rsid w:val="007B6BA5"/>
    <w:rsid w:val="007C3390"/>
    <w:rsid w:val="007C4F4B"/>
    <w:rsid w:val="007F0B83"/>
    <w:rsid w:val="007F48EF"/>
    <w:rsid w:val="007F4FCD"/>
    <w:rsid w:val="007F6611"/>
    <w:rsid w:val="0081732C"/>
    <w:rsid w:val="008175E9"/>
    <w:rsid w:val="008242D7"/>
    <w:rsid w:val="00826F10"/>
    <w:rsid w:val="00827E05"/>
    <w:rsid w:val="008311A3"/>
    <w:rsid w:val="00836AF7"/>
    <w:rsid w:val="00871FD5"/>
    <w:rsid w:val="008979B1"/>
    <w:rsid w:val="008A6B25"/>
    <w:rsid w:val="008A6C4F"/>
    <w:rsid w:val="008B6E26"/>
    <w:rsid w:val="008E0E46"/>
    <w:rsid w:val="008E4C4C"/>
    <w:rsid w:val="00907AD2"/>
    <w:rsid w:val="00911047"/>
    <w:rsid w:val="009302FB"/>
    <w:rsid w:val="00963CBA"/>
    <w:rsid w:val="009650E6"/>
    <w:rsid w:val="00965932"/>
    <w:rsid w:val="00974A8D"/>
    <w:rsid w:val="0099001C"/>
    <w:rsid w:val="00991261"/>
    <w:rsid w:val="009C127C"/>
    <w:rsid w:val="009F3A17"/>
    <w:rsid w:val="009F3D53"/>
    <w:rsid w:val="00A02F4C"/>
    <w:rsid w:val="00A1427D"/>
    <w:rsid w:val="00A2158F"/>
    <w:rsid w:val="00A37265"/>
    <w:rsid w:val="00A426FB"/>
    <w:rsid w:val="00A55FB2"/>
    <w:rsid w:val="00A72F22"/>
    <w:rsid w:val="00A748A6"/>
    <w:rsid w:val="00A80459"/>
    <w:rsid w:val="00A805EB"/>
    <w:rsid w:val="00A8760B"/>
    <w:rsid w:val="00A879A4"/>
    <w:rsid w:val="00AA496B"/>
    <w:rsid w:val="00AD67E3"/>
    <w:rsid w:val="00AE71F3"/>
    <w:rsid w:val="00B30179"/>
    <w:rsid w:val="00B30E8F"/>
    <w:rsid w:val="00B33EC0"/>
    <w:rsid w:val="00B76F60"/>
    <w:rsid w:val="00B80CCF"/>
    <w:rsid w:val="00B81E12"/>
    <w:rsid w:val="00B97D28"/>
    <w:rsid w:val="00BC74E9"/>
    <w:rsid w:val="00BD2146"/>
    <w:rsid w:val="00BE4F74"/>
    <w:rsid w:val="00BE59FB"/>
    <w:rsid w:val="00BE618E"/>
    <w:rsid w:val="00C17699"/>
    <w:rsid w:val="00C1778D"/>
    <w:rsid w:val="00C31445"/>
    <w:rsid w:val="00C41A28"/>
    <w:rsid w:val="00C463DD"/>
    <w:rsid w:val="00C6210B"/>
    <w:rsid w:val="00C745C3"/>
    <w:rsid w:val="00C945EB"/>
    <w:rsid w:val="00CC65B7"/>
    <w:rsid w:val="00CD7685"/>
    <w:rsid w:val="00CE4A8F"/>
    <w:rsid w:val="00CF22A3"/>
    <w:rsid w:val="00D055EB"/>
    <w:rsid w:val="00D2031B"/>
    <w:rsid w:val="00D22C96"/>
    <w:rsid w:val="00D25FE2"/>
    <w:rsid w:val="00D317BB"/>
    <w:rsid w:val="00D35D8F"/>
    <w:rsid w:val="00D43252"/>
    <w:rsid w:val="00D63881"/>
    <w:rsid w:val="00D7387D"/>
    <w:rsid w:val="00D978C6"/>
    <w:rsid w:val="00DA67AD"/>
    <w:rsid w:val="00DB5D0F"/>
    <w:rsid w:val="00DC3242"/>
    <w:rsid w:val="00DE7F20"/>
    <w:rsid w:val="00DF12F7"/>
    <w:rsid w:val="00DF2C64"/>
    <w:rsid w:val="00E02C81"/>
    <w:rsid w:val="00E04A75"/>
    <w:rsid w:val="00E06EAB"/>
    <w:rsid w:val="00E130AB"/>
    <w:rsid w:val="00E137B8"/>
    <w:rsid w:val="00E22E6E"/>
    <w:rsid w:val="00E31C87"/>
    <w:rsid w:val="00E677EC"/>
    <w:rsid w:val="00E70DF5"/>
    <w:rsid w:val="00E7260F"/>
    <w:rsid w:val="00E80F5F"/>
    <w:rsid w:val="00E87921"/>
    <w:rsid w:val="00E96630"/>
    <w:rsid w:val="00EA264E"/>
    <w:rsid w:val="00EA3A41"/>
    <w:rsid w:val="00ED1541"/>
    <w:rsid w:val="00ED71D9"/>
    <w:rsid w:val="00ED7A2A"/>
    <w:rsid w:val="00EF1D7F"/>
    <w:rsid w:val="00EF358F"/>
    <w:rsid w:val="00F02CCD"/>
    <w:rsid w:val="00F124A0"/>
    <w:rsid w:val="00F47732"/>
    <w:rsid w:val="00F53EDA"/>
    <w:rsid w:val="00F73015"/>
    <w:rsid w:val="00F7753D"/>
    <w:rsid w:val="00F85F34"/>
    <w:rsid w:val="00FA06F7"/>
    <w:rsid w:val="00FB171A"/>
    <w:rsid w:val="00FC09B8"/>
    <w:rsid w:val="00FC68B7"/>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4E7D61"/>
  <w15:docId w15:val="{7BC80F41-D825-4C56-9B9D-08B1DD4C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80C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80CCF"/>
    <w:rPr>
      <w:rFonts w:ascii="Segoe UI" w:hAnsi="Segoe UI" w:cs="Segoe UI"/>
      <w:sz w:val="18"/>
      <w:szCs w:val="18"/>
      <w:lang w:eastAsia="en-US"/>
    </w:rPr>
  </w:style>
  <w:style w:type="character" w:styleId="CommentReference">
    <w:name w:val="annotation reference"/>
    <w:basedOn w:val="DefaultParagraphFont"/>
    <w:semiHidden/>
    <w:unhideWhenUsed/>
    <w:rsid w:val="00A2158F"/>
    <w:rPr>
      <w:sz w:val="16"/>
      <w:szCs w:val="16"/>
    </w:rPr>
  </w:style>
  <w:style w:type="paragraph" w:styleId="CommentText">
    <w:name w:val="annotation text"/>
    <w:basedOn w:val="Normal"/>
    <w:link w:val="CommentTextChar"/>
    <w:semiHidden/>
    <w:unhideWhenUsed/>
    <w:rsid w:val="00A2158F"/>
    <w:pPr>
      <w:spacing w:line="240" w:lineRule="auto"/>
    </w:pPr>
  </w:style>
  <w:style w:type="character" w:customStyle="1" w:styleId="CommentTextChar">
    <w:name w:val="Comment Text Char"/>
    <w:basedOn w:val="DefaultParagraphFont"/>
    <w:link w:val="CommentText"/>
    <w:semiHidden/>
    <w:rsid w:val="00A2158F"/>
    <w:rPr>
      <w:lang w:eastAsia="en-US"/>
    </w:rPr>
  </w:style>
  <w:style w:type="paragraph" w:styleId="CommentSubject">
    <w:name w:val="annotation subject"/>
    <w:basedOn w:val="CommentText"/>
    <w:next w:val="CommentText"/>
    <w:link w:val="CommentSubjectChar"/>
    <w:semiHidden/>
    <w:unhideWhenUsed/>
    <w:rsid w:val="00A2158F"/>
    <w:rPr>
      <w:b/>
      <w:bCs/>
    </w:rPr>
  </w:style>
  <w:style w:type="character" w:customStyle="1" w:styleId="CommentSubjectChar">
    <w:name w:val="Comment Subject Char"/>
    <w:basedOn w:val="CommentTextChar"/>
    <w:link w:val="CommentSubject"/>
    <w:semiHidden/>
    <w:rsid w:val="00A2158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1BE8D-5D93-407A-AD4D-194ED8725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20</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 Garcia-Couto</cp:lastModifiedBy>
  <cp:revision>4</cp:revision>
  <cp:lastPrinted>2017-11-21T14:22:00Z</cp:lastPrinted>
  <dcterms:created xsi:type="dcterms:W3CDTF">2017-11-23T09:46:00Z</dcterms:created>
  <dcterms:modified xsi:type="dcterms:W3CDTF">2017-11-27T08:22:00Z</dcterms:modified>
</cp:coreProperties>
</file>