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1748C" w:rsidTr="000216CC">
        <w:trPr>
          <w:trHeight w:val="851"/>
        </w:trPr>
        <w:tc>
          <w:tcPr>
            <w:tcW w:w="1259" w:type="dxa"/>
            <w:tcBorders>
              <w:top w:val="nil"/>
              <w:left w:val="nil"/>
              <w:bottom w:val="single" w:sz="4" w:space="0" w:color="auto"/>
              <w:right w:val="nil"/>
            </w:tcBorders>
            <w:shd w:val="clear" w:color="auto" w:fill="auto"/>
          </w:tcPr>
          <w:p w:rsidR="00446DE4" w:rsidRPr="0001748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01748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01748C" w:rsidRDefault="00FC215C" w:rsidP="00FC215C">
            <w:pPr>
              <w:jc w:val="right"/>
              <w:rPr>
                <w:b/>
                <w:sz w:val="40"/>
                <w:szCs w:val="40"/>
              </w:rPr>
            </w:pPr>
            <w:r w:rsidRPr="0001748C">
              <w:rPr>
                <w:b/>
                <w:sz w:val="40"/>
                <w:szCs w:val="40"/>
              </w:rPr>
              <w:t>UN/SCEGHS/</w:t>
            </w:r>
            <w:r w:rsidR="00F64C95" w:rsidRPr="0001748C">
              <w:rPr>
                <w:b/>
                <w:sz w:val="40"/>
                <w:szCs w:val="40"/>
              </w:rPr>
              <w:t>3</w:t>
            </w:r>
            <w:r w:rsidR="000E23BE" w:rsidRPr="0001748C">
              <w:rPr>
                <w:b/>
                <w:sz w:val="40"/>
                <w:szCs w:val="40"/>
              </w:rPr>
              <w:t>4</w:t>
            </w:r>
            <w:r w:rsidRPr="0001748C">
              <w:rPr>
                <w:b/>
                <w:sz w:val="40"/>
                <w:szCs w:val="40"/>
              </w:rPr>
              <w:t>/INF.</w:t>
            </w:r>
            <w:r w:rsidR="00055A02">
              <w:rPr>
                <w:b/>
                <w:sz w:val="40"/>
                <w:szCs w:val="40"/>
              </w:rPr>
              <w:t>14</w:t>
            </w:r>
          </w:p>
          <w:p w:rsidR="000216CC" w:rsidRPr="0001748C" w:rsidRDefault="000216CC" w:rsidP="00497711">
            <w:pPr>
              <w:jc w:val="right"/>
              <w:rPr>
                <w:highlight w:val="yellow"/>
              </w:rPr>
            </w:pPr>
          </w:p>
        </w:tc>
      </w:tr>
    </w:tbl>
    <w:p w:rsidR="000019B8" w:rsidRPr="0001748C" w:rsidRDefault="00006D38" w:rsidP="000019B8">
      <w:pPr>
        <w:rPr>
          <w:vanish/>
        </w:rPr>
      </w:pPr>
      <w:r w:rsidRPr="0001748C">
        <w:rPr>
          <w:vanish/>
        </w:rPr>
        <w:t>/</w:t>
      </w:r>
    </w:p>
    <w:tbl>
      <w:tblPr>
        <w:tblW w:w="9645" w:type="dxa"/>
        <w:tblInd w:w="108" w:type="dxa"/>
        <w:tblLayout w:type="fixed"/>
        <w:tblLook w:val="04A0" w:firstRow="1" w:lastRow="0" w:firstColumn="1" w:lastColumn="0" w:noHBand="0" w:noVBand="1"/>
      </w:tblPr>
      <w:tblGrid>
        <w:gridCol w:w="5387"/>
        <w:gridCol w:w="4258"/>
      </w:tblGrid>
      <w:tr w:rsidR="00645A0B" w:rsidRPr="0001748C" w:rsidTr="00165735">
        <w:tc>
          <w:tcPr>
            <w:tcW w:w="9645" w:type="dxa"/>
            <w:gridSpan w:val="2"/>
            <w:tcMar>
              <w:top w:w="142" w:type="dxa"/>
              <w:left w:w="108" w:type="dxa"/>
              <w:bottom w:w="142" w:type="dxa"/>
              <w:right w:w="108" w:type="dxa"/>
            </w:tcMar>
          </w:tcPr>
          <w:p w:rsidR="00645A0B" w:rsidRPr="0001748C" w:rsidRDefault="00645A0B" w:rsidP="00154663">
            <w:pPr>
              <w:tabs>
                <w:tab w:val="right" w:pos="9214"/>
              </w:tabs>
            </w:pPr>
            <w:r w:rsidRPr="0001748C">
              <w:rPr>
                <w:b/>
                <w:sz w:val="24"/>
                <w:szCs w:val="24"/>
              </w:rPr>
              <w:t>Committee of Experts on the Transport of Dangerous Goods</w:t>
            </w:r>
            <w:r w:rsidRPr="0001748C">
              <w:rPr>
                <w:b/>
                <w:sz w:val="24"/>
                <w:szCs w:val="24"/>
              </w:rPr>
              <w:tab/>
            </w:r>
            <w:r w:rsidRPr="0001748C">
              <w:rPr>
                <w:b/>
                <w:sz w:val="24"/>
                <w:szCs w:val="24"/>
              </w:rPr>
              <w:br/>
              <w:t>and on the Globally Harmonized System of Classification</w:t>
            </w:r>
            <w:r w:rsidRPr="0001748C">
              <w:rPr>
                <w:b/>
                <w:sz w:val="24"/>
                <w:szCs w:val="24"/>
              </w:rPr>
              <w:br/>
              <w:t>and Labelling of Chemicals</w:t>
            </w:r>
            <w:r w:rsidRPr="0001748C">
              <w:rPr>
                <w:b/>
              </w:rPr>
              <w:tab/>
            </w:r>
            <w:r w:rsidR="00055A02">
              <w:rPr>
                <w:b/>
              </w:rPr>
              <w:t>2</w:t>
            </w:r>
            <w:r w:rsidR="00154663">
              <w:rPr>
                <w:b/>
              </w:rPr>
              <w:t>4</w:t>
            </w:r>
            <w:r w:rsidR="000E23BE" w:rsidRPr="0001748C">
              <w:rPr>
                <w:b/>
              </w:rPr>
              <w:t xml:space="preserve"> </w:t>
            </w:r>
            <w:r w:rsidR="0001748C" w:rsidRPr="0001748C">
              <w:rPr>
                <w:b/>
              </w:rPr>
              <w:t xml:space="preserve">November </w:t>
            </w:r>
            <w:r w:rsidR="000E23BE" w:rsidRPr="0001748C">
              <w:rPr>
                <w:b/>
              </w:rPr>
              <w:t>2017</w:t>
            </w:r>
          </w:p>
        </w:tc>
      </w:tr>
      <w:tr w:rsidR="00FB2CDB" w:rsidRPr="0001748C" w:rsidTr="00B92989">
        <w:tc>
          <w:tcPr>
            <w:tcW w:w="5387" w:type="dxa"/>
            <w:tcMar>
              <w:top w:w="57" w:type="dxa"/>
              <w:left w:w="108" w:type="dxa"/>
              <w:bottom w:w="0" w:type="dxa"/>
              <w:right w:w="108" w:type="dxa"/>
            </w:tcMar>
            <w:vAlign w:val="center"/>
          </w:tcPr>
          <w:p w:rsidR="00FB2CDB" w:rsidRPr="0001748C" w:rsidRDefault="00FB2CDB" w:rsidP="007679D9">
            <w:pPr>
              <w:spacing w:before="120"/>
              <w:rPr>
                <w:b/>
              </w:rPr>
            </w:pPr>
            <w:r w:rsidRPr="0001748C">
              <w:rPr>
                <w:b/>
              </w:rPr>
              <w:t>Sub-Committee of Experts on the Globally Harmonized System of Classification and Labelling of Chemicals</w:t>
            </w:r>
          </w:p>
        </w:tc>
        <w:tc>
          <w:tcPr>
            <w:tcW w:w="4258" w:type="dxa"/>
            <w:tcMar>
              <w:top w:w="57" w:type="dxa"/>
              <w:left w:w="108" w:type="dxa"/>
              <w:bottom w:w="0" w:type="dxa"/>
              <w:right w:w="108" w:type="dxa"/>
            </w:tcMar>
            <w:vAlign w:val="center"/>
          </w:tcPr>
          <w:p w:rsidR="00FB2CDB" w:rsidRPr="0001748C" w:rsidRDefault="00FB2CDB" w:rsidP="00165735">
            <w:pPr>
              <w:spacing w:before="120"/>
              <w:rPr>
                <w:b/>
              </w:rPr>
            </w:pPr>
          </w:p>
        </w:tc>
      </w:tr>
      <w:tr w:rsidR="00FB2CDB" w:rsidRPr="0001748C" w:rsidTr="00B92989">
        <w:tc>
          <w:tcPr>
            <w:tcW w:w="5387" w:type="dxa"/>
            <w:tcMar>
              <w:top w:w="57" w:type="dxa"/>
              <w:left w:w="108" w:type="dxa"/>
              <w:bottom w:w="0" w:type="dxa"/>
              <w:right w:w="108" w:type="dxa"/>
            </w:tcMar>
          </w:tcPr>
          <w:p w:rsidR="00FB2CDB" w:rsidRPr="0001748C" w:rsidRDefault="00FB2CDB" w:rsidP="007679D9">
            <w:pPr>
              <w:spacing w:before="120"/>
              <w:rPr>
                <w:b/>
                <w:highlight w:val="yellow"/>
              </w:rPr>
            </w:pPr>
            <w:r w:rsidRPr="0001748C">
              <w:rPr>
                <w:b/>
              </w:rPr>
              <w:t>Thirty-fourth session</w:t>
            </w:r>
          </w:p>
        </w:tc>
        <w:tc>
          <w:tcPr>
            <w:tcW w:w="4258" w:type="dxa"/>
            <w:tcMar>
              <w:top w:w="57" w:type="dxa"/>
              <w:left w:w="108" w:type="dxa"/>
              <w:bottom w:w="0" w:type="dxa"/>
              <w:right w:w="108" w:type="dxa"/>
            </w:tcMar>
          </w:tcPr>
          <w:p w:rsidR="00FB2CDB" w:rsidRPr="0001748C" w:rsidRDefault="00FB2CDB" w:rsidP="000E23BE">
            <w:pPr>
              <w:spacing w:before="120"/>
              <w:rPr>
                <w:b/>
                <w:highlight w:val="yellow"/>
              </w:rPr>
            </w:pPr>
          </w:p>
        </w:tc>
      </w:tr>
      <w:tr w:rsidR="00FB2CDB" w:rsidRPr="0001748C" w:rsidTr="00B92989">
        <w:tc>
          <w:tcPr>
            <w:tcW w:w="5387" w:type="dxa"/>
            <w:tcMar>
              <w:top w:w="28" w:type="dxa"/>
              <w:left w:w="108" w:type="dxa"/>
              <w:bottom w:w="0" w:type="dxa"/>
              <w:right w:w="108" w:type="dxa"/>
            </w:tcMar>
          </w:tcPr>
          <w:p w:rsidR="00FB2CDB" w:rsidRPr="0001748C" w:rsidRDefault="00FB2CDB" w:rsidP="007679D9">
            <w:pPr>
              <w:jc w:val="both"/>
            </w:pPr>
            <w:r w:rsidRPr="0001748C">
              <w:t>Geneva, 6-8 December 2017</w:t>
            </w:r>
          </w:p>
          <w:p w:rsidR="00FB2CDB" w:rsidRPr="0001748C" w:rsidRDefault="00FB2CDB" w:rsidP="007679D9">
            <w:pPr>
              <w:spacing w:before="40"/>
            </w:pPr>
            <w:r w:rsidRPr="0001748C">
              <w:t>Item 2 (</w:t>
            </w:r>
            <w:r w:rsidR="00154663">
              <w:t>h</w:t>
            </w:r>
            <w:r w:rsidRPr="0001748C">
              <w:t>) of the provisional agenda</w:t>
            </w:r>
          </w:p>
          <w:p w:rsidR="00FB2CDB" w:rsidRPr="0001748C" w:rsidRDefault="00FB2CDB" w:rsidP="00154663">
            <w:pPr>
              <w:spacing w:before="40"/>
              <w:rPr>
                <w:b/>
                <w:bCs/>
              </w:rPr>
            </w:pPr>
            <w:r w:rsidRPr="0001748C">
              <w:rPr>
                <w:b/>
              </w:rPr>
              <w:t>Classification criteria and related hazard communication:</w:t>
            </w:r>
            <w:r w:rsidRPr="0001748C">
              <w:rPr>
                <w:b/>
              </w:rPr>
              <w:br/>
            </w:r>
            <w:r w:rsidR="00154663">
              <w:rPr>
                <w:b/>
                <w:bCs/>
              </w:rPr>
              <w:t>Other issues</w:t>
            </w:r>
          </w:p>
        </w:tc>
        <w:tc>
          <w:tcPr>
            <w:tcW w:w="4258" w:type="dxa"/>
            <w:tcMar>
              <w:top w:w="28" w:type="dxa"/>
              <w:left w:w="108" w:type="dxa"/>
              <w:bottom w:w="0" w:type="dxa"/>
              <w:right w:w="108" w:type="dxa"/>
            </w:tcMar>
          </w:tcPr>
          <w:p w:rsidR="00FB2CDB" w:rsidRPr="0001748C" w:rsidRDefault="00FB2CDB" w:rsidP="00FB2CDB">
            <w:pPr>
              <w:spacing w:before="40"/>
              <w:rPr>
                <w:b/>
                <w:bCs/>
              </w:rPr>
            </w:pPr>
          </w:p>
        </w:tc>
      </w:tr>
    </w:tbl>
    <w:p w:rsidR="0001748C" w:rsidRPr="0001748C" w:rsidRDefault="000E23BE" w:rsidP="0001748C">
      <w:pPr>
        <w:pStyle w:val="HChG"/>
        <w:rPr>
          <w:lang w:val="en-GB"/>
        </w:rPr>
      </w:pPr>
      <w:r w:rsidRPr="0001748C">
        <w:rPr>
          <w:lang w:val="en-GB"/>
        </w:rPr>
        <w:tab/>
      </w:r>
      <w:r w:rsidR="00055A02">
        <w:rPr>
          <w:lang w:val="en-GB"/>
        </w:rPr>
        <w:tab/>
      </w:r>
      <w:r w:rsidR="00E92537">
        <w:rPr>
          <w:lang w:val="en-GB"/>
        </w:rPr>
        <w:t>Addressing risk m</w:t>
      </w:r>
      <w:r w:rsidR="00FB2CDB">
        <w:rPr>
          <w:lang w:val="en-GB"/>
        </w:rPr>
        <w:t>anagement</w:t>
      </w:r>
      <w:r w:rsidR="00E92537">
        <w:rPr>
          <w:lang w:val="en-GB"/>
        </w:rPr>
        <w:t xml:space="preserve"> in the GHS</w:t>
      </w:r>
    </w:p>
    <w:p w:rsidR="000E23BE" w:rsidRPr="0001748C" w:rsidRDefault="000E23BE" w:rsidP="0001748C">
      <w:pPr>
        <w:pStyle w:val="H1G"/>
      </w:pPr>
      <w:r w:rsidRPr="0001748C">
        <w:tab/>
      </w:r>
      <w:r w:rsidRPr="0001748C">
        <w:tab/>
        <w:t xml:space="preserve">Transmitted by </w:t>
      </w:r>
      <w:r w:rsidR="00FB2CDB">
        <w:t>the expert from Australia</w:t>
      </w:r>
    </w:p>
    <w:p w:rsidR="00E92537" w:rsidRDefault="0001748C" w:rsidP="00FB2CDB">
      <w:pPr>
        <w:pStyle w:val="HChG"/>
        <w:rPr>
          <w:rStyle w:val="H1GChar"/>
          <w:b/>
          <w:lang w:val="en-AU"/>
        </w:rPr>
      </w:pPr>
      <w:r w:rsidRPr="0001748C">
        <w:rPr>
          <w:rStyle w:val="H1GChar"/>
          <w:b/>
        </w:rPr>
        <w:tab/>
      </w:r>
      <w:r w:rsidRPr="0001748C">
        <w:rPr>
          <w:rStyle w:val="H1GChar"/>
          <w:b/>
        </w:rPr>
        <w:tab/>
      </w:r>
      <w:r w:rsidR="00E92537" w:rsidRPr="00E92537">
        <w:rPr>
          <w:rStyle w:val="H1GChar"/>
          <w:b/>
          <w:sz w:val="28"/>
          <w:lang w:val="en-AU"/>
        </w:rPr>
        <w:t>Introduction</w:t>
      </w:r>
    </w:p>
    <w:p w:rsidR="00E92537" w:rsidRPr="00154663" w:rsidRDefault="00154663" w:rsidP="00154663">
      <w:pPr>
        <w:pStyle w:val="SingleTxtG"/>
      </w:pPr>
      <w:r>
        <w:rPr>
          <w:lang w:val="fr-CH"/>
        </w:rPr>
        <w:t>1.</w:t>
      </w:r>
      <w:r>
        <w:rPr>
          <w:lang w:val="fr-CH"/>
        </w:rPr>
        <w:tab/>
      </w:r>
      <w:r w:rsidR="004425EE" w:rsidRPr="00154663">
        <w:t>The report of</w:t>
      </w:r>
      <w:r w:rsidR="00E92537" w:rsidRPr="00154663">
        <w:t xml:space="preserve"> the thirty-third session of the Sub-Committee</w:t>
      </w:r>
      <w:r w:rsidR="004425EE" w:rsidRPr="00154663">
        <w:t xml:space="preserve"> (ST/SG/AC.10/C.4/66)</w:t>
      </w:r>
      <w:r w:rsidR="00E92537" w:rsidRPr="00154663">
        <w:t xml:space="preserve"> </w:t>
      </w:r>
      <w:r w:rsidR="004425EE" w:rsidRPr="00154663">
        <w:t xml:space="preserve">notes the concerns of one expert about </w:t>
      </w:r>
      <w:r w:rsidR="00E92537" w:rsidRPr="00154663">
        <w:t xml:space="preserve">the introduction of risk assessment considerations into the </w:t>
      </w:r>
      <w:r w:rsidR="00BE767E" w:rsidRPr="00154663">
        <w:t>Globally Harmonized System of Classification and Labelling of Chemicals (</w:t>
      </w:r>
      <w:r w:rsidR="00E92537" w:rsidRPr="00154663">
        <w:t>GHS</w:t>
      </w:r>
      <w:r w:rsidR="00BE767E" w:rsidRPr="00154663">
        <w:t>)</w:t>
      </w:r>
      <w:r w:rsidR="00E92537" w:rsidRPr="00154663">
        <w:t xml:space="preserve"> </w:t>
      </w:r>
      <w:r w:rsidR="004425EE" w:rsidRPr="00154663">
        <w:t xml:space="preserve">and that </w:t>
      </w:r>
      <w:r w:rsidR="00E92537" w:rsidRPr="00154663">
        <w:t xml:space="preserve">further discussions </w:t>
      </w:r>
      <w:r w:rsidR="007428A1" w:rsidRPr="00154663">
        <w:t>in regard to addressing risk management in the GHS</w:t>
      </w:r>
      <w:r w:rsidR="004425EE" w:rsidRPr="00154663">
        <w:t xml:space="preserve"> would be welcomed</w:t>
      </w:r>
      <w:r w:rsidR="0073292B" w:rsidRPr="00154663">
        <w:t>.</w:t>
      </w:r>
      <w:r w:rsidR="007428A1" w:rsidRPr="00154663">
        <w:t xml:space="preserve"> This paper provides information on relevant matters for </w:t>
      </w:r>
      <w:r w:rsidR="00AD7D43" w:rsidRPr="00154663">
        <w:t>consideration</w:t>
      </w:r>
      <w:r w:rsidR="007428A1" w:rsidRPr="00154663">
        <w:t xml:space="preserve"> by the Sub-Committee.  </w:t>
      </w:r>
      <w:r w:rsidR="00E92537" w:rsidRPr="00154663">
        <w:t xml:space="preserve"> </w:t>
      </w:r>
    </w:p>
    <w:p w:rsidR="00574716" w:rsidRDefault="00574716" w:rsidP="00574716">
      <w:pPr>
        <w:pStyle w:val="HChG"/>
        <w:ind w:firstLine="0"/>
        <w:rPr>
          <w:lang w:val="en-AU"/>
        </w:rPr>
      </w:pPr>
      <w:r>
        <w:rPr>
          <w:lang w:val="en-AU"/>
        </w:rPr>
        <w:t>Background</w:t>
      </w:r>
    </w:p>
    <w:p w:rsidR="00E51E6F" w:rsidRPr="00154663" w:rsidRDefault="00154663" w:rsidP="00154663">
      <w:pPr>
        <w:pStyle w:val="SingleTxtG"/>
      </w:pPr>
      <w:r>
        <w:rPr>
          <w:lang w:val="fr-CH"/>
        </w:rPr>
        <w:t>2.</w:t>
      </w:r>
      <w:r>
        <w:rPr>
          <w:lang w:val="fr-CH"/>
        </w:rPr>
        <w:tab/>
      </w:r>
      <w:r w:rsidR="00E51E6F" w:rsidRPr="00154663">
        <w:t xml:space="preserve">The </w:t>
      </w:r>
      <w:r w:rsidR="00247BC4" w:rsidRPr="00154663">
        <w:t xml:space="preserve">purpose of the </w:t>
      </w:r>
      <w:r w:rsidR="00E51E6F" w:rsidRPr="00154663">
        <w:t xml:space="preserve">GHS is </w:t>
      </w:r>
      <w:r w:rsidR="00247BC4" w:rsidRPr="00154663">
        <w:t xml:space="preserve">to achieve </w:t>
      </w:r>
      <w:r w:rsidR="00764CB1" w:rsidRPr="00154663">
        <w:t>international harmoni</w:t>
      </w:r>
      <w:r w:rsidR="00247BC4" w:rsidRPr="00154663">
        <w:t>zation of</w:t>
      </w:r>
      <w:r w:rsidR="00764CB1" w:rsidRPr="00154663">
        <w:t xml:space="preserve"> the approach to the classification and labelling of chemicals</w:t>
      </w:r>
      <w:r w:rsidR="00247BC4" w:rsidRPr="00154663">
        <w:t>,</w:t>
      </w:r>
      <w:r w:rsidR="00764CB1" w:rsidRPr="00154663">
        <w:t xml:space="preserve"> to support national program</w:t>
      </w:r>
      <w:r w:rsidR="00247BC4" w:rsidRPr="00154663">
        <w:t>s</w:t>
      </w:r>
      <w:r w:rsidR="00764CB1" w:rsidRPr="00154663">
        <w:t xml:space="preserve"> that ensure safe use, transport and disposal (</w:t>
      </w:r>
      <w:r w:rsidR="00247BC4" w:rsidRPr="00154663">
        <w:t xml:space="preserve">Chapter 1, </w:t>
      </w:r>
      <w:r w:rsidR="00764CB1" w:rsidRPr="00154663">
        <w:t xml:space="preserve">paragraph 1.1.1.3). </w:t>
      </w:r>
      <w:r w:rsidR="00247BC4" w:rsidRPr="00154663">
        <w:t xml:space="preserve">To realize this, </w:t>
      </w:r>
      <w:r w:rsidR="002F3B4E" w:rsidRPr="00154663">
        <w:t>its</w:t>
      </w:r>
      <w:r w:rsidR="00247BC4" w:rsidRPr="00154663">
        <w:t xml:space="preserve"> scope covers h</w:t>
      </w:r>
      <w:r w:rsidR="00E51E6F" w:rsidRPr="00154663">
        <w:t>armonized criteria for classifying substances and mixtures according to their health, environment and physical hazards, and harmonized hazard communication elements, including requirements for labelling and safety data sheets (</w:t>
      </w:r>
      <w:r w:rsidR="00247BC4" w:rsidRPr="00154663">
        <w:t xml:space="preserve">Chapter 1, </w:t>
      </w:r>
      <w:r w:rsidR="00E51E6F" w:rsidRPr="00154663">
        <w:t>paragraph 1.1.2.1).</w:t>
      </w:r>
    </w:p>
    <w:p w:rsidR="00A436EB" w:rsidRPr="00154663" w:rsidRDefault="00154663" w:rsidP="00154663">
      <w:pPr>
        <w:pStyle w:val="SingleTxtG"/>
      </w:pPr>
      <w:r>
        <w:rPr>
          <w:lang w:val="fr-CH"/>
        </w:rPr>
        <w:t>3.</w:t>
      </w:r>
      <w:r>
        <w:rPr>
          <w:lang w:val="fr-CH"/>
        </w:rPr>
        <w:tab/>
      </w:r>
      <w:r w:rsidR="00247BC4" w:rsidRPr="00154663">
        <w:t>The harmonization of risk assessment procedures or risk management decisions is excluded from the scope of the GHS (Chapter 1, paragraph 1.1.2.6.1).</w:t>
      </w:r>
      <w:r w:rsidR="008C62D0" w:rsidRPr="00154663">
        <w:t xml:space="preserve"> </w:t>
      </w:r>
      <w:r w:rsidR="00C80C57" w:rsidRPr="00154663">
        <w:t>In accordance with this, the publication of</w:t>
      </w:r>
      <w:r w:rsidR="004F1595" w:rsidRPr="00154663">
        <w:t xml:space="preserve"> </w:t>
      </w:r>
      <w:r w:rsidR="00C80C57" w:rsidRPr="00154663">
        <w:t xml:space="preserve">guidance on </w:t>
      </w:r>
      <w:r w:rsidR="004F1595" w:rsidRPr="00154663">
        <w:t>risk assessment and management</w:t>
      </w:r>
      <w:r w:rsidR="00C80C57" w:rsidRPr="00154663">
        <w:t xml:space="preserve"> in the GHS has been </w:t>
      </w:r>
      <w:r w:rsidR="002F3B4E" w:rsidRPr="00154663">
        <w:t>limited</w:t>
      </w:r>
      <w:r w:rsidR="00C80C57" w:rsidRPr="00154663">
        <w:t xml:space="preserve">. For example, </w:t>
      </w:r>
      <w:r w:rsidR="00C94181" w:rsidRPr="00154663">
        <w:t xml:space="preserve">the GHS </w:t>
      </w:r>
      <w:r w:rsidR="00C80C57" w:rsidRPr="00154663">
        <w:t xml:space="preserve">text in regard to consumer labelling states that competent authorities may authorize consumer labelling systems </w:t>
      </w:r>
      <w:r w:rsidR="00C94181" w:rsidRPr="00154663">
        <w:t xml:space="preserve">that </w:t>
      </w:r>
      <w:r w:rsidR="00C80C57" w:rsidRPr="00154663">
        <w:t>provid</w:t>
      </w:r>
      <w:r w:rsidR="00C94181" w:rsidRPr="00154663">
        <w:t>e</w:t>
      </w:r>
      <w:r w:rsidR="00C80C57" w:rsidRPr="00154663">
        <w:t xml:space="preserve"> information based on risk </w:t>
      </w:r>
      <w:r w:rsidR="004F1595" w:rsidRPr="00154663">
        <w:t>(Chapter 1, paragraph 1.4.10.5.5.2).</w:t>
      </w:r>
    </w:p>
    <w:p w:rsidR="00FB2CDB" w:rsidRPr="00E51E6F" w:rsidRDefault="00E51E6F" w:rsidP="00E51E6F">
      <w:pPr>
        <w:pStyle w:val="HChG"/>
        <w:ind w:firstLine="0"/>
        <w:rPr>
          <w:lang w:val="en-AU"/>
        </w:rPr>
      </w:pPr>
      <w:r>
        <w:rPr>
          <w:lang w:val="en-AU"/>
        </w:rPr>
        <w:t>Guidance on risk management</w:t>
      </w:r>
    </w:p>
    <w:p w:rsidR="00C80C57" w:rsidRPr="00154663" w:rsidRDefault="00154663" w:rsidP="00154663">
      <w:pPr>
        <w:pStyle w:val="SingleTxtG"/>
      </w:pPr>
      <w:r>
        <w:rPr>
          <w:lang w:val="fr-CH"/>
        </w:rPr>
        <w:t>4.</w:t>
      </w:r>
      <w:r>
        <w:rPr>
          <w:lang w:val="fr-CH"/>
        </w:rPr>
        <w:tab/>
      </w:r>
      <w:r w:rsidR="0073292B" w:rsidRPr="00154663">
        <w:t xml:space="preserve">Work on </w:t>
      </w:r>
      <w:r w:rsidR="00215614" w:rsidRPr="00154663">
        <w:t>a</w:t>
      </w:r>
      <w:r w:rsidR="00C80C57" w:rsidRPr="00154663">
        <w:t>ddressing dust explosion hazard</w:t>
      </w:r>
      <w:r w:rsidR="00215614" w:rsidRPr="00154663">
        <w:t>s</w:t>
      </w:r>
      <w:r w:rsidR="00C80C57" w:rsidRPr="00154663">
        <w:t xml:space="preserve"> has highlighted the complexities that exist when </w:t>
      </w:r>
      <w:r w:rsidR="0034169B" w:rsidRPr="00154663">
        <w:t>a hazard is dependent on both intrinsic</w:t>
      </w:r>
      <w:r w:rsidR="00302C15" w:rsidRPr="00154663">
        <w:t xml:space="preserve"> and extrinsic</w:t>
      </w:r>
      <w:r w:rsidR="0034169B" w:rsidRPr="00154663">
        <w:t xml:space="preserve"> properties.</w:t>
      </w:r>
      <w:r w:rsidR="00C80C57" w:rsidRPr="00154663">
        <w:t xml:space="preserve"> To overcome these difficulties</w:t>
      </w:r>
      <w:r w:rsidR="009B18D4" w:rsidRPr="00154663">
        <w:t>,</w:t>
      </w:r>
      <w:r w:rsidR="00C80C57" w:rsidRPr="00154663">
        <w:t xml:space="preserve"> the </w:t>
      </w:r>
      <w:r w:rsidR="009B18D4" w:rsidRPr="00154663">
        <w:t xml:space="preserve">annex agreed by the </w:t>
      </w:r>
      <w:r w:rsidR="00C80C57" w:rsidRPr="00154663">
        <w:t xml:space="preserve">Sub-Committee </w:t>
      </w:r>
      <w:r w:rsidR="009B18D4" w:rsidRPr="00154663">
        <w:t>at its thirty-third session i</w:t>
      </w:r>
      <w:r w:rsidR="00C80C57" w:rsidRPr="00154663">
        <w:t>ncludes guidance on risk</w:t>
      </w:r>
      <w:r w:rsidR="00D3234C" w:rsidRPr="00154663">
        <w:t xml:space="preserve"> </w:t>
      </w:r>
      <w:r w:rsidR="00C80C57" w:rsidRPr="00154663">
        <w:t>management (ST/SG/AC.10/C.4/2017/3, paragraphs A11.2.1.1</w:t>
      </w:r>
      <w:r w:rsidR="00D3234C" w:rsidRPr="00154663">
        <w:t xml:space="preserve"> and </w:t>
      </w:r>
      <w:r w:rsidR="00C80C57" w:rsidRPr="00154663">
        <w:t>A11.2.1.2).</w:t>
      </w:r>
    </w:p>
    <w:p w:rsidR="0098412F" w:rsidRPr="00154663" w:rsidRDefault="00154663" w:rsidP="00154663">
      <w:pPr>
        <w:pStyle w:val="SingleTxtG"/>
      </w:pPr>
      <w:r>
        <w:rPr>
          <w:lang w:val="fr-CH"/>
        </w:rPr>
        <w:t>5.</w:t>
      </w:r>
      <w:r>
        <w:rPr>
          <w:lang w:val="fr-CH"/>
        </w:rPr>
        <w:tab/>
      </w:r>
      <w:r w:rsidR="00302C15" w:rsidRPr="00154663">
        <w:t xml:space="preserve">The informal working group </w:t>
      </w:r>
      <w:r w:rsidR="00034D97" w:rsidRPr="00154663">
        <w:t>had</w:t>
      </w:r>
      <w:r w:rsidR="005A6E71" w:rsidRPr="00154663">
        <w:t xml:space="preserve"> noted that the annex</w:t>
      </w:r>
      <w:r w:rsidR="00034D97" w:rsidRPr="00154663">
        <w:t xml:space="preserve"> </w:t>
      </w:r>
      <w:r w:rsidR="00D3234C" w:rsidRPr="00154663">
        <w:t>would</w:t>
      </w:r>
      <w:r w:rsidR="00034D97" w:rsidRPr="00154663">
        <w:t xml:space="preserve"> address risk management options, and </w:t>
      </w:r>
      <w:r w:rsidR="00D3234C" w:rsidRPr="00154663">
        <w:t>provide guidance</w:t>
      </w:r>
      <w:r w:rsidR="00302C15" w:rsidRPr="00154663">
        <w:t xml:space="preserve"> </w:t>
      </w:r>
      <w:r w:rsidR="005A6E71" w:rsidRPr="00154663">
        <w:t xml:space="preserve">on harmonized hazard communication </w:t>
      </w:r>
      <w:r w:rsidR="00D3234C" w:rsidRPr="00154663">
        <w:t xml:space="preserve">for competent authorities who might wish to </w:t>
      </w:r>
      <w:r w:rsidR="00034D97" w:rsidRPr="00154663">
        <w:t>require</w:t>
      </w:r>
      <w:r w:rsidR="00215614" w:rsidRPr="00154663">
        <w:t xml:space="preserve"> it </w:t>
      </w:r>
      <w:r w:rsidR="00D3234C" w:rsidRPr="00154663">
        <w:t xml:space="preserve">(ST/SG/AC.10/C.4/60, paragraph 14). The annex </w:t>
      </w:r>
      <w:r w:rsidR="005D05C5" w:rsidRPr="00154663">
        <w:t xml:space="preserve">does not advise </w:t>
      </w:r>
      <w:r w:rsidR="00D3234C" w:rsidRPr="00154663">
        <w:t xml:space="preserve">harmonization of risk </w:t>
      </w:r>
      <w:r w:rsidR="00AD7D43" w:rsidRPr="00154663">
        <w:t xml:space="preserve">assessment or </w:t>
      </w:r>
      <w:r w:rsidR="00D3234C" w:rsidRPr="00154663">
        <w:t xml:space="preserve">management of dust </w:t>
      </w:r>
      <w:r w:rsidR="00D3234C" w:rsidRPr="00154663">
        <w:lastRenderedPageBreak/>
        <w:t xml:space="preserve">explosion hazards. </w:t>
      </w:r>
      <w:r w:rsidR="00AD7D43" w:rsidRPr="00154663">
        <w:t xml:space="preserve">Nonetheless, the inclusion prompts discussion on the </w:t>
      </w:r>
      <w:r w:rsidR="002F3B4E" w:rsidRPr="00154663">
        <w:t xml:space="preserve">broader </w:t>
      </w:r>
      <w:r w:rsidR="00AD7D43" w:rsidRPr="00154663">
        <w:t xml:space="preserve">role of guidance on risk management in the GHS. </w:t>
      </w:r>
    </w:p>
    <w:p w:rsidR="00633A6D" w:rsidRPr="00154663" w:rsidRDefault="00154663" w:rsidP="00154663">
      <w:pPr>
        <w:pStyle w:val="SingleTxtG"/>
      </w:pPr>
      <w:r>
        <w:rPr>
          <w:lang w:val="fr-CH"/>
        </w:rPr>
        <w:t>6.</w:t>
      </w:r>
      <w:r>
        <w:rPr>
          <w:lang w:val="fr-CH"/>
        </w:rPr>
        <w:tab/>
      </w:r>
      <w:r w:rsidR="00EC3561" w:rsidRPr="00154663">
        <w:t>T</w:t>
      </w:r>
      <w:r w:rsidR="00F00971" w:rsidRPr="00154663">
        <w:t>h</w:t>
      </w:r>
      <w:r w:rsidR="002F3B4E" w:rsidRPr="00154663">
        <w:t xml:space="preserve">e new annex </w:t>
      </w:r>
      <w:r w:rsidR="00F00971" w:rsidRPr="00154663">
        <w:t>demonstrates that the inclusion of guidance on risk management in the GHS can provide benefit</w:t>
      </w:r>
      <w:r w:rsidR="002060F1" w:rsidRPr="00154663">
        <w:t xml:space="preserve">. Including </w:t>
      </w:r>
      <w:r w:rsidR="00215614" w:rsidRPr="00154663">
        <w:t xml:space="preserve">the </w:t>
      </w:r>
      <w:r w:rsidR="002060F1" w:rsidRPr="00154663">
        <w:t>guidance in the GHS alerts competent authorities</w:t>
      </w:r>
      <w:r w:rsidR="00215614" w:rsidRPr="00154663">
        <w:t xml:space="preserve"> and classifiers</w:t>
      </w:r>
      <w:r w:rsidR="002060F1" w:rsidRPr="00154663">
        <w:t xml:space="preserve"> to potential risk</w:t>
      </w:r>
      <w:r w:rsidR="0073292B" w:rsidRPr="00154663">
        <w:t>,</w:t>
      </w:r>
      <w:r w:rsidR="002060F1" w:rsidRPr="00154663">
        <w:t xml:space="preserve"> and </w:t>
      </w:r>
      <w:r w:rsidR="00F807CE" w:rsidRPr="00154663">
        <w:t xml:space="preserve">the </w:t>
      </w:r>
      <w:r w:rsidR="002060F1" w:rsidRPr="00154663">
        <w:t>factors that may contribute to this risk</w:t>
      </w:r>
      <w:r w:rsidR="0073292B" w:rsidRPr="00154663">
        <w:t xml:space="preserve">. </w:t>
      </w:r>
    </w:p>
    <w:p w:rsidR="00FF2FD7" w:rsidRPr="00154663" w:rsidRDefault="00154663" w:rsidP="00154663">
      <w:pPr>
        <w:pStyle w:val="SingleTxtG"/>
      </w:pPr>
      <w:r>
        <w:rPr>
          <w:lang w:val="fr-CH"/>
        </w:rPr>
        <w:t>7.</w:t>
      </w:r>
      <w:r>
        <w:rPr>
          <w:lang w:val="fr-CH"/>
        </w:rPr>
        <w:tab/>
      </w:r>
      <w:r w:rsidR="00633A6D" w:rsidRPr="00154663">
        <w:t xml:space="preserve">While </w:t>
      </w:r>
      <w:r w:rsidR="007C4759" w:rsidRPr="00154663">
        <w:t xml:space="preserve">risk management </w:t>
      </w:r>
      <w:r w:rsidR="00633A6D" w:rsidRPr="00154663">
        <w:t>guidance can</w:t>
      </w:r>
      <w:r w:rsidR="001C0761" w:rsidRPr="00154663">
        <w:t xml:space="preserve"> inform risk assessment and management activities</w:t>
      </w:r>
      <w:r w:rsidR="00633A6D" w:rsidRPr="00154663">
        <w:t>, it remains critical tha</w:t>
      </w:r>
      <w:r w:rsidR="007C4759" w:rsidRPr="00154663">
        <w:t xml:space="preserve">t </w:t>
      </w:r>
      <w:r w:rsidR="00FF2FD7" w:rsidRPr="00154663">
        <w:t xml:space="preserve">it is clear that competent authorities </w:t>
      </w:r>
      <w:r w:rsidR="00FB4122" w:rsidRPr="00154663">
        <w:t xml:space="preserve">have responsibility of risk management arrangements in their economy. </w:t>
      </w:r>
      <w:r w:rsidR="00633A6D" w:rsidRPr="00154663">
        <w:t>Ambiguity in the purpose of guidance on risk management may cause confusion in regard to th</w:t>
      </w:r>
      <w:r w:rsidR="007C4759" w:rsidRPr="00154663">
        <w:t xml:space="preserve">e role of competent authorities, and the responsibilities of those </w:t>
      </w:r>
      <w:r w:rsidR="00FF2FD7" w:rsidRPr="00154663">
        <w:t xml:space="preserve">who must manage risks. </w:t>
      </w:r>
    </w:p>
    <w:p w:rsidR="00633A6D" w:rsidRPr="00154663" w:rsidRDefault="00154663" w:rsidP="00154663">
      <w:pPr>
        <w:pStyle w:val="SingleTxtG"/>
      </w:pPr>
      <w:r>
        <w:rPr>
          <w:lang w:val="fr-CH"/>
        </w:rPr>
        <w:t>8.</w:t>
      </w:r>
      <w:r>
        <w:rPr>
          <w:lang w:val="fr-CH"/>
        </w:rPr>
        <w:tab/>
      </w:r>
      <w:r w:rsidR="00FF2FD7" w:rsidRPr="00154663">
        <w:t xml:space="preserve">Information provided by some </w:t>
      </w:r>
      <w:r w:rsidR="00E81A1F" w:rsidRPr="00154663">
        <w:t xml:space="preserve">members of the </w:t>
      </w:r>
      <w:r w:rsidR="00C94181" w:rsidRPr="00154663">
        <w:t>Sub-C</w:t>
      </w:r>
      <w:r w:rsidR="00E81A1F" w:rsidRPr="00154663">
        <w:t xml:space="preserve">ommittee </w:t>
      </w:r>
      <w:r w:rsidR="00FF2FD7" w:rsidRPr="00154663">
        <w:t xml:space="preserve">prior to this </w:t>
      </w:r>
      <w:r w:rsidR="00E81A1F" w:rsidRPr="00154663">
        <w:t xml:space="preserve">session </w:t>
      </w:r>
      <w:r w:rsidR="00FF2FD7" w:rsidRPr="00154663">
        <w:t>indicated</w:t>
      </w:r>
      <w:r w:rsidR="00C07FED" w:rsidRPr="00154663">
        <w:t xml:space="preserve"> </w:t>
      </w:r>
      <w:r w:rsidR="00E81A1F" w:rsidRPr="00154663">
        <w:t xml:space="preserve">they hold </w:t>
      </w:r>
      <w:r w:rsidR="00C07FED" w:rsidRPr="00154663">
        <w:t>broad</w:t>
      </w:r>
      <w:r w:rsidR="00FF2FD7" w:rsidRPr="00154663">
        <w:t xml:space="preserve"> </w:t>
      </w:r>
      <w:r w:rsidR="00FB4122" w:rsidRPr="00154663">
        <w:t xml:space="preserve">concerns about how risk management information could be </w:t>
      </w:r>
      <w:r w:rsidR="00CC16CC" w:rsidRPr="00154663">
        <w:t>usefully</w:t>
      </w:r>
      <w:r w:rsidR="00E81A1F" w:rsidRPr="00154663">
        <w:t xml:space="preserve"> </w:t>
      </w:r>
      <w:r w:rsidR="00FB4122" w:rsidRPr="00154663">
        <w:t>conveyed in the GHS</w:t>
      </w:r>
      <w:r w:rsidR="00CC16CC" w:rsidRPr="00154663">
        <w:t>, given</w:t>
      </w:r>
      <w:r w:rsidR="00FF2FD7" w:rsidRPr="00154663">
        <w:t xml:space="preserve"> differing risk </w:t>
      </w:r>
      <w:r w:rsidR="00FB4122" w:rsidRPr="00154663">
        <w:t>management terminology, approaches</w:t>
      </w:r>
      <w:r w:rsidR="00C07FED" w:rsidRPr="00154663">
        <w:t xml:space="preserve"> to managing risks</w:t>
      </w:r>
      <w:r w:rsidR="00FF2FD7" w:rsidRPr="00154663">
        <w:t xml:space="preserve"> </w:t>
      </w:r>
      <w:r w:rsidR="00E81A1F" w:rsidRPr="00154663">
        <w:t xml:space="preserve">and </w:t>
      </w:r>
      <w:r w:rsidR="00CC16CC" w:rsidRPr="00154663">
        <w:t>regulatory frameworks</w:t>
      </w:r>
      <w:r w:rsidR="00C07FED" w:rsidRPr="00154663">
        <w:t xml:space="preserve">. </w:t>
      </w:r>
    </w:p>
    <w:p w:rsidR="00695AEE" w:rsidRPr="00154663" w:rsidRDefault="00154663" w:rsidP="00154663">
      <w:pPr>
        <w:pStyle w:val="SingleTxtG"/>
      </w:pPr>
      <w:r>
        <w:rPr>
          <w:lang w:val="fr-CH"/>
        </w:rPr>
        <w:t>9.</w:t>
      </w:r>
      <w:r>
        <w:rPr>
          <w:lang w:val="fr-CH"/>
        </w:rPr>
        <w:tab/>
      </w:r>
      <w:r w:rsidR="00F807CE" w:rsidRPr="00154663">
        <w:t xml:space="preserve">It is important </w:t>
      </w:r>
      <w:r w:rsidR="00C94181" w:rsidRPr="00154663">
        <w:t xml:space="preserve">that the guidance in the new annex </w:t>
      </w:r>
      <w:r w:rsidR="001C0761" w:rsidRPr="00154663">
        <w:t xml:space="preserve">and any future </w:t>
      </w:r>
      <w:r w:rsidR="00F807CE" w:rsidRPr="00154663">
        <w:t xml:space="preserve">guidance on risk management is balanced so that </w:t>
      </w:r>
      <w:r w:rsidR="00FC29EC" w:rsidRPr="00154663">
        <w:t xml:space="preserve">it assists </w:t>
      </w:r>
      <w:r w:rsidR="00F807CE" w:rsidRPr="00154663">
        <w:t>competent authorities</w:t>
      </w:r>
      <w:r w:rsidR="001C0761" w:rsidRPr="00154663">
        <w:t xml:space="preserve"> </w:t>
      </w:r>
      <w:r w:rsidR="00FC29EC" w:rsidRPr="00154663">
        <w:t xml:space="preserve">managing programs to ensure safe use, transport and disposal of substances, </w:t>
      </w:r>
      <w:r w:rsidR="00F807CE" w:rsidRPr="00154663">
        <w:t xml:space="preserve">without undermining </w:t>
      </w:r>
      <w:r w:rsidR="00933669" w:rsidRPr="00154663">
        <w:t xml:space="preserve">the role of competent authorities in setting </w:t>
      </w:r>
      <w:r w:rsidR="00F807CE" w:rsidRPr="00154663">
        <w:t>risk assessment and</w:t>
      </w:r>
      <w:r w:rsidR="00933669" w:rsidRPr="00154663">
        <w:t xml:space="preserve"> risk</w:t>
      </w:r>
      <w:r w:rsidR="00F807CE" w:rsidRPr="00154663">
        <w:t xml:space="preserve"> management</w:t>
      </w:r>
      <w:r w:rsidR="00933669" w:rsidRPr="00154663">
        <w:t xml:space="preserve"> frameworks</w:t>
      </w:r>
      <w:r w:rsidR="00F807CE" w:rsidRPr="00154663">
        <w:t>.</w:t>
      </w:r>
      <w:r w:rsidR="00695AEE" w:rsidRPr="00154663">
        <w:t xml:space="preserve"> This is consistent with the purpose and recognised boundaries of the GHS.</w:t>
      </w:r>
    </w:p>
    <w:p w:rsidR="005D05C5" w:rsidRPr="00B92989" w:rsidRDefault="005D05C5" w:rsidP="00B92989">
      <w:pPr>
        <w:pStyle w:val="HChG"/>
        <w:ind w:firstLine="0"/>
        <w:rPr>
          <w:lang w:val="en-AU"/>
        </w:rPr>
      </w:pPr>
      <w:r w:rsidRPr="005D05C5">
        <w:rPr>
          <w:lang w:val="en-AU"/>
        </w:rPr>
        <w:t>Proposal</w:t>
      </w:r>
    </w:p>
    <w:p w:rsidR="00FC29EC" w:rsidRDefault="00154663" w:rsidP="00154663">
      <w:pPr>
        <w:pStyle w:val="SingleTxtG"/>
      </w:pPr>
      <w:r>
        <w:rPr>
          <w:lang w:val="fr-CH"/>
        </w:rPr>
        <w:t>10.</w:t>
      </w:r>
      <w:r>
        <w:rPr>
          <w:lang w:val="fr-CH"/>
        </w:rPr>
        <w:tab/>
      </w:r>
      <w:r w:rsidR="00933669">
        <w:t>T</w:t>
      </w:r>
      <w:r w:rsidR="00B71D19">
        <w:t xml:space="preserve">he expert from Australia invites the Sub-Committee to consider </w:t>
      </w:r>
      <w:r w:rsidR="00933669">
        <w:t xml:space="preserve">the following approach to providing </w:t>
      </w:r>
      <w:r w:rsidR="00B71D19">
        <w:t xml:space="preserve">clear information on the purpose of guidance on risk management </w:t>
      </w:r>
      <w:r w:rsidR="009E34C6">
        <w:t xml:space="preserve">included </w:t>
      </w:r>
      <w:r w:rsidR="00B71D19">
        <w:t>in the GHS</w:t>
      </w:r>
      <w:r w:rsidR="00933669">
        <w:t xml:space="preserve">. As </w:t>
      </w:r>
      <w:r w:rsidR="002F3B4E">
        <w:t>a starting point for discussion,</w:t>
      </w:r>
      <w:r w:rsidR="00933669">
        <w:t xml:space="preserve"> the</w:t>
      </w:r>
      <w:r w:rsidR="00B71D19">
        <w:t xml:space="preserve"> </w:t>
      </w:r>
      <w:r w:rsidR="00933669">
        <w:t>i</w:t>
      </w:r>
      <w:r w:rsidR="00B71D19">
        <w:t>nformation could include:</w:t>
      </w:r>
    </w:p>
    <w:p w:rsidR="00B71D19" w:rsidRPr="00055A02" w:rsidRDefault="00055A02" w:rsidP="00154663">
      <w:pPr>
        <w:pStyle w:val="SingleTxtG"/>
        <w:ind w:left="1701" w:hanging="567"/>
      </w:pPr>
      <w:r>
        <w:rPr>
          <w:lang w:val="fr-CH"/>
        </w:rPr>
        <w:t>(a)</w:t>
      </w:r>
      <w:r>
        <w:rPr>
          <w:lang w:val="fr-CH"/>
        </w:rPr>
        <w:tab/>
      </w:r>
      <w:r w:rsidR="00B71D19" w:rsidRPr="00055A02">
        <w:t xml:space="preserve">Guiding principles for the inclusion of guidance on risk management in the GHS, as set forth in Annex </w:t>
      </w:r>
      <w:r w:rsidR="00585D64" w:rsidRPr="00055A02">
        <w:t>1</w:t>
      </w:r>
      <w:r w:rsidR="00B71D19" w:rsidRPr="00055A02">
        <w:t xml:space="preserve"> to this paper;</w:t>
      </w:r>
    </w:p>
    <w:p w:rsidR="00C47ACC" w:rsidRPr="00055A02" w:rsidRDefault="00055A02" w:rsidP="00154663">
      <w:pPr>
        <w:pStyle w:val="SingleTxtG"/>
        <w:ind w:left="1701" w:hanging="567"/>
      </w:pPr>
      <w:r>
        <w:rPr>
          <w:lang w:val="fr-CH"/>
        </w:rPr>
        <w:t>(b)</w:t>
      </w:r>
      <w:r>
        <w:rPr>
          <w:lang w:val="fr-CH"/>
        </w:rPr>
        <w:tab/>
      </w:r>
      <w:r w:rsidR="00C47ACC" w:rsidRPr="00055A02">
        <w:t>Agreed terminology for use in guidance on risk management in the GHS, to ensure consistent interpretation</w:t>
      </w:r>
      <w:r w:rsidR="00933669" w:rsidRPr="00055A02">
        <w:t xml:space="preserve"> in adopting economies</w:t>
      </w:r>
      <w:r w:rsidR="00C47ACC" w:rsidRPr="00055A02">
        <w:t>;</w:t>
      </w:r>
    </w:p>
    <w:p w:rsidR="00CA628C" w:rsidRPr="00055A02" w:rsidRDefault="00055A02" w:rsidP="00154663">
      <w:pPr>
        <w:pStyle w:val="SingleTxtG"/>
        <w:ind w:left="1701" w:hanging="567"/>
      </w:pPr>
      <w:r>
        <w:rPr>
          <w:lang w:val="fr-CH"/>
        </w:rPr>
        <w:t>(c)</w:t>
      </w:r>
      <w:r>
        <w:rPr>
          <w:lang w:val="fr-CH"/>
        </w:rPr>
        <w:tab/>
      </w:r>
      <w:r w:rsidR="00B71D19" w:rsidRPr="00055A02">
        <w:t xml:space="preserve">Amendment to paragraph 1.1.2.6 of the GHS, to reflect that while harmonization of risk assessment procedures and risk management decisions is beyond the scope of the GHS, limited guidance on risk management may be included where it may </w:t>
      </w:r>
      <w:r w:rsidR="00B93F23" w:rsidRPr="00055A02">
        <w:t>improve understanding of the influence of external factors on specific hazards.</w:t>
      </w:r>
    </w:p>
    <w:p w:rsidR="009B18D4" w:rsidRPr="00B71D19" w:rsidRDefault="009B18D4" w:rsidP="00C47ACC">
      <w:pPr>
        <w:pStyle w:val="SingleTxtG"/>
        <w:numPr>
          <w:ilvl w:val="0"/>
          <w:numId w:val="22"/>
        </w:numPr>
        <w:ind w:left="1134" w:firstLine="0"/>
        <w:rPr>
          <w:lang w:val="en-AU"/>
        </w:rPr>
      </w:pPr>
      <w:r w:rsidRPr="00B71D19">
        <w:rPr>
          <w:b/>
          <w:sz w:val="28"/>
          <w:lang w:val="en-AU"/>
        </w:rPr>
        <w:br w:type="page"/>
      </w:r>
    </w:p>
    <w:p w:rsidR="00055A02" w:rsidRPr="00055A02" w:rsidRDefault="00B71D19" w:rsidP="00055A02">
      <w:pPr>
        <w:pStyle w:val="HChG"/>
        <w:rPr>
          <w:lang w:val="fr-CH"/>
        </w:rPr>
      </w:pPr>
      <w:r>
        <w:lastRenderedPageBreak/>
        <w:t>A</w:t>
      </w:r>
      <w:r w:rsidR="00055A02">
        <w:t xml:space="preserve">nnex </w:t>
      </w:r>
    </w:p>
    <w:p w:rsidR="00B71D19" w:rsidRDefault="00055A02" w:rsidP="00055A02">
      <w:pPr>
        <w:pStyle w:val="HChG"/>
      </w:pPr>
      <w:r>
        <w:rPr>
          <w:lang w:val="fr-CH"/>
        </w:rPr>
        <w:tab/>
      </w:r>
      <w:r>
        <w:rPr>
          <w:lang w:val="fr-CH"/>
        </w:rPr>
        <w:tab/>
      </w:r>
      <w:r w:rsidR="00B71D19">
        <w:t xml:space="preserve">Proposed guiding principles for the </w:t>
      </w:r>
      <w:r w:rsidR="00B71D19" w:rsidRPr="00B71D19">
        <w:t xml:space="preserve">inclusion of guidance on risk </w:t>
      </w:r>
      <w:r w:rsidR="00B71D19">
        <w:t>management in the GHS</w:t>
      </w:r>
    </w:p>
    <w:p w:rsidR="00E56849" w:rsidRPr="00154663" w:rsidRDefault="00055A02" w:rsidP="00154663">
      <w:pPr>
        <w:pStyle w:val="SingleTxtG"/>
        <w:ind w:left="1701" w:hanging="567"/>
        <w:rPr>
          <w:lang w:val="fr-CH"/>
        </w:rPr>
      </w:pPr>
      <w:r>
        <w:rPr>
          <w:lang w:val="fr-CH"/>
        </w:rPr>
        <w:t>(a)</w:t>
      </w:r>
      <w:r>
        <w:rPr>
          <w:lang w:val="fr-CH"/>
        </w:rPr>
        <w:tab/>
      </w:r>
      <w:r w:rsidR="00E56849" w:rsidRPr="00154663">
        <w:rPr>
          <w:lang w:val="fr-CH"/>
        </w:rPr>
        <w:t>Guidance on risk management may be included in the annexes to the GHS and other supplementary documentation where it assists competent authorities to ensure safe use, transport and disposal of substances;</w:t>
      </w:r>
    </w:p>
    <w:p w:rsidR="004F3B30" w:rsidRPr="00154663" w:rsidRDefault="00055A02" w:rsidP="00154663">
      <w:pPr>
        <w:pStyle w:val="SingleTxtG"/>
        <w:ind w:left="1701" w:hanging="567"/>
        <w:rPr>
          <w:lang w:val="fr-CH"/>
        </w:rPr>
      </w:pPr>
      <w:r>
        <w:rPr>
          <w:lang w:val="fr-CH"/>
        </w:rPr>
        <w:t>(b)</w:t>
      </w:r>
      <w:r>
        <w:rPr>
          <w:lang w:val="fr-CH"/>
        </w:rPr>
        <w:tab/>
      </w:r>
      <w:r w:rsidR="004F3B30" w:rsidRPr="00154663">
        <w:rPr>
          <w:lang w:val="fr-CH"/>
        </w:rPr>
        <w:t xml:space="preserve">The terminology </w:t>
      </w:r>
      <w:r w:rsidR="00CA628C" w:rsidRPr="00154663">
        <w:rPr>
          <w:lang w:val="fr-CH"/>
        </w:rPr>
        <w:t xml:space="preserve">used in guidance on </w:t>
      </w:r>
      <w:r w:rsidR="004F3B30" w:rsidRPr="00154663">
        <w:rPr>
          <w:lang w:val="fr-CH"/>
        </w:rPr>
        <w:t xml:space="preserve">risk management </w:t>
      </w:r>
      <w:r w:rsidR="00CA628C" w:rsidRPr="00154663">
        <w:rPr>
          <w:lang w:val="fr-CH"/>
        </w:rPr>
        <w:t>will</w:t>
      </w:r>
      <w:r w:rsidR="004F3B30" w:rsidRPr="00154663">
        <w:rPr>
          <w:lang w:val="fr-CH"/>
        </w:rPr>
        <w:t xml:space="preserve"> be </w:t>
      </w:r>
      <w:r w:rsidR="00B93F23" w:rsidRPr="00154663">
        <w:rPr>
          <w:lang w:val="fr-CH"/>
        </w:rPr>
        <w:t>unambiguous and consistent with adopting economies as far as possible to ensure</w:t>
      </w:r>
      <w:r w:rsidR="00B60E54" w:rsidRPr="00154663">
        <w:rPr>
          <w:lang w:val="fr-CH"/>
        </w:rPr>
        <w:t xml:space="preserve"> an</w:t>
      </w:r>
      <w:r w:rsidR="00B93F23" w:rsidRPr="00154663">
        <w:rPr>
          <w:lang w:val="fr-CH"/>
        </w:rPr>
        <w:t xml:space="preserve"> </w:t>
      </w:r>
      <w:r w:rsidR="00CC16CC" w:rsidRPr="00154663">
        <w:rPr>
          <w:lang w:val="fr-CH"/>
        </w:rPr>
        <w:t>equivalent understanding</w:t>
      </w:r>
      <w:r w:rsidR="00CA628C" w:rsidRPr="00154663">
        <w:rPr>
          <w:lang w:val="fr-CH"/>
        </w:rPr>
        <w:t xml:space="preserve"> across competent authorities;</w:t>
      </w:r>
    </w:p>
    <w:p w:rsidR="00513A2E" w:rsidRPr="00154663" w:rsidRDefault="00055A02" w:rsidP="00154663">
      <w:pPr>
        <w:pStyle w:val="SingleTxtG"/>
        <w:ind w:left="1701" w:hanging="567"/>
        <w:rPr>
          <w:lang w:val="fr-CH"/>
        </w:rPr>
      </w:pPr>
      <w:r>
        <w:rPr>
          <w:lang w:val="fr-CH"/>
        </w:rPr>
        <w:t>(c)</w:t>
      </w:r>
      <w:r>
        <w:rPr>
          <w:lang w:val="fr-CH"/>
        </w:rPr>
        <w:tab/>
      </w:r>
      <w:r w:rsidR="00513A2E" w:rsidRPr="00154663">
        <w:rPr>
          <w:lang w:val="fr-CH"/>
        </w:rPr>
        <w:t>Guidance on risk management will only be included in the GHS to the extent necessary</w:t>
      </w:r>
      <w:r w:rsidR="002F3B4E" w:rsidRPr="00154663">
        <w:rPr>
          <w:lang w:val="fr-CH"/>
        </w:rPr>
        <w:t xml:space="preserve"> to </w:t>
      </w:r>
      <w:r w:rsidR="00B60E54" w:rsidRPr="00154663">
        <w:rPr>
          <w:lang w:val="fr-CH"/>
        </w:rPr>
        <w:t>realise the first principle</w:t>
      </w:r>
      <w:r w:rsidR="00513A2E" w:rsidRPr="00154663">
        <w:rPr>
          <w:lang w:val="fr-CH"/>
        </w:rPr>
        <w:t>, so as to not create a reliance on the guidance material and discourage local competent authorities from considering local conditions;</w:t>
      </w:r>
    </w:p>
    <w:p w:rsidR="00E56849" w:rsidRPr="00154663" w:rsidRDefault="00055A02" w:rsidP="00154663">
      <w:pPr>
        <w:pStyle w:val="SingleTxtG"/>
        <w:ind w:left="1701" w:hanging="567"/>
        <w:rPr>
          <w:lang w:val="fr-CH"/>
        </w:rPr>
      </w:pPr>
      <w:r>
        <w:rPr>
          <w:lang w:val="fr-CH"/>
        </w:rPr>
        <w:t>(d)</w:t>
      </w:r>
      <w:r>
        <w:rPr>
          <w:lang w:val="fr-CH"/>
        </w:rPr>
        <w:tab/>
      </w:r>
      <w:r w:rsidR="00B60E54" w:rsidRPr="00154663">
        <w:rPr>
          <w:lang w:val="fr-CH"/>
        </w:rPr>
        <w:t>G</w:t>
      </w:r>
      <w:r w:rsidR="00E56849" w:rsidRPr="00154663">
        <w:rPr>
          <w:lang w:val="fr-CH"/>
        </w:rPr>
        <w:t xml:space="preserve">uidance on risk management will be accompanied with </w:t>
      </w:r>
      <w:r w:rsidR="00513A2E" w:rsidRPr="00154663">
        <w:rPr>
          <w:lang w:val="fr-CH"/>
        </w:rPr>
        <w:t>recogni</w:t>
      </w:r>
      <w:r w:rsidR="00B92989" w:rsidRPr="00154663">
        <w:rPr>
          <w:lang w:val="fr-CH"/>
        </w:rPr>
        <w:t>tion</w:t>
      </w:r>
      <w:r w:rsidR="00A212C6" w:rsidRPr="00154663">
        <w:rPr>
          <w:lang w:val="fr-CH"/>
        </w:rPr>
        <w:t xml:space="preserve">, such as a note, </w:t>
      </w:r>
      <w:r w:rsidR="00E56849" w:rsidRPr="00154663">
        <w:rPr>
          <w:lang w:val="fr-CH"/>
        </w:rPr>
        <w:t xml:space="preserve">that harmonisation of risk assessment procedures and risk management decisions is not a goal of the GHS, and these activities </w:t>
      </w:r>
      <w:r w:rsidR="00585D64" w:rsidRPr="00154663">
        <w:rPr>
          <w:lang w:val="fr-CH"/>
        </w:rPr>
        <w:t xml:space="preserve">are </w:t>
      </w:r>
      <w:r w:rsidR="00F24A2B" w:rsidRPr="00154663">
        <w:rPr>
          <w:lang w:val="fr-CH"/>
        </w:rPr>
        <w:t>matters for</w:t>
      </w:r>
      <w:r w:rsidR="00585D64" w:rsidRPr="00154663">
        <w:rPr>
          <w:lang w:val="fr-CH"/>
        </w:rPr>
        <w:t xml:space="preserve"> </w:t>
      </w:r>
      <w:r w:rsidR="00513A2E" w:rsidRPr="00154663">
        <w:rPr>
          <w:lang w:val="fr-CH"/>
        </w:rPr>
        <w:t>competent authorities</w:t>
      </w:r>
      <w:r w:rsidR="00585D64" w:rsidRPr="00154663">
        <w:rPr>
          <w:vertAlign w:val="superscript"/>
          <w:lang w:val="fr-CH"/>
        </w:rPr>
        <w:footnoteReference w:id="2"/>
      </w:r>
      <w:r w:rsidR="00513A2E" w:rsidRPr="00154663">
        <w:rPr>
          <w:lang w:val="fr-CH"/>
        </w:rPr>
        <w:t>.</w:t>
      </w:r>
    </w:p>
    <w:p w:rsidR="000E23BE" w:rsidRPr="00055A02" w:rsidRDefault="00055A02" w:rsidP="00055A02">
      <w:pPr>
        <w:pStyle w:val="H1G"/>
        <w:keepNext w:val="0"/>
        <w:keepLines w:val="0"/>
        <w:spacing w:before="240" w:after="0" w:line="240" w:lineRule="atLeast"/>
        <w:ind w:firstLine="0"/>
        <w:jc w:val="center"/>
        <w:rPr>
          <w:b w:val="0"/>
          <w:u w:val="single"/>
        </w:rPr>
      </w:pPr>
      <w:r w:rsidRPr="00055A02">
        <w:rPr>
          <w:b w:val="0"/>
          <w:u w:val="single"/>
        </w:rPr>
        <w:tab/>
      </w:r>
      <w:r w:rsidRPr="00055A02">
        <w:rPr>
          <w:b w:val="0"/>
          <w:u w:val="single"/>
        </w:rPr>
        <w:tab/>
      </w:r>
      <w:r w:rsidRPr="00055A02">
        <w:rPr>
          <w:b w:val="0"/>
          <w:u w:val="single"/>
        </w:rPr>
        <w:tab/>
      </w:r>
    </w:p>
    <w:sectPr w:rsidR="000E23BE" w:rsidRPr="00055A02" w:rsidSect="009F228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85" w:rsidRDefault="00094F85"/>
  </w:endnote>
  <w:endnote w:type="continuationSeparator" w:id="0">
    <w:p w:rsidR="00094F85" w:rsidRDefault="00094F85"/>
  </w:endnote>
  <w:endnote w:type="continuationNotice" w:id="1">
    <w:p w:rsidR="00094F85" w:rsidRDefault="00094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847941257"/>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154663">
          <w:rPr>
            <w:b/>
            <w:noProof/>
            <w:sz w:val="18"/>
            <w:szCs w:val="18"/>
          </w:rPr>
          <w:t>2</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623575685"/>
      <w:docPartObj>
        <w:docPartGallery w:val="Page Numbers (Bottom of Page)"/>
        <w:docPartUnique/>
      </w:docPartObj>
    </w:sdtPr>
    <w:sdtEndPr>
      <w:rPr>
        <w:noProof/>
      </w:rPr>
    </w:sdtEndPr>
    <w:sdtContent>
      <w:p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154663">
          <w:rPr>
            <w:b/>
            <w:noProof/>
            <w:sz w:val="18"/>
            <w:szCs w:val="18"/>
          </w:rPr>
          <w:t>3</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Pr="00667788" w:rsidRDefault="00094F85"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154663">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85" w:rsidRPr="000B175B" w:rsidRDefault="00094F85" w:rsidP="000B175B">
      <w:pPr>
        <w:tabs>
          <w:tab w:val="right" w:pos="2155"/>
        </w:tabs>
        <w:spacing w:after="80"/>
        <w:ind w:left="680"/>
        <w:rPr>
          <w:u w:val="single"/>
        </w:rPr>
      </w:pPr>
      <w:r>
        <w:rPr>
          <w:u w:val="single"/>
        </w:rPr>
        <w:tab/>
      </w:r>
    </w:p>
  </w:footnote>
  <w:footnote w:type="continuationSeparator" w:id="0">
    <w:p w:rsidR="00094F85" w:rsidRPr="00FC68B7" w:rsidRDefault="00094F85" w:rsidP="00FC68B7">
      <w:pPr>
        <w:tabs>
          <w:tab w:val="left" w:pos="2155"/>
        </w:tabs>
        <w:spacing w:after="80"/>
        <w:ind w:left="680"/>
        <w:rPr>
          <w:u w:val="single"/>
        </w:rPr>
      </w:pPr>
      <w:r>
        <w:rPr>
          <w:u w:val="single"/>
        </w:rPr>
        <w:tab/>
      </w:r>
    </w:p>
  </w:footnote>
  <w:footnote w:type="continuationNotice" w:id="1">
    <w:p w:rsidR="00094F85" w:rsidRDefault="00094F85"/>
  </w:footnote>
  <w:footnote w:id="2">
    <w:p w:rsidR="00585D64" w:rsidRPr="00585D64" w:rsidRDefault="00585D64" w:rsidP="00154663">
      <w:pPr>
        <w:pStyle w:val="FootnoteText"/>
        <w:ind w:hanging="567"/>
        <w:rPr>
          <w:lang w:val="en-AU"/>
        </w:rPr>
      </w:pPr>
      <w:r w:rsidRPr="00154663">
        <w:rPr>
          <w:rStyle w:val="FootnoteReference"/>
        </w:rPr>
        <w:footnoteRef/>
      </w:r>
      <w:r w:rsidRPr="00154663">
        <w:rPr>
          <w:rStyle w:val="FootnoteReference"/>
        </w:rPr>
        <w:t xml:space="preserve"> </w:t>
      </w:r>
      <w:r w:rsidR="00154663" w:rsidRPr="00154663">
        <w:rPr>
          <w:rStyle w:val="FootnoteReference"/>
        </w:rPr>
        <w:tab/>
      </w:r>
      <w:r w:rsidR="00154663">
        <w:tab/>
      </w:r>
      <w:r w:rsidR="00B92989" w:rsidRPr="00154663">
        <w:t>Generally, this should be a note preceding any text that provides guidance on risk management, stating</w:t>
      </w:r>
      <w:r w:rsidRPr="00154663">
        <w:t xml:space="preserve">: </w:t>
      </w:r>
      <w:r w:rsidR="00154663" w:rsidRPr="00154663">
        <w:rPr>
          <w:i/>
        </w:rPr>
        <w:t>“</w:t>
      </w:r>
      <w:r w:rsidR="00B92989" w:rsidRPr="00154663">
        <w:rPr>
          <w:i/>
        </w:rPr>
        <w:t xml:space="preserve">Information on risk management is provided in the GHS for </w:t>
      </w:r>
      <w:r w:rsidRPr="00154663">
        <w:rPr>
          <w:i/>
        </w:rPr>
        <w:t xml:space="preserve">guidance only. </w:t>
      </w:r>
      <w:r w:rsidR="00B60E54" w:rsidRPr="00154663">
        <w:rPr>
          <w:i/>
        </w:rPr>
        <w:t>C</w:t>
      </w:r>
      <w:r w:rsidRPr="00154663">
        <w:rPr>
          <w:i/>
        </w:rPr>
        <w:t>ompetent authorities</w:t>
      </w:r>
      <w:r w:rsidR="00B92989" w:rsidRPr="00154663">
        <w:rPr>
          <w:i/>
        </w:rPr>
        <w:t xml:space="preserve"> </w:t>
      </w:r>
      <w:r w:rsidRPr="00154663">
        <w:rPr>
          <w:i/>
        </w:rPr>
        <w:t xml:space="preserve">are best placed to determine the most appropriate risk assessment procedures and risk </w:t>
      </w:r>
      <w:bookmarkStart w:id="0" w:name="_GoBack"/>
      <w:bookmarkEnd w:id="0"/>
      <w:r w:rsidRPr="00154663">
        <w:rPr>
          <w:i/>
        </w:rPr>
        <w:t>management measures.</w:t>
      </w:r>
      <w:r w:rsidR="00154663" w:rsidRPr="00154663">
        <w:rPr>
          <w:i/>
        </w:rPr>
        <w:t>”</w:t>
      </w:r>
      <w:r>
        <w:rPr>
          <w:i/>
          <w:lang w:val="en-AU"/>
        </w:rPr>
        <w:t xml:space="preserve">  </w:t>
      </w:r>
      <w:r w:rsidRPr="0098412F">
        <w:rPr>
          <w:i/>
          <w:lang w:val="en-A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Pr="00364F88" w:rsidRDefault="00094F85" w:rsidP="00364F88">
    <w:pPr>
      <w:pBdr>
        <w:bottom w:val="single" w:sz="4" w:space="1" w:color="auto"/>
      </w:pBdr>
      <w:rPr>
        <w:b/>
        <w:sz w:val="18"/>
        <w:szCs w:val="18"/>
        <w:lang w:val="fr-CH"/>
      </w:rPr>
    </w:pPr>
    <w:r w:rsidRPr="00364F88">
      <w:rPr>
        <w:b/>
        <w:sz w:val="18"/>
        <w:szCs w:val="18"/>
        <w:lang w:val="fr-CH"/>
      </w:rPr>
      <w:t>UN/SCEGHS/34/INF.</w:t>
    </w:r>
    <w:r w:rsidR="00055A02">
      <w:rPr>
        <w:b/>
        <w:sz w:val="18"/>
        <w:szCs w:val="18"/>
        <w:lang w:val="fr-CH"/>
      </w:rPr>
      <w:t>14</w:t>
    </w:r>
  </w:p>
  <w:p w:rsidR="00094F85" w:rsidRPr="00364F88" w:rsidRDefault="00094F85"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Pr="00364F88" w:rsidRDefault="00094F85" w:rsidP="00364F88">
    <w:pPr>
      <w:pBdr>
        <w:bottom w:val="single" w:sz="4" w:space="1" w:color="auto"/>
      </w:pBdr>
      <w:jc w:val="right"/>
      <w:rPr>
        <w:b/>
        <w:sz w:val="18"/>
        <w:szCs w:val="18"/>
        <w:lang w:val="fr-CH"/>
      </w:rPr>
    </w:pPr>
    <w:r w:rsidRPr="00364F88">
      <w:rPr>
        <w:b/>
        <w:sz w:val="18"/>
        <w:szCs w:val="18"/>
        <w:lang w:val="fr-CH"/>
      </w:rPr>
      <w:t>UN/SCEGHS/34/INF.</w:t>
    </w:r>
    <w:r w:rsidR="00055A02">
      <w:rPr>
        <w:b/>
        <w:sz w:val="18"/>
        <w:szCs w:val="18"/>
        <w:lang w:val="fr-CH"/>
      </w:rPr>
      <w:t>14</w:t>
    </w:r>
  </w:p>
  <w:p w:rsidR="00094F85" w:rsidRDefault="00094F85" w:rsidP="00ED64BE">
    <w:pPr>
      <w:pStyle w:val="Header"/>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F85" w:rsidRPr="0001748C" w:rsidRDefault="00094F85" w:rsidP="000174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54671"/>
    <w:multiLevelType w:val="hybridMultilevel"/>
    <w:tmpl w:val="EE82A206"/>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15:restartNumberingAfterBreak="0">
    <w:nsid w:val="418C5FBC"/>
    <w:multiLevelType w:val="hybridMultilevel"/>
    <w:tmpl w:val="FD9C1852"/>
    <w:lvl w:ilvl="0" w:tplc="7F8CBEA2">
      <w:start w:val="1"/>
      <w:numFmt w:val="decimal"/>
      <w:lvlText w:val="%1."/>
      <w:lvlJc w:val="left"/>
      <w:pPr>
        <w:ind w:left="1689" w:hanging="555"/>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D14C32"/>
    <w:multiLevelType w:val="hybridMultilevel"/>
    <w:tmpl w:val="E18A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3"/>
  </w:num>
  <w:num w:numId="13">
    <w:abstractNumId w:val="12"/>
  </w:num>
  <w:num w:numId="14">
    <w:abstractNumId w:val="20"/>
  </w:num>
  <w:num w:numId="15">
    <w:abstractNumId w:val="22"/>
  </w:num>
  <w:num w:numId="16">
    <w:abstractNumId w:val="18"/>
  </w:num>
  <w:num w:numId="17">
    <w:abstractNumId w:val="17"/>
  </w:num>
  <w:num w:numId="18">
    <w:abstractNumId w:val="10"/>
  </w:num>
  <w:num w:numId="19">
    <w:abstractNumId w:val="11"/>
  </w:num>
  <w:num w:numId="20">
    <w:abstractNumId w:val="21"/>
  </w:num>
  <w:num w:numId="21">
    <w:abstractNumId w:val="14"/>
  </w:num>
  <w:num w:numId="22">
    <w:abstractNumId w:val="16"/>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4728"/>
    <w:rsid w:val="00006D38"/>
    <w:rsid w:val="00006FAE"/>
    <w:rsid w:val="00007091"/>
    <w:rsid w:val="000133C5"/>
    <w:rsid w:val="0001748C"/>
    <w:rsid w:val="00017D24"/>
    <w:rsid w:val="000216CC"/>
    <w:rsid w:val="00026BCF"/>
    <w:rsid w:val="00034D97"/>
    <w:rsid w:val="00043180"/>
    <w:rsid w:val="00046A06"/>
    <w:rsid w:val="000504CE"/>
    <w:rsid w:val="00050922"/>
    <w:rsid w:val="00050F6B"/>
    <w:rsid w:val="0005281B"/>
    <w:rsid w:val="0005317C"/>
    <w:rsid w:val="00053492"/>
    <w:rsid w:val="00055A02"/>
    <w:rsid w:val="00055A0A"/>
    <w:rsid w:val="00056084"/>
    <w:rsid w:val="0005710C"/>
    <w:rsid w:val="00062F39"/>
    <w:rsid w:val="00064402"/>
    <w:rsid w:val="00067E6D"/>
    <w:rsid w:val="000701F4"/>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2236"/>
    <w:rsid w:val="000A35F2"/>
    <w:rsid w:val="000A3A48"/>
    <w:rsid w:val="000A4C38"/>
    <w:rsid w:val="000B175B"/>
    <w:rsid w:val="000B303A"/>
    <w:rsid w:val="000B3168"/>
    <w:rsid w:val="000B3A0F"/>
    <w:rsid w:val="000B4919"/>
    <w:rsid w:val="000B5E7D"/>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54663"/>
    <w:rsid w:val="001633FB"/>
    <w:rsid w:val="00163A1B"/>
    <w:rsid w:val="00165735"/>
    <w:rsid w:val="00167786"/>
    <w:rsid w:val="00180A9C"/>
    <w:rsid w:val="00181019"/>
    <w:rsid w:val="001835BF"/>
    <w:rsid w:val="00184B86"/>
    <w:rsid w:val="001A02A4"/>
    <w:rsid w:val="001A24C9"/>
    <w:rsid w:val="001B0DD8"/>
    <w:rsid w:val="001B35EE"/>
    <w:rsid w:val="001B4B04"/>
    <w:rsid w:val="001B6B72"/>
    <w:rsid w:val="001B6F2D"/>
    <w:rsid w:val="001C0761"/>
    <w:rsid w:val="001C2046"/>
    <w:rsid w:val="001C429D"/>
    <w:rsid w:val="001C6663"/>
    <w:rsid w:val="001C7895"/>
    <w:rsid w:val="001D26DF"/>
    <w:rsid w:val="001D2FDC"/>
    <w:rsid w:val="001D3123"/>
    <w:rsid w:val="001D3A88"/>
    <w:rsid w:val="001D45AC"/>
    <w:rsid w:val="001D4B2D"/>
    <w:rsid w:val="001D4E70"/>
    <w:rsid w:val="001D7C70"/>
    <w:rsid w:val="001E253C"/>
    <w:rsid w:val="001E797C"/>
    <w:rsid w:val="002060F1"/>
    <w:rsid w:val="00211B12"/>
    <w:rsid w:val="00211E0B"/>
    <w:rsid w:val="0021300B"/>
    <w:rsid w:val="0021481D"/>
    <w:rsid w:val="00215614"/>
    <w:rsid w:val="00221589"/>
    <w:rsid w:val="00221AC2"/>
    <w:rsid w:val="00224CD9"/>
    <w:rsid w:val="002309A7"/>
    <w:rsid w:val="00235381"/>
    <w:rsid w:val="00237785"/>
    <w:rsid w:val="00241178"/>
    <w:rsid w:val="00241466"/>
    <w:rsid w:val="00243804"/>
    <w:rsid w:val="002440E7"/>
    <w:rsid w:val="00247570"/>
    <w:rsid w:val="00247BC4"/>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5189"/>
    <w:rsid w:val="00285676"/>
    <w:rsid w:val="002921EA"/>
    <w:rsid w:val="002976CF"/>
    <w:rsid w:val="002A0BD2"/>
    <w:rsid w:val="002A5B17"/>
    <w:rsid w:val="002B0609"/>
    <w:rsid w:val="002B067A"/>
    <w:rsid w:val="002B1514"/>
    <w:rsid w:val="002B1CDA"/>
    <w:rsid w:val="002C7F25"/>
    <w:rsid w:val="002D5A85"/>
    <w:rsid w:val="002D5C7D"/>
    <w:rsid w:val="002D6CD7"/>
    <w:rsid w:val="002E35BB"/>
    <w:rsid w:val="002E63B5"/>
    <w:rsid w:val="002F323F"/>
    <w:rsid w:val="002F3B4E"/>
    <w:rsid w:val="002F68FD"/>
    <w:rsid w:val="002F7870"/>
    <w:rsid w:val="00302C15"/>
    <w:rsid w:val="003063E9"/>
    <w:rsid w:val="003107FA"/>
    <w:rsid w:val="0031227E"/>
    <w:rsid w:val="00315D73"/>
    <w:rsid w:val="00316FF9"/>
    <w:rsid w:val="00321716"/>
    <w:rsid w:val="003229D8"/>
    <w:rsid w:val="00327D0A"/>
    <w:rsid w:val="00330180"/>
    <w:rsid w:val="0034169B"/>
    <w:rsid w:val="00342774"/>
    <w:rsid w:val="003517C3"/>
    <w:rsid w:val="00355502"/>
    <w:rsid w:val="00356BC7"/>
    <w:rsid w:val="00357A20"/>
    <w:rsid w:val="00364F88"/>
    <w:rsid w:val="00366B09"/>
    <w:rsid w:val="00372F06"/>
    <w:rsid w:val="00391647"/>
    <w:rsid w:val="003921E6"/>
    <w:rsid w:val="0039277A"/>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5B52"/>
    <w:rsid w:val="00403EC6"/>
    <w:rsid w:val="00406CD4"/>
    <w:rsid w:val="00407DB1"/>
    <w:rsid w:val="004207CF"/>
    <w:rsid w:val="00430086"/>
    <w:rsid w:val="00430918"/>
    <w:rsid w:val="004325CB"/>
    <w:rsid w:val="004337AA"/>
    <w:rsid w:val="004354EE"/>
    <w:rsid w:val="00437F3F"/>
    <w:rsid w:val="00440C1E"/>
    <w:rsid w:val="00442365"/>
    <w:rsid w:val="004425EE"/>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A9B"/>
    <w:rsid w:val="00490889"/>
    <w:rsid w:val="00492AF9"/>
    <w:rsid w:val="00494C77"/>
    <w:rsid w:val="00496A1D"/>
    <w:rsid w:val="00497711"/>
    <w:rsid w:val="004B2C9D"/>
    <w:rsid w:val="004B54B0"/>
    <w:rsid w:val="004B5939"/>
    <w:rsid w:val="004B5C97"/>
    <w:rsid w:val="004B73D6"/>
    <w:rsid w:val="004C39D0"/>
    <w:rsid w:val="004C4F1A"/>
    <w:rsid w:val="004C6D6D"/>
    <w:rsid w:val="004D6FC1"/>
    <w:rsid w:val="004E0C5D"/>
    <w:rsid w:val="004E1665"/>
    <w:rsid w:val="004F1595"/>
    <w:rsid w:val="004F32CF"/>
    <w:rsid w:val="004F3B30"/>
    <w:rsid w:val="004F4240"/>
    <w:rsid w:val="004F77CD"/>
    <w:rsid w:val="00505EEB"/>
    <w:rsid w:val="00506778"/>
    <w:rsid w:val="00507CF1"/>
    <w:rsid w:val="00513A2E"/>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74716"/>
    <w:rsid w:val="0058129D"/>
    <w:rsid w:val="00585B2B"/>
    <w:rsid w:val="00585D64"/>
    <w:rsid w:val="00590144"/>
    <w:rsid w:val="00594F31"/>
    <w:rsid w:val="0059682C"/>
    <w:rsid w:val="005A64DD"/>
    <w:rsid w:val="005A6E71"/>
    <w:rsid w:val="005B09F0"/>
    <w:rsid w:val="005B0CED"/>
    <w:rsid w:val="005B3DB3"/>
    <w:rsid w:val="005B528A"/>
    <w:rsid w:val="005C4CB5"/>
    <w:rsid w:val="005D05C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27A45"/>
    <w:rsid w:val="00633A6D"/>
    <w:rsid w:val="0063419C"/>
    <w:rsid w:val="00635381"/>
    <w:rsid w:val="00636986"/>
    <w:rsid w:val="00636E9C"/>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95AEE"/>
    <w:rsid w:val="006A3932"/>
    <w:rsid w:val="006A5B6B"/>
    <w:rsid w:val="006A63E3"/>
    <w:rsid w:val="006A7392"/>
    <w:rsid w:val="006B1C55"/>
    <w:rsid w:val="006C0D34"/>
    <w:rsid w:val="006C251B"/>
    <w:rsid w:val="006C2F7E"/>
    <w:rsid w:val="006D3560"/>
    <w:rsid w:val="006D3FCD"/>
    <w:rsid w:val="006D6ED0"/>
    <w:rsid w:val="006E36E7"/>
    <w:rsid w:val="006E3B65"/>
    <w:rsid w:val="006E4FFE"/>
    <w:rsid w:val="006E564B"/>
    <w:rsid w:val="0070032B"/>
    <w:rsid w:val="007025C0"/>
    <w:rsid w:val="00707F04"/>
    <w:rsid w:val="00711637"/>
    <w:rsid w:val="00714F4F"/>
    <w:rsid w:val="00715844"/>
    <w:rsid w:val="0072632A"/>
    <w:rsid w:val="0073292B"/>
    <w:rsid w:val="00733FA4"/>
    <w:rsid w:val="00736E6A"/>
    <w:rsid w:val="00741401"/>
    <w:rsid w:val="00741F59"/>
    <w:rsid w:val="007427B7"/>
    <w:rsid w:val="007428A1"/>
    <w:rsid w:val="0074697D"/>
    <w:rsid w:val="00747CCD"/>
    <w:rsid w:val="00755EBE"/>
    <w:rsid w:val="00761619"/>
    <w:rsid w:val="0076177C"/>
    <w:rsid w:val="00763C33"/>
    <w:rsid w:val="00764CB1"/>
    <w:rsid w:val="00766322"/>
    <w:rsid w:val="00767583"/>
    <w:rsid w:val="00770BCD"/>
    <w:rsid w:val="00770D3F"/>
    <w:rsid w:val="00771904"/>
    <w:rsid w:val="00773353"/>
    <w:rsid w:val="00774129"/>
    <w:rsid w:val="00774E8F"/>
    <w:rsid w:val="00774EAA"/>
    <w:rsid w:val="0078123B"/>
    <w:rsid w:val="00783286"/>
    <w:rsid w:val="00786434"/>
    <w:rsid w:val="00790791"/>
    <w:rsid w:val="00794A14"/>
    <w:rsid w:val="00796F36"/>
    <w:rsid w:val="007A2218"/>
    <w:rsid w:val="007A2CDB"/>
    <w:rsid w:val="007A62EC"/>
    <w:rsid w:val="007B1A7E"/>
    <w:rsid w:val="007B208C"/>
    <w:rsid w:val="007B2BA8"/>
    <w:rsid w:val="007B6BA5"/>
    <w:rsid w:val="007C2C0D"/>
    <w:rsid w:val="007C3162"/>
    <w:rsid w:val="007C3390"/>
    <w:rsid w:val="007C4759"/>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51D86"/>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62D0"/>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0A8A"/>
    <w:rsid w:val="00933669"/>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12F"/>
    <w:rsid w:val="00984471"/>
    <w:rsid w:val="00985F37"/>
    <w:rsid w:val="009879EA"/>
    <w:rsid w:val="00987C3F"/>
    <w:rsid w:val="009908A5"/>
    <w:rsid w:val="0099124E"/>
    <w:rsid w:val="00991261"/>
    <w:rsid w:val="009953D5"/>
    <w:rsid w:val="009A1D29"/>
    <w:rsid w:val="009B18D4"/>
    <w:rsid w:val="009C6394"/>
    <w:rsid w:val="009D0E2A"/>
    <w:rsid w:val="009D0F0E"/>
    <w:rsid w:val="009D1AAE"/>
    <w:rsid w:val="009D1DEE"/>
    <w:rsid w:val="009D2246"/>
    <w:rsid w:val="009D634E"/>
    <w:rsid w:val="009E1560"/>
    <w:rsid w:val="009E34C6"/>
    <w:rsid w:val="009E47FC"/>
    <w:rsid w:val="009F0F06"/>
    <w:rsid w:val="009F228E"/>
    <w:rsid w:val="009F369A"/>
    <w:rsid w:val="009F4FC5"/>
    <w:rsid w:val="00A06982"/>
    <w:rsid w:val="00A06F1A"/>
    <w:rsid w:val="00A11695"/>
    <w:rsid w:val="00A1427D"/>
    <w:rsid w:val="00A212C6"/>
    <w:rsid w:val="00A235F1"/>
    <w:rsid w:val="00A34B00"/>
    <w:rsid w:val="00A3777A"/>
    <w:rsid w:val="00A436EB"/>
    <w:rsid w:val="00A50077"/>
    <w:rsid w:val="00A505AA"/>
    <w:rsid w:val="00A54CA8"/>
    <w:rsid w:val="00A60196"/>
    <w:rsid w:val="00A60CAE"/>
    <w:rsid w:val="00A6199C"/>
    <w:rsid w:val="00A622AF"/>
    <w:rsid w:val="00A65F4A"/>
    <w:rsid w:val="00A66636"/>
    <w:rsid w:val="00A67B16"/>
    <w:rsid w:val="00A71119"/>
    <w:rsid w:val="00A714AE"/>
    <w:rsid w:val="00A721CE"/>
    <w:rsid w:val="00A72F22"/>
    <w:rsid w:val="00A744D7"/>
    <w:rsid w:val="00A748A6"/>
    <w:rsid w:val="00A74A46"/>
    <w:rsid w:val="00A75EC9"/>
    <w:rsid w:val="00A810D4"/>
    <w:rsid w:val="00A83538"/>
    <w:rsid w:val="00A8523D"/>
    <w:rsid w:val="00A879A4"/>
    <w:rsid w:val="00AA1D9A"/>
    <w:rsid w:val="00AA32EB"/>
    <w:rsid w:val="00AB382F"/>
    <w:rsid w:val="00AB4CF1"/>
    <w:rsid w:val="00AB75AE"/>
    <w:rsid w:val="00AC7E37"/>
    <w:rsid w:val="00AD0165"/>
    <w:rsid w:val="00AD34EE"/>
    <w:rsid w:val="00AD5A2F"/>
    <w:rsid w:val="00AD7C88"/>
    <w:rsid w:val="00AD7D43"/>
    <w:rsid w:val="00AE271D"/>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4F03"/>
    <w:rsid w:val="00B35D5F"/>
    <w:rsid w:val="00B36C43"/>
    <w:rsid w:val="00B3742B"/>
    <w:rsid w:val="00B41384"/>
    <w:rsid w:val="00B4398E"/>
    <w:rsid w:val="00B535B3"/>
    <w:rsid w:val="00B5392B"/>
    <w:rsid w:val="00B60E54"/>
    <w:rsid w:val="00B65556"/>
    <w:rsid w:val="00B71D19"/>
    <w:rsid w:val="00B71E2B"/>
    <w:rsid w:val="00B7341E"/>
    <w:rsid w:val="00B73DA8"/>
    <w:rsid w:val="00B74F7C"/>
    <w:rsid w:val="00B75E05"/>
    <w:rsid w:val="00B81E12"/>
    <w:rsid w:val="00B84944"/>
    <w:rsid w:val="00B84AAC"/>
    <w:rsid w:val="00B90F54"/>
    <w:rsid w:val="00B91CC3"/>
    <w:rsid w:val="00B92989"/>
    <w:rsid w:val="00B92A0C"/>
    <w:rsid w:val="00B93068"/>
    <w:rsid w:val="00B93F23"/>
    <w:rsid w:val="00B95488"/>
    <w:rsid w:val="00BB176D"/>
    <w:rsid w:val="00BB1E7F"/>
    <w:rsid w:val="00BB3B28"/>
    <w:rsid w:val="00BC0C09"/>
    <w:rsid w:val="00BC1AC9"/>
    <w:rsid w:val="00BC4BF8"/>
    <w:rsid w:val="00BC4C36"/>
    <w:rsid w:val="00BC5D32"/>
    <w:rsid w:val="00BC74E9"/>
    <w:rsid w:val="00BD109F"/>
    <w:rsid w:val="00BE0423"/>
    <w:rsid w:val="00BE1FF8"/>
    <w:rsid w:val="00BE3609"/>
    <w:rsid w:val="00BE50CA"/>
    <w:rsid w:val="00BE618E"/>
    <w:rsid w:val="00BE767E"/>
    <w:rsid w:val="00BF479B"/>
    <w:rsid w:val="00BF4DE2"/>
    <w:rsid w:val="00BF65D7"/>
    <w:rsid w:val="00C0236F"/>
    <w:rsid w:val="00C0263F"/>
    <w:rsid w:val="00C03B44"/>
    <w:rsid w:val="00C07FED"/>
    <w:rsid w:val="00C13A85"/>
    <w:rsid w:val="00C15366"/>
    <w:rsid w:val="00C218A4"/>
    <w:rsid w:val="00C30546"/>
    <w:rsid w:val="00C36D37"/>
    <w:rsid w:val="00C4087B"/>
    <w:rsid w:val="00C430B5"/>
    <w:rsid w:val="00C463DD"/>
    <w:rsid w:val="00C46D5B"/>
    <w:rsid w:val="00C47ACC"/>
    <w:rsid w:val="00C530B1"/>
    <w:rsid w:val="00C537D5"/>
    <w:rsid w:val="00C62F76"/>
    <w:rsid w:val="00C63A69"/>
    <w:rsid w:val="00C66D78"/>
    <w:rsid w:val="00C745C3"/>
    <w:rsid w:val="00C8038E"/>
    <w:rsid w:val="00C80C57"/>
    <w:rsid w:val="00C81212"/>
    <w:rsid w:val="00C84FF1"/>
    <w:rsid w:val="00C86C21"/>
    <w:rsid w:val="00C91180"/>
    <w:rsid w:val="00C93C11"/>
    <w:rsid w:val="00C94181"/>
    <w:rsid w:val="00C94DDD"/>
    <w:rsid w:val="00C971F6"/>
    <w:rsid w:val="00CA049C"/>
    <w:rsid w:val="00CA381C"/>
    <w:rsid w:val="00CA5821"/>
    <w:rsid w:val="00CA628C"/>
    <w:rsid w:val="00CA74D3"/>
    <w:rsid w:val="00CB143B"/>
    <w:rsid w:val="00CB2158"/>
    <w:rsid w:val="00CB22C9"/>
    <w:rsid w:val="00CB6380"/>
    <w:rsid w:val="00CC16CC"/>
    <w:rsid w:val="00CC4CA6"/>
    <w:rsid w:val="00CD0009"/>
    <w:rsid w:val="00CD158A"/>
    <w:rsid w:val="00CD160D"/>
    <w:rsid w:val="00CD30EE"/>
    <w:rsid w:val="00CD3225"/>
    <w:rsid w:val="00CE2F07"/>
    <w:rsid w:val="00CE4083"/>
    <w:rsid w:val="00CE46BA"/>
    <w:rsid w:val="00CE4A8F"/>
    <w:rsid w:val="00CE6FAE"/>
    <w:rsid w:val="00CF160A"/>
    <w:rsid w:val="00CF6F32"/>
    <w:rsid w:val="00CF778D"/>
    <w:rsid w:val="00D00A82"/>
    <w:rsid w:val="00D034DC"/>
    <w:rsid w:val="00D0631B"/>
    <w:rsid w:val="00D06C3A"/>
    <w:rsid w:val="00D07C57"/>
    <w:rsid w:val="00D164BA"/>
    <w:rsid w:val="00D202CC"/>
    <w:rsid w:val="00D2031B"/>
    <w:rsid w:val="00D21739"/>
    <w:rsid w:val="00D25E8C"/>
    <w:rsid w:val="00D25FE2"/>
    <w:rsid w:val="00D27E89"/>
    <w:rsid w:val="00D3234C"/>
    <w:rsid w:val="00D37E80"/>
    <w:rsid w:val="00D43252"/>
    <w:rsid w:val="00D46231"/>
    <w:rsid w:val="00D477C4"/>
    <w:rsid w:val="00D5409C"/>
    <w:rsid w:val="00D57C13"/>
    <w:rsid w:val="00D57FD9"/>
    <w:rsid w:val="00D610C1"/>
    <w:rsid w:val="00D636B4"/>
    <w:rsid w:val="00D63AC6"/>
    <w:rsid w:val="00D658FA"/>
    <w:rsid w:val="00D67CDD"/>
    <w:rsid w:val="00D730E3"/>
    <w:rsid w:val="00D753D8"/>
    <w:rsid w:val="00D76D45"/>
    <w:rsid w:val="00D91E0D"/>
    <w:rsid w:val="00D920D7"/>
    <w:rsid w:val="00D9274F"/>
    <w:rsid w:val="00D96248"/>
    <w:rsid w:val="00D96CC5"/>
    <w:rsid w:val="00D978C6"/>
    <w:rsid w:val="00D97B77"/>
    <w:rsid w:val="00DA332C"/>
    <w:rsid w:val="00DA6620"/>
    <w:rsid w:val="00DA67AD"/>
    <w:rsid w:val="00DB655F"/>
    <w:rsid w:val="00DC581A"/>
    <w:rsid w:val="00DC7D59"/>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16FF3"/>
    <w:rsid w:val="00E239A0"/>
    <w:rsid w:val="00E34E58"/>
    <w:rsid w:val="00E3560E"/>
    <w:rsid w:val="00E36838"/>
    <w:rsid w:val="00E36C10"/>
    <w:rsid w:val="00E40B76"/>
    <w:rsid w:val="00E42461"/>
    <w:rsid w:val="00E4443D"/>
    <w:rsid w:val="00E4670F"/>
    <w:rsid w:val="00E51E6F"/>
    <w:rsid w:val="00E52EB0"/>
    <w:rsid w:val="00E54352"/>
    <w:rsid w:val="00E5644E"/>
    <w:rsid w:val="00E56849"/>
    <w:rsid w:val="00E5691C"/>
    <w:rsid w:val="00E631BA"/>
    <w:rsid w:val="00E6448B"/>
    <w:rsid w:val="00E6613A"/>
    <w:rsid w:val="00E67F31"/>
    <w:rsid w:val="00E7260F"/>
    <w:rsid w:val="00E730D8"/>
    <w:rsid w:val="00E73EB3"/>
    <w:rsid w:val="00E7545A"/>
    <w:rsid w:val="00E81230"/>
    <w:rsid w:val="00E81A1F"/>
    <w:rsid w:val="00E8254A"/>
    <w:rsid w:val="00E84898"/>
    <w:rsid w:val="00E8535A"/>
    <w:rsid w:val="00E864BE"/>
    <w:rsid w:val="00E90647"/>
    <w:rsid w:val="00E9253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3561"/>
    <w:rsid w:val="00EC755A"/>
    <w:rsid w:val="00ED128B"/>
    <w:rsid w:val="00ED3508"/>
    <w:rsid w:val="00ED3F6F"/>
    <w:rsid w:val="00ED64BE"/>
    <w:rsid w:val="00ED7A2A"/>
    <w:rsid w:val="00EE4D59"/>
    <w:rsid w:val="00EE4E42"/>
    <w:rsid w:val="00EE73C3"/>
    <w:rsid w:val="00EF18D3"/>
    <w:rsid w:val="00EF1D7F"/>
    <w:rsid w:val="00EF4AAC"/>
    <w:rsid w:val="00EF6FCD"/>
    <w:rsid w:val="00F00971"/>
    <w:rsid w:val="00F01C57"/>
    <w:rsid w:val="00F03FA2"/>
    <w:rsid w:val="00F05283"/>
    <w:rsid w:val="00F07537"/>
    <w:rsid w:val="00F075EF"/>
    <w:rsid w:val="00F07E12"/>
    <w:rsid w:val="00F1200D"/>
    <w:rsid w:val="00F138E5"/>
    <w:rsid w:val="00F14682"/>
    <w:rsid w:val="00F21360"/>
    <w:rsid w:val="00F24A2B"/>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56DDF"/>
    <w:rsid w:val="00F64C95"/>
    <w:rsid w:val="00F72514"/>
    <w:rsid w:val="00F736C5"/>
    <w:rsid w:val="00F75E96"/>
    <w:rsid w:val="00F807CE"/>
    <w:rsid w:val="00F80C07"/>
    <w:rsid w:val="00F940FF"/>
    <w:rsid w:val="00FA00A0"/>
    <w:rsid w:val="00FA3FB7"/>
    <w:rsid w:val="00FB2CDB"/>
    <w:rsid w:val="00FB4122"/>
    <w:rsid w:val="00FB5A37"/>
    <w:rsid w:val="00FB7793"/>
    <w:rsid w:val="00FC18AA"/>
    <w:rsid w:val="00FC215C"/>
    <w:rsid w:val="00FC29AA"/>
    <w:rsid w:val="00FC29EC"/>
    <w:rsid w:val="00FC68B7"/>
    <w:rsid w:val="00FD3C5D"/>
    <w:rsid w:val="00FD3E70"/>
    <w:rsid w:val="00FD4128"/>
    <w:rsid w:val="00FD6B2B"/>
    <w:rsid w:val="00FE3EEA"/>
    <w:rsid w:val="00FE5882"/>
    <w:rsid w:val="00FF03BB"/>
    <w:rsid w:val="00FF071A"/>
    <w:rsid w:val="00FF2FD7"/>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C80C276"/>
  <w15:docId w15:val="{E2097F2F-A14C-42D2-BCC4-1D8890AA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uiPriority w:val="99"/>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table" w:customStyle="1" w:styleId="TableGrid10">
    <w:name w:val="Table Grid1"/>
    <w:basedOn w:val="TableNormal"/>
    <w:next w:val="TableGrid"/>
    <w:uiPriority w:val="39"/>
    <w:rsid w:val="00E16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6413C-6DD5-4738-9201-FA1EEC98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8</TotalTime>
  <Pages>3</Pages>
  <Words>910</Words>
  <Characters>5188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 Garcia-Couto</cp:lastModifiedBy>
  <cp:revision>4</cp:revision>
  <cp:lastPrinted>2017-11-23T09:18:00Z</cp:lastPrinted>
  <dcterms:created xsi:type="dcterms:W3CDTF">2017-11-23T09:14:00Z</dcterms:created>
  <dcterms:modified xsi:type="dcterms:W3CDTF">2017-11-24T08:33:00Z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