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222887">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22887" w:rsidRPr="00DB58B5" w:rsidRDefault="00222887" w:rsidP="00222887">
            <w:pPr>
              <w:jc w:val="right"/>
            </w:pPr>
            <w:r w:rsidRPr="00222887">
              <w:rPr>
                <w:sz w:val="40"/>
              </w:rPr>
              <w:t>ST</w:t>
            </w:r>
            <w:r>
              <w:t>/SG/AC.10/C.3/2017/7−</w:t>
            </w:r>
            <w:r w:rsidRPr="00222887">
              <w:rPr>
                <w:sz w:val="40"/>
              </w:rPr>
              <w:t>ST</w:t>
            </w:r>
            <w:r>
              <w:t>/SG/AC.10/C.4/2017/1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222887" w:rsidP="00F01738">
            <w:pPr>
              <w:spacing w:before="240"/>
            </w:pPr>
            <w:r>
              <w:t>Distr. générale</w:t>
            </w:r>
          </w:p>
          <w:p w:rsidR="00222887" w:rsidRDefault="00222887" w:rsidP="00222887">
            <w:pPr>
              <w:spacing w:line="240" w:lineRule="exact"/>
            </w:pPr>
            <w:r>
              <w:t>6 avril 2017</w:t>
            </w:r>
          </w:p>
          <w:p w:rsidR="00222887" w:rsidRDefault="00222887" w:rsidP="00222887">
            <w:pPr>
              <w:spacing w:line="240" w:lineRule="exact"/>
            </w:pPr>
            <w:r>
              <w:t>Français</w:t>
            </w:r>
          </w:p>
          <w:p w:rsidR="00222887" w:rsidRPr="00DB58B5" w:rsidRDefault="00222887" w:rsidP="00222887">
            <w:pPr>
              <w:spacing w:line="240" w:lineRule="exact"/>
            </w:pPr>
            <w:r>
              <w:t>Original : anglais</w:t>
            </w:r>
          </w:p>
        </w:tc>
      </w:tr>
    </w:tbl>
    <w:p w:rsidR="00222887" w:rsidRPr="00CA0680" w:rsidRDefault="0022288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222887" w:rsidTr="00677C8F">
        <w:tc>
          <w:tcPr>
            <w:tcW w:w="4820" w:type="dxa"/>
          </w:tcPr>
          <w:p w:rsidR="00222887" w:rsidRDefault="00222887" w:rsidP="00677C8F">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rsidR="00222887" w:rsidRDefault="00222887" w:rsidP="00677C8F">
            <w:pPr>
              <w:spacing w:before="120"/>
              <w:rPr>
                <w:b/>
              </w:rPr>
            </w:pPr>
            <w:r>
              <w:rPr>
                <w:b/>
              </w:rPr>
              <w:t>Sous-Comité d’experts du Système général harmonisé de classification et d’étiquetage des produits chimiques</w:t>
            </w:r>
          </w:p>
        </w:tc>
      </w:tr>
      <w:tr w:rsidR="00222887" w:rsidTr="00677C8F">
        <w:tc>
          <w:tcPr>
            <w:tcW w:w="4820" w:type="dxa"/>
          </w:tcPr>
          <w:p w:rsidR="00222887" w:rsidRPr="00CA0680" w:rsidRDefault="00222887" w:rsidP="00677C8F">
            <w:pPr>
              <w:spacing w:before="120"/>
              <w:rPr>
                <w:b/>
              </w:rPr>
            </w:pPr>
            <w:r>
              <w:rPr>
                <w:b/>
                <w:lang w:val="fr-FR"/>
              </w:rPr>
              <w:t>Cinquante et unième</w:t>
            </w:r>
            <w:r>
              <w:rPr>
                <w:b/>
              </w:rPr>
              <w:t> </w:t>
            </w:r>
            <w:r w:rsidRPr="00CA0680">
              <w:rPr>
                <w:b/>
              </w:rPr>
              <w:t>session</w:t>
            </w:r>
          </w:p>
        </w:tc>
        <w:tc>
          <w:tcPr>
            <w:tcW w:w="4820" w:type="dxa"/>
          </w:tcPr>
          <w:p w:rsidR="00222887" w:rsidRDefault="00222887" w:rsidP="00677C8F">
            <w:pPr>
              <w:spacing w:before="120"/>
              <w:rPr>
                <w:b/>
              </w:rPr>
            </w:pPr>
            <w:r>
              <w:rPr>
                <w:b/>
                <w:lang w:val="fr-FR"/>
              </w:rPr>
              <w:t>Trente-troisième</w:t>
            </w:r>
            <w:r>
              <w:rPr>
                <w:b/>
              </w:rPr>
              <w:t> session</w:t>
            </w:r>
          </w:p>
        </w:tc>
      </w:tr>
      <w:tr w:rsidR="00222887" w:rsidTr="00677C8F">
        <w:tc>
          <w:tcPr>
            <w:tcW w:w="4820" w:type="dxa"/>
          </w:tcPr>
          <w:p w:rsidR="00222887" w:rsidRDefault="00222887" w:rsidP="00EF06C2">
            <w:pPr>
              <w:spacing w:before="120"/>
            </w:pPr>
            <w:r>
              <w:t xml:space="preserve">Genève, </w:t>
            </w:r>
            <w:r>
              <w:rPr>
                <w:lang w:val="fr-FR"/>
              </w:rPr>
              <w:t>3</w:t>
            </w:r>
            <w:r>
              <w:rPr>
                <w:lang w:val="fr-FR"/>
              </w:rPr>
              <w:noBreakHyphen/>
              <w:t>7 juillet 2017</w:t>
            </w:r>
          </w:p>
          <w:p w:rsidR="00222887" w:rsidRDefault="00222887" w:rsidP="00677C8F">
            <w:r>
              <w:t>Point 10 e) de l’ordre du jour provisoire</w:t>
            </w:r>
          </w:p>
          <w:p w:rsidR="00222887" w:rsidRPr="003B79D9" w:rsidRDefault="00222887" w:rsidP="00677C8F">
            <w:pPr>
              <w:rPr>
                <w:b/>
              </w:rPr>
            </w:pPr>
            <w:r>
              <w:rPr>
                <w:lang w:val="fr-FR"/>
              </w:rPr>
              <w:t xml:space="preserve">Questions relatives au Système général harmonisé </w:t>
            </w:r>
            <w:r>
              <w:rPr>
                <w:lang w:val="fr-FR"/>
              </w:rPr>
              <w:br/>
              <w:t xml:space="preserve">de classification et d’étiquetage des produits </w:t>
            </w:r>
            <w:r w:rsidR="00EF06C2">
              <w:rPr>
                <w:lang w:val="fr-FR"/>
              </w:rPr>
              <w:br/>
            </w:r>
            <w:r>
              <w:rPr>
                <w:lang w:val="fr-FR"/>
              </w:rPr>
              <w:t>chimiques (SGH) : divers</w:t>
            </w:r>
          </w:p>
        </w:tc>
        <w:tc>
          <w:tcPr>
            <w:tcW w:w="4820" w:type="dxa"/>
          </w:tcPr>
          <w:p w:rsidR="00222887" w:rsidRDefault="00222887" w:rsidP="00EF06C2">
            <w:pPr>
              <w:spacing w:before="120"/>
            </w:pPr>
            <w:r>
              <w:t xml:space="preserve">Genève, </w:t>
            </w:r>
            <w:r>
              <w:rPr>
                <w:lang w:val="fr-FR"/>
              </w:rPr>
              <w:t>10</w:t>
            </w:r>
            <w:r>
              <w:rPr>
                <w:lang w:val="fr-FR"/>
              </w:rPr>
              <w:noBreakHyphen/>
              <w:t>12 juillet 2017</w:t>
            </w:r>
          </w:p>
          <w:p w:rsidR="00222887" w:rsidRDefault="00222887" w:rsidP="00677C8F">
            <w:r>
              <w:t>Point 4 a) de l’ordre du jour provisoire</w:t>
            </w:r>
          </w:p>
          <w:p w:rsidR="00222887" w:rsidRPr="003B79D9" w:rsidRDefault="00222887" w:rsidP="00677C8F">
            <w:pPr>
              <w:rPr>
                <w:b/>
              </w:rPr>
            </w:pPr>
            <w:r>
              <w:rPr>
                <w:lang w:val="fr-FR"/>
              </w:rPr>
              <w:t xml:space="preserve">Mise en œuvre du SGH : élaboration d’une liste </w:t>
            </w:r>
            <w:r>
              <w:rPr>
                <w:lang w:val="fr-FR"/>
              </w:rPr>
              <w:br/>
              <w:t>des produits chimiques classés conformément au SGH</w:t>
            </w:r>
          </w:p>
        </w:tc>
      </w:tr>
    </w:tbl>
    <w:p w:rsidR="00222887" w:rsidRDefault="00222887" w:rsidP="00222887">
      <w:pPr>
        <w:pStyle w:val="HChG"/>
        <w:rPr>
          <w:lang w:val="fr-FR"/>
        </w:rPr>
      </w:pPr>
      <w:r>
        <w:rPr>
          <w:lang w:val="fr-FR"/>
        </w:rPr>
        <w:tab/>
      </w:r>
      <w:r>
        <w:rPr>
          <w:lang w:val="fr-FR"/>
        </w:rPr>
        <w:tab/>
        <w:t xml:space="preserve">Évaluation de la possibilité d’élaborer une liste mondiale </w:t>
      </w:r>
      <w:r w:rsidR="00EF06C2">
        <w:rPr>
          <w:lang w:val="fr-FR"/>
        </w:rPr>
        <w:br/>
      </w:r>
      <w:r>
        <w:rPr>
          <w:lang w:val="fr-FR"/>
        </w:rPr>
        <w:t xml:space="preserve">des produits chimiques classés conformément au Système général harmonisé de classification et d’étiquetage </w:t>
      </w:r>
      <w:r w:rsidR="00EF06C2">
        <w:rPr>
          <w:lang w:val="fr-FR"/>
        </w:rPr>
        <w:br/>
      </w:r>
      <w:r>
        <w:rPr>
          <w:lang w:val="fr-FR"/>
        </w:rPr>
        <w:t>des produits chimiques</w:t>
      </w:r>
    </w:p>
    <w:p w:rsidR="00222887" w:rsidRDefault="00222887" w:rsidP="00222887">
      <w:pPr>
        <w:pStyle w:val="H1G"/>
        <w:rPr>
          <w:b w:val="0"/>
          <w:sz w:val="20"/>
        </w:rPr>
      </w:pPr>
      <w:r>
        <w:rPr>
          <w:lang w:val="fr-FR"/>
        </w:rPr>
        <w:tab/>
      </w:r>
      <w:r>
        <w:rPr>
          <w:lang w:val="fr-FR"/>
        </w:rPr>
        <w:tab/>
        <w:t>Communication de l’expert des États</w:t>
      </w:r>
      <w:r>
        <w:rPr>
          <w:lang w:val="fr-FR"/>
        </w:rPr>
        <w:noBreakHyphen/>
        <w:t xml:space="preserve">Unis d’Amérique </w:t>
      </w:r>
      <w:r>
        <w:rPr>
          <w:lang w:val="fr-FR"/>
        </w:rPr>
        <w:br/>
        <w:t xml:space="preserve">au nom du groupe de travail informel par correspondance </w:t>
      </w:r>
      <w:r>
        <w:rPr>
          <w:lang w:val="fr-FR"/>
        </w:rPr>
        <w:br/>
        <w:t>sur la liste mondiale du Sous</w:t>
      </w:r>
      <w:r>
        <w:rPr>
          <w:lang w:val="fr-FR"/>
        </w:rPr>
        <w:noBreakHyphen/>
        <w:t>Comité SGH</w:t>
      </w:r>
      <w:r w:rsidRPr="00757BA8">
        <w:rPr>
          <w:rStyle w:val="FootnoteReference"/>
          <w:b w:val="0"/>
          <w:sz w:val="20"/>
          <w:vertAlign w:val="baseline"/>
        </w:rPr>
        <w:footnoteReference w:customMarkFollows="1" w:id="2"/>
        <w:t>*</w:t>
      </w:r>
    </w:p>
    <w:p w:rsidR="00731D6F" w:rsidRDefault="00731D6F" w:rsidP="00731D6F">
      <w:pPr>
        <w:pStyle w:val="HChG"/>
        <w:rPr>
          <w:lang w:val="fr-FR"/>
        </w:rPr>
      </w:pPr>
      <w:r>
        <w:rPr>
          <w:lang w:val="fr-FR"/>
        </w:rPr>
        <w:tab/>
      </w:r>
      <w:r>
        <w:rPr>
          <w:lang w:val="fr-FR"/>
        </w:rPr>
        <w:tab/>
        <w:t>Introduction</w:t>
      </w:r>
    </w:p>
    <w:p w:rsidR="00731D6F" w:rsidRDefault="00731D6F" w:rsidP="00731D6F">
      <w:pPr>
        <w:pStyle w:val="ParNoG"/>
        <w:rPr>
          <w:lang w:val="fr-FR"/>
        </w:rPr>
      </w:pPr>
      <w:r>
        <w:rPr>
          <w:lang w:val="fr-FR"/>
        </w:rPr>
        <w:t xml:space="preserve">Alors que le Système général harmonisé (SGH) est appliqué à travers le monde, un certain nombre d’autorités compétentes ont mis en place leurs propres classifications des produits chimiques plus ou moins obligatoires, afin d’en faciliter la mise en œuvre. Toutefois, il a été noté que ces classifications ne sont pas toujours homogènes et n’indiquent pas les mêmes dangers. En outre, il a été relevé que de nombreux pays et/ou régions ne disposaient d’aucune classification. </w:t>
      </w:r>
      <w:r w:rsidR="00633BA5">
        <w:rPr>
          <w:lang w:val="fr-FR"/>
        </w:rPr>
        <w:t>Ces considérations ont amené le </w:t>
      </w:r>
      <w:r>
        <w:rPr>
          <w:lang w:val="fr-FR"/>
        </w:rPr>
        <w:t>Sous</w:t>
      </w:r>
      <w:r>
        <w:rPr>
          <w:lang w:val="fr-FR"/>
        </w:rPr>
        <w:noBreakHyphen/>
        <w:t>Comité d’experts du SGH (Sous</w:t>
      </w:r>
      <w:r>
        <w:rPr>
          <w:lang w:val="fr-FR"/>
        </w:rPr>
        <w:noBreakHyphen/>
        <w:t>Comité SGH) à étudier la possibilité d’élaborer une classification mondiale des produits chimiques conforme au SGH, qui pourrait être utile aux pays ou aux régions ne disposant d’aucune liste, contribuer à harmoniser les classifications existantes à l’échelle mondiale et préserver les ressources, en évitant les doubles emplois en matière de classement.</w:t>
      </w:r>
    </w:p>
    <w:p w:rsidR="00731D6F" w:rsidRDefault="00731D6F" w:rsidP="00731D6F">
      <w:pPr>
        <w:pStyle w:val="ParNoG"/>
        <w:rPr>
          <w:lang w:val="fr-FR"/>
        </w:rPr>
      </w:pPr>
      <w:r>
        <w:rPr>
          <w:lang w:val="fr-FR"/>
        </w:rPr>
        <w:t>Après de longs débats, le Sous</w:t>
      </w:r>
      <w:r w:rsidR="00783C78">
        <w:rPr>
          <w:lang w:val="fr-FR"/>
        </w:rPr>
        <w:noBreakHyphen/>
      </w:r>
      <w:r>
        <w:rPr>
          <w:lang w:val="fr-FR"/>
        </w:rPr>
        <w:t xml:space="preserve">Comité SGH a défini un ensemble de principes directeurs </w:t>
      </w:r>
      <w:r w:rsidR="00783C78">
        <w:rPr>
          <w:lang w:val="fr-FR"/>
        </w:rPr>
        <w:t>pour l</w:t>
      </w:r>
      <w:r>
        <w:rPr>
          <w:lang w:val="fr-FR"/>
        </w:rPr>
        <w:t xml:space="preserve">’élaboration d’une liste mondiale </w:t>
      </w:r>
      <w:r w:rsidR="00783C78">
        <w:rPr>
          <w:lang w:val="fr-FR"/>
        </w:rPr>
        <w:t>qui</w:t>
      </w:r>
      <w:r>
        <w:rPr>
          <w:lang w:val="fr-FR"/>
        </w:rPr>
        <w:t xml:space="preserve"> en garantir</w:t>
      </w:r>
      <w:r w:rsidR="00783C78">
        <w:rPr>
          <w:lang w:val="fr-FR"/>
        </w:rPr>
        <w:t>ait</w:t>
      </w:r>
      <w:r>
        <w:rPr>
          <w:lang w:val="fr-FR"/>
        </w:rPr>
        <w:t xml:space="preserve"> la transparence, </w:t>
      </w:r>
      <w:r w:rsidR="00783C78">
        <w:rPr>
          <w:lang w:val="fr-FR"/>
        </w:rPr>
        <w:t>permettrait</w:t>
      </w:r>
      <w:r>
        <w:rPr>
          <w:lang w:val="fr-FR"/>
        </w:rPr>
        <w:t xml:space="preserve"> la </w:t>
      </w:r>
      <w:r w:rsidR="00783C78">
        <w:rPr>
          <w:lang w:val="fr-FR"/>
        </w:rPr>
        <w:t>participation</w:t>
      </w:r>
      <w:r>
        <w:rPr>
          <w:lang w:val="fr-FR"/>
        </w:rPr>
        <w:t xml:space="preserve"> des parties prenantes</w:t>
      </w:r>
      <w:r w:rsidR="00783C78">
        <w:rPr>
          <w:lang w:val="fr-FR"/>
        </w:rPr>
        <w:t xml:space="preserve">, </w:t>
      </w:r>
      <w:r>
        <w:rPr>
          <w:lang w:val="fr-FR"/>
        </w:rPr>
        <w:t>assurer</w:t>
      </w:r>
      <w:r w:rsidR="00783C78">
        <w:rPr>
          <w:lang w:val="fr-FR"/>
        </w:rPr>
        <w:t>ait un accès</w:t>
      </w:r>
      <w:r>
        <w:rPr>
          <w:lang w:val="fr-FR"/>
        </w:rPr>
        <w:t xml:space="preserve"> </w:t>
      </w:r>
      <w:r w:rsidR="00783C78">
        <w:rPr>
          <w:lang w:val="fr-FR"/>
        </w:rPr>
        <w:t xml:space="preserve">public </w:t>
      </w:r>
      <w:r>
        <w:rPr>
          <w:lang w:val="fr-FR"/>
        </w:rPr>
        <w:t xml:space="preserve">aux données par </w:t>
      </w:r>
      <w:r>
        <w:rPr>
          <w:lang w:val="fr-FR"/>
        </w:rPr>
        <w:lastRenderedPageBreak/>
        <w:t xml:space="preserve">voie électronique, </w:t>
      </w:r>
      <w:r w:rsidR="00783C78">
        <w:rPr>
          <w:lang w:val="fr-FR"/>
        </w:rPr>
        <w:t>et serait</w:t>
      </w:r>
      <w:r>
        <w:rPr>
          <w:lang w:val="fr-FR"/>
        </w:rPr>
        <w:t xml:space="preserve"> non contraignant. (Voir le document ST/SG/AC.10/C.4/48, annexe</w:t>
      </w:r>
      <w:r w:rsidR="003D6BFC">
        <w:rPr>
          <w:lang w:val="fr-FR"/>
        </w:rPr>
        <w:t> III</w:t>
      </w:r>
      <w:r>
        <w:rPr>
          <w:lang w:val="fr-FR"/>
        </w:rPr>
        <w:t>).</w:t>
      </w:r>
    </w:p>
    <w:p w:rsidR="00477510" w:rsidRDefault="00477510" w:rsidP="007E3FFC">
      <w:pPr>
        <w:pStyle w:val="HChG"/>
        <w:rPr>
          <w:lang w:val="fr-FR"/>
        </w:rPr>
      </w:pPr>
      <w:r>
        <w:rPr>
          <w:lang w:val="fr-FR"/>
        </w:rPr>
        <w:tab/>
      </w:r>
      <w:r>
        <w:rPr>
          <w:lang w:val="fr-FR"/>
        </w:rPr>
        <w:tab/>
        <w:t>Projet pilote de classification</w:t>
      </w:r>
    </w:p>
    <w:p w:rsidR="00477510" w:rsidRDefault="00477510" w:rsidP="00477510">
      <w:pPr>
        <w:pStyle w:val="ParNoG"/>
        <w:rPr>
          <w:lang w:val="fr-FR"/>
        </w:rPr>
      </w:pPr>
      <w:r>
        <w:rPr>
          <w:lang w:val="fr-FR"/>
        </w:rPr>
        <w:t>Afin de déterminer le processus qui pourrait être adopté et les ressources qui pourraient être nécessaires à l’élaboration d’une classification mondiale, le Sous</w:t>
      </w:r>
      <w:r w:rsidR="00B74DA6">
        <w:rPr>
          <w:lang w:val="fr-FR"/>
        </w:rPr>
        <w:noBreakHyphen/>
        <w:t xml:space="preserve">Comité </w:t>
      </w:r>
      <w:r>
        <w:rPr>
          <w:lang w:val="fr-FR"/>
        </w:rPr>
        <w:t xml:space="preserve">SGH a mené un projet pilote de classification en collaboration avec l’Organisation de coopération et de développement économiques (OCDE). Dans le cadre du projet pilote, </w:t>
      </w:r>
      <w:r w:rsidR="00B74DA6">
        <w:rPr>
          <w:lang w:val="fr-FR"/>
        </w:rPr>
        <w:t>une institution</w:t>
      </w:r>
      <w:r>
        <w:rPr>
          <w:lang w:val="fr-FR"/>
        </w:rPr>
        <w:t xml:space="preserve"> (l’Agence européenne des produits chimiques (ECHA)</w:t>
      </w:r>
      <w:r w:rsidR="00B74DA6">
        <w:rPr>
          <w:lang w:val="fr-FR"/>
        </w:rPr>
        <w:t>)</w:t>
      </w:r>
      <w:r>
        <w:rPr>
          <w:lang w:val="fr-FR"/>
        </w:rPr>
        <w:t>,</w:t>
      </w:r>
      <w:r w:rsidR="00B74DA6">
        <w:rPr>
          <w:lang w:val="fr-FR"/>
        </w:rPr>
        <w:t xml:space="preserve"> et deux pays</w:t>
      </w:r>
      <w:r>
        <w:rPr>
          <w:lang w:val="fr-FR"/>
        </w:rPr>
        <w:t xml:space="preserve"> </w:t>
      </w:r>
      <w:r w:rsidR="00B74DA6">
        <w:rPr>
          <w:lang w:val="fr-FR"/>
        </w:rPr>
        <w:t>(</w:t>
      </w:r>
      <w:r w:rsidR="00633BA5">
        <w:rPr>
          <w:lang w:val="fr-FR"/>
        </w:rPr>
        <w:t>la </w:t>
      </w:r>
      <w:r>
        <w:rPr>
          <w:lang w:val="fr-FR"/>
        </w:rPr>
        <w:t>Fédération de Russie et les États</w:t>
      </w:r>
      <w:r w:rsidR="00B74DA6">
        <w:rPr>
          <w:lang w:val="fr-FR"/>
        </w:rPr>
        <w:noBreakHyphen/>
      </w:r>
      <w:r>
        <w:rPr>
          <w:lang w:val="fr-FR"/>
        </w:rPr>
        <w:t xml:space="preserve">Unis d’Amérique) ont accepté de parrainer </w:t>
      </w:r>
      <w:r w:rsidR="00B74DA6">
        <w:rPr>
          <w:lang w:val="fr-FR"/>
        </w:rPr>
        <w:t xml:space="preserve">chacun </w:t>
      </w:r>
      <w:r>
        <w:rPr>
          <w:lang w:val="fr-FR"/>
        </w:rPr>
        <w:t xml:space="preserve">l’étude de l’une des trois </w:t>
      </w:r>
      <w:r w:rsidR="00B74DA6">
        <w:rPr>
          <w:lang w:val="fr-FR"/>
        </w:rPr>
        <w:t>matières</w:t>
      </w:r>
      <w:r>
        <w:rPr>
          <w:lang w:val="fr-FR"/>
        </w:rPr>
        <w:t xml:space="preserve"> sélectionnées (le dichlorure d</w:t>
      </w:r>
      <w:r w:rsidR="00B74DA6">
        <w:rPr>
          <w:lang w:val="fr-FR"/>
        </w:rPr>
        <w:t xml:space="preserve">e diméthylstannane (DMTC, CAS </w:t>
      </w:r>
      <w:r w:rsidR="00B74DA6" w:rsidRPr="00B74DA6">
        <w:rPr>
          <w:rFonts w:eastAsia="MS Mincho"/>
          <w:szCs w:val="22"/>
          <w:lang w:val="fr-FR"/>
        </w:rPr>
        <w:t>n</w:t>
      </w:r>
      <w:r w:rsidR="00B74DA6" w:rsidRPr="00B74DA6">
        <w:rPr>
          <w:rFonts w:eastAsia="MS Mincho"/>
          <w:szCs w:val="22"/>
          <w:vertAlign w:val="superscript"/>
          <w:lang w:val="fr-FR"/>
        </w:rPr>
        <w:t>o</w:t>
      </w:r>
      <w:r w:rsidR="00B74DA6">
        <w:rPr>
          <w:lang w:val="fr-FR"/>
        </w:rPr>
        <w:t> </w:t>
      </w:r>
      <w:r>
        <w:rPr>
          <w:lang w:val="fr-FR"/>
        </w:rPr>
        <w:t>753</w:t>
      </w:r>
      <w:r w:rsidR="00B74DA6">
        <w:rPr>
          <w:lang w:val="fr-FR"/>
        </w:rPr>
        <w:noBreakHyphen/>
      </w:r>
      <w:r>
        <w:rPr>
          <w:lang w:val="fr-FR"/>
        </w:rPr>
        <w:t>73</w:t>
      </w:r>
      <w:r w:rsidR="00B74DA6">
        <w:rPr>
          <w:lang w:val="fr-FR"/>
        </w:rPr>
        <w:noBreakHyphen/>
      </w:r>
      <w:r>
        <w:rPr>
          <w:lang w:val="fr-FR"/>
        </w:rPr>
        <w:t xml:space="preserve">1), le </w:t>
      </w:r>
      <w:r w:rsidR="00B74DA6">
        <w:rPr>
          <w:lang w:val="fr-FR"/>
        </w:rPr>
        <w:t xml:space="preserve">dicyclopentadiène (DCPD, CAS </w:t>
      </w:r>
      <w:r w:rsidR="00B74DA6" w:rsidRPr="00B74DA6">
        <w:rPr>
          <w:rFonts w:eastAsia="MS Mincho"/>
          <w:szCs w:val="22"/>
          <w:lang w:val="fr-FR"/>
        </w:rPr>
        <w:t>n</w:t>
      </w:r>
      <w:r w:rsidR="00B74DA6" w:rsidRPr="00B74DA6">
        <w:rPr>
          <w:rFonts w:eastAsia="MS Mincho"/>
          <w:szCs w:val="22"/>
          <w:vertAlign w:val="superscript"/>
          <w:lang w:val="fr-FR"/>
        </w:rPr>
        <w:t>o</w:t>
      </w:r>
      <w:r w:rsidR="00B74DA6">
        <w:rPr>
          <w:lang w:val="fr-FR"/>
        </w:rPr>
        <w:t> </w:t>
      </w:r>
      <w:r>
        <w:rPr>
          <w:lang w:val="fr-FR"/>
        </w:rPr>
        <w:t>77</w:t>
      </w:r>
      <w:r w:rsidR="00B74DA6">
        <w:rPr>
          <w:lang w:val="fr-FR"/>
        </w:rPr>
        <w:noBreakHyphen/>
      </w:r>
      <w:r>
        <w:rPr>
          <w:lang w:val="fr-FR"/>
        </w:rPr>
        <w:t>73</w:t>
      </w:r>
      <w:r w:rsidR="00B74DA6">
        <w:rPr>
          <w:lang w:val="fr-FR"/>
        </w:rPr>
        <w:noBreakHyphen/>
      </w:r>
      <w:r>
        <w:rPr>
          <w:lang w:val="fr-FR"/>
        </w:rPr>
        <w:t>6) et le ph</w:t>
      </w:r>
      <w:r w:rsidR="00B74DA6">
        <w:rPr>
          <w:lang w:val="fr-FR"/>
        </w:rPr>
        <w:t xml:space="preserve">talate de dibutyle (DBP, CAS </w:t>
      </w:r>
      <w:r w:rsidR="00B74DA6" w:rsidRPr="00B74DA6">
        <w:rPr>
          <w:rFonts w:eastAsia="MS Mincho"/>
          <w:szCs w:val="22"/>
          <w:lang w:val="fr-FR"/>
        </w:rPr>
        <w:t>n</w:t>
      </w:r>
      <w:r w:rsidR="00B74DA6" w:rsidRPr="00B74DA6">
        <w:rPr>
          <w:rFonts w:eastAsia="MS Mincho"/>
          <w:szCs w:val="22"/>
          <w:vertAlign w:val="superscript"/>
          <w:lang w:val="fr-FR"/>
        </w:rPr>
        <w:t>o</w:t>
      </w:r>
      <w:r w:rsidR="00B74DA6">
        <w:rPr>
          <w:lang w:val="fr-FR"/>
        </w:rPr>
        <w:t> </w:t>
      </w:r>
      <w:r>
        <w:rPr>
          <w:lang w:val="fr-FR"/>
        </w:rPr>
        <w:t>84</w:t>
      </w:r>
      <w:r w:rsidR="00B74DA6">
        <w:rPr>
          <w:lang w:val="fr-FR"/>
        </w:rPr>
        <w:noBreakHyphen/>
      </w:r>
      <w:r>
        <w:rPr>
          <w:lang w:val="fr-FR"/>
        </w:rPr>
        <w:t>74</w:t>
      </w:r>
      <w:r w:rsidR="00B74DA6">
        <w:rPr>
          <w:lang w:val="fr-FR"/>
        </w:rPr>
        <w:noBreakHyphen/>
      </w:r>
      <w:r w:rsidR="00360DF7">
        <w:rPr>
          <w:lang w:val="fr-FR"/>
        </w:rPr>
        <w:t>2)). Chacun</w:t>
      </w:r>
      <w:r>
        <w:rPr>
          <w:lang w:val="fr-FR"/>
        </w:rPr>
        <w:t xml:space="preserve"> a établi un rapport contenant des propositions de classification des dangers et des éléments d’étiquetage pour la </w:t>
      </w:r>
      <w:r w:rsidR="00360DF7">
        <w:rPr>
          <w:lang w:val="fr-FR"/>
        </w:rPr>
        <w:t xml:space="preserve">matière étudiée et ajouté </w:t>
      </w:r>
      <w:r>
        <w:rPr>
          <w:lang w:val="fr-FR"/>
        </w:rPr>
        <w:t xml:space="preserve">une annexe au rapport comportant des informations plus détaillées sur les différentes études réalisées au sujet de la </w:t>
      </w:r>
      <w:r w:rsidR="00360DF7">
        <w:rPr>
          <w:lang w:val="fr-FR"/>
        </w:rPr>
        <w:t>matière en question</w:t>
      </w:r>
      <w:r>
        <w:rPr>
          <w:lang w:val="fr-FR"/>
        </w:rPr>
        <w:t>.</w:t>
      </w:r>
    </w:p>
    <w:p w:rsidR="00477510" w:rsidRPr="00AC4968" w:rsidRDefault="00215C2C" w:rsidP="00477510">
      <w:pPr>
        <w:pStyle w:val="ParNoG"/>
        <w:rPr>
          <w:lang w:val="fr-FR"/>
        </w:rPr>
      </w:pPr>
      <w:r>
        <w:rPr>
          <w:lang w:val="fr-FR"/>
        </w:rPr>
        <w:t>Dans un souci de</w:t>
      </w:r>
      <w:r w:rsidR="00477510">
        <w:rPr>
          <w:lang w:val="fr-FR"/>
        </w:rPr>
        <w:t xml:space="preserve"> transparence et </w:t>
      </w:r>
      <w:r>
        <w:rPr>
          <w:lang w:val="fr-FR"/>
        </w:rPr>
        <w:t>afin de centraliser</w:t>
      </w:r>
      <w:r w:rsidR="00FE60FC">
        <w:rPr>
          <w:lang w:val="fr-FR"/>
        </w:rPr>
        <w:t xml:space="preserve"> les contributions des parties prenantes</w:t>
      </w:r>
      <w:r w:rsidR="00477510">
        <w:rPr>
          <w:lang w:val="fr-FR"/>
        </w:rPr>
        <w:t xml:space="preserve">, ces documents ont été publiés sur un site Web hébergé par l’OCDE. Toutes les parties prenantes ont été autorisées à accéder au site Web et invitées à formuler des observations. Les auteurs des rapports ont ensuite révisé leurs documents sur la base de ces observations, auxquelles ils ont également apporté des éléments de réponse. Les observations en suspens ont été discutées par téléconférence. Les auteurs des rapports et les commentateurs ont indiqué, par le biais d’un formulaire type de suivi des ressources, le temps passé à l’élaboration, à l’examen et à la révision du projet de classification des dangers, ainsi que le temps consacré aux téléconférences. L’OCDE a élaboré un rapport résumant le processus suivi, les ressources utilisées, le projet final de classification obtenu et les enseignements tirés. (Voir </w:t>
      </w:r>
      <w:r w:rsidR="00602DD1">
        <w:rPr>
          <w:lang w:val="fr-FR"/>
        </w:rPr>
        <w:t xml:space="preserve">les documents </w:t>
      </w:r>
      <w:r w:rsidR="00477510">
        <w:rPr>
          <w:lang w:val="fr-FR"/>
        </w:rPr>
        <w:t>ST/SG/AC.10/C.4/2016/18</w:t>
      </w:r>
      <w:r w:rsidR="00602DD1">
        <w:rPr>
          <w:lang w:val="fr-FR"/>
        </w:rPr>
        <w:t xml:space="preserve"> et</w:t>
      </w:r>
      <w:r w:rsidR="00477510">
        <w:rPr>
          <w:lang w:val="fr-FR"/>
        </w:rPr>
        <w:t xml:space="preserve"> INF.4 (Sous</w:t>
      </w:r>
      <w:r w:rsidR="00602DD1">
        <w:rPr>
          <w:lang w:val="fr-FR"/>
        </w:rPr>
        <w:noBreakHyphen/>
      </w:r>
      <w:r w:rsidR="00477510">
        <w:rPr>
          <w:lang w:val="fr-FR"/>
        </w:rPr>
        <w:t>Comité SGH, trente</w:t>
      </w:r>
      <w:r w:rsidR="00602DD1">
        <w:rPr>
          <w:lang w:val="fr-FR"/>
        </w:rPr>
        <w:noBreakHyphen/>
      </w:r>
      <w:r w:rsidR="00477510">
        <w:rPr>
          <w:lang w:val="fr-FR"/>
        </w:rPr>
        <w:t>deuxième session)). Tous ces documents, y compris les modèles mis au point pour appuyer le processus, sont également accessibles sur le site Web de l’OCDE.</w:t>
      </w:r>
    </w:p>
    <w:p w:rsidR="00477510" w:rsidRDefault="00477510" w:rsidP="00477510">
      <w:pPr>
        <w:pStyle w:val="ParNoG"/>
        <w:rPr>
          <w:lang w:val="fr-FR"/>
        </w:rPr>
      </w:pPr>
      <w:r>
        <w:rPr>
          <w:lang w:val="fr-FR"/>
        </w:rPr>
        <w:t xml:space="preserve">Le projet pilote s’est avéré concluant en ce sens que les classifications à caractère non obligatoire proposées pour chacun des trois produits chimiques étudiés ont fait l’objet d’un consensus. Toutefois, le projet pilote a également montré que </w:t>
      </w:r>
      <w:r w:rsidR="00022ED6">
        <w:rPr>
          <w:lang w:val="fr-FR"/>
        </w:rPr>
        <w:t>pour l’élaboration d’une liste</w:t>
      </w:r>
      <w:r>
        <w:rPr>
          <w:lang w:val="fr-FR"/>
        </w:rPr>
        <w:t xml:space="preserve"> mondiale </w:t>
      </w:r>
      <w:r w:rsidR="00022ED6">
        <w:rPr>
          <w:lang w:val="fr-FR"/>
        </w:rPr>
        <w:t>le Sous</w:t>
      </w:r>
      <w:r w:rsidR="00022ED6">
        <w:rPr>
          <w:lang w:val="fr-FR"/>
        </w:rPr>
        <w:noBreakHyphen/>
        <w:t xml:space="preserve">Comité aurait besoin de beaucoup de </w:t>
      </w:r>
      <w:r>
        <w:rPr>
          <w:lang w:val="fr-FR"/>
        </w:rPr>
        <w:t xml:space="preserve">ressources et </w:t>
      </w:r>
      <w:r w:rsidR="00022ED6">
        <w:rPr>
          <w:lang w:val="fr-FR"/>
        </w:rPr>
        <w:t>d’</w:t>
      </w:r>
      <w:r>
        <w:rPr>
          <w:lang w:val="fr-FR"/>
        </w:rPr>
        <w:t xml:space="preserve">un engagement </w:t>
      </w:r>
      <w:r w:rsidR="00022ED6">
        <w:rPr>
          <w:lang w:val="fr-FR"/>
        </w:rPr>
        <w:t>soutenu</w:t>
      </w:r>
      <w:r>
        <w:rPr>
          <w:lang w:val="fr-FR"/>
        </w:rPr>
        <w:t>.</w:t>
      </w:r>
    </w:p>
    <w:p w:rsidR="00477510" w:rsidRDefault="00477510" w:rsidP="00477510">
      <w:pPr>
        <w:pStyle w:val="ParNoG"/>
        <w:rPr>
          <w:lang w:val="fr-FR"/>
        </w:rPr>
      </w:pPr>
      <w:r w:rsidRPr="00477510">
        <w:rPr>
          <w:lang w:val="fr-FR"/>
        </w:rPr>
        <w:t>Le Sous</w:t>
      </w:r>
      <w:r w:rsidR="00955772">
        <w:rPr>
          <w:lang w:val="fr-FR"/>
        </w:rPr>
        <w:noBreakHyphen/>
      </w:r>
      <w:r w:rsidRPr="00477510">
        <w:rPr>
          <w:lang w:val="fr-FR"/>
        </w:rPr>
        <w:t xml:space="preserve">Comité SGH n’a pas encore décidé </w:t>
      </w:r>
      <w:r w:rsidR="00955772">
        <w:rPr>
          <w:lang w:val="fr-FR"/>
        </w:rPr>
        <w:t>d’</w:t>
      </w:r>
      <w:r w:rsidRPr="00477510">
        <w:rPr>
          <w:lang w:val="fr-FR"/>
        </w:rPr>
        <w:t>élabor</w:t>
      </w:r>
      <w:r w:rsidR="00955772">
        <w:rPr>
          <w:lang w:val="fr-FR"/>
        </w:rPr>
        <w:t>er</w:t>
      </w:r>
      <w:r w:rsidRPr="00477510">
        <w:rPr>
          <w:lang w:val="fr-FR"/>
        </w:rPr>
        <w:t xml:space="preserve"> une liste mondiale et n’a pas </w:t>
      </w:r>
      <w:r w:rsidR="00955772">
        <w:rPr>
          <w:lang w:val="fr-FR"/>
        </w:rPr>
        <w:t xml:space="preserve">non plus </w:t>
      </w:r>
      <w:r w:rsidRPr="00477510">
        <w:rPr>
          <w:lang w:val="fr-FR"/>
        </w:rPr>
        <w:t xml:space="preserve">adopté les classifications </w:t>
      </w:r>
      <w:r w:rsidR="00955772">
        <w:rPr>
          <w:lang w:val="fr-FR"/>
        </w:rPr>
        <w:t xml:space="preserve">figurant </w:t>
      </w:r>
      <w:r w:rsidRPr="00477510">
        <w:rPr>
          <w:lang w:val="fr-FR"/>
        </w:rPr>
        <w:t xml:space="preserve">dans le projet de l’OCDE. </w:t>
      </w:r>
      <w:r w:rsidR="00955772">
        <w:rPr>
          <w:lang w:val="fr-FR"/>
        </w:rPr>
        <w:t>Au lieu de cela</w:t>
      </w:r>
      <w:r w:rsidR="00633BA5">
        <w:rPr>
          <w:lang w:val="fr-FR"/>
        </w:rPr>
        <w:t>, le </w:t>
      </w:r>
      <w:r w:rsidRPr="00477510">
        <w:rPr>
          <w:lang w:val="fr-FR"/>
        </w:rPr>
        <w:t>Sous</w:t>
      </w:r>
      <w:r w:rsidR="00955772">
        <w:rPr>
          <w:lang w:val="fr-FR"/>
        </w:rPr>
        <w:noBreakHyphen/>
      </w:r>
      <w:r w:rsidRPr="00477510">
        <w:rPr>
          <w:lang w:val="fr-FR"/>
        </w:rPr>
        <w:t xml:space="preserve">Comité SGH se penche sur les préoccupations soulevées lors du processus pilote et envisage les prochaines mesures à prendre </w:t>
      </w:r>
      <w:r w:rsidR="00955772">
        <w:rPr>
          <w:lang w:val="fr-FR"/>
        </w:rPr>
        <w:t>alors qu’il explore</w:t>
      </w:r>
      <w:r w:rsidRPr="00477510">
        <w:rPr>
          <w:lang w:val="fr-FR"/>
        </w:rPr>
        <w:t xml:space="preserve"> la possibilité d’élaborer une liste mondiale. Le groupe de travail par correspondance a établi une comparaison des classifications existant </w:t>
      </w:r>
      <w:r w:rsidR="00955772">
        <w:rPr>
          <w:lang w:val="fr-FR"/>
        </w:rPr>
        <w:t>dans</w:t>
      </w:r>
      <w:r w:rsidRPr="00477510">
        <w:rPr>
          <w:lang w:val="fr-FR"/>
        </w:rPr>
        <w:t xml:space="preserve"> l’Union européenne (avis du Comité d’évaluation des risques de l’ECHA) et au Japon, et sera chargé </w:t>
      </w:r>
      <w:r w:rsidR="00955772">
        <w:rPr>
          <w:lang w:val="fr-FR"/>
        </w:rPr>
        <w:t>de définir les points qu’elles ont en commun.</w:t>
      </w:r>
    </w:p>
    <w:p w:rsidR="0093422E" w:rsidRDefault="0093422E" w:rsidP="007E3FFC">
      <w:pPr>
        <w:pStyle w:val="HChG"/>
        <w:rPr>
          <w:lang w:val="fr-FR"/>
        </w:rPr>
      </w:pPr>
      <w:r>
        <w:rPr>
          <w:lang w:val="fr-FR"/>
        </w:rPr>
        <w:tab/>
      </w:r>
      <w:r>
        <w:rPr>
          <w:lang w:val="fr-FR"/>
        </w:rPr>
        <w:tab/>
        <w:t>Demande contribution de la part d’autres organismes internationaux</w:t>
      </w:r>
    </w:p>
    <w:p w:rsidR="0093422E" w:rsidRPr="00B92F8A" w:rsidRDefault="0093422E" w:rsidP="005B638E">
      <w:pPr>
        <w:pStyle w:val="ParNoG"/>
        <w:rPr>
          <w:lang w:val="fr-FR"/>
        </w:rPr>
      </w:pPr>
      <w:r>
        <w:rPr>
          <w:lang w:val="fr-FR"/>
        </w:rPr>
        <w:t>Le Sous</w:t>
      </w:r>
      <w:r w:rsidR="002E50B4">
        <w:rPr>
          <w:lang w:val="fr-FR"/>
        </w:rPr>
        <w:noBreakHyphen/>
      </w:r>
      <w:r>
        <w:rPr>
          <w:lang w:val="fr-FR"/>
        </w:rPr>
        <w:t xml:space="preserve">Comité SGH craint que, s’il parvient à établir </w:t>
      </w:r>
      <w:r w:rsidR="00225E38">
        <w:rPr>
          <w:lang w:val="fr-FR"/>
        </w:rPr>
        <w:t>une classification</w:t>
      </w:r>
      <w:r>
        <w:rPr>
          <w:lang w:val="fr-FR"/>
        </w:rPr>
        <w:t xml:space="preserve">, </w:t>
      </w:r>
      <w:r w:rsidR="00225E38">
        <w:rPr>
          <w:lang w:val="fr-FR"/>
        </w:rPr>
        <w:t>cela ai</w:t>
      </w:r>
      <w:r>
        <w:rPr>
          <w:lang w:val="fr-FR"/>
        </w:rPr>
        <w:t>t un</w:t>
      </w:r>
      <w:r w:rsidR="00225E38">
        <w:rPr>
          <w:lang w:val="fr-FR"/>
        </w:rPr>
        <w:t>e</w:t>
      </w:r>
      <w:r>
        <w:rPr>
          <w:lang w:val="fr-FR"/>
        </w:rPr>
        <w:t xml:space="preserve"> i</w:t>
      </w:r>
      <w:r w:rsidR="00225E38">
        <w:rPr>
          <w:lang w:val="fr-FR"/>
        </w:rPr>
        <w:t>ncidence sur</w:t>
      </w:r>
      <w:r>
        <w:rPr>
          <w:lang w:val="fr-FR"/>
        </w:rPr>
        <w:t xml:space="preserve"> d’autres organismes chargés </w:t>
      </w:r>
      <w:r w:rsidR="00225E38">
        <w:rPr>
          <w:lang w:val="fr-FR"/>
        </w:rPr>
        <w:t>d’élaborer</w:t>
      </w:r>
      <w:r>
        <w:rPr>
          <w:lang w:val="fr-FR"/>
        </w:rPr>
        <w:t xml:space="preserve"> des règlements et/ou des directives </w:t>
      </w:r>
      <w:r w:rsidR="00225E38">
        <w:rPr>
          <w:lang w:val="fr-FR"/>
        </w:rPr>
        <w:t>concernant</w:t>
      </w:r>
      <w:r>
        <w:rPr>
          <w:lang w:val="fr-FR"/>
        </w:rPr>
        <w:t xml:space="preserve"> des produits chimiques dangereux, tel</w:t>
      </w:r>
      <w:r w:rsidR="00225E38">
        <w:rPr>
          <w:lang w:val="fr-FR"/>
        </w:rPr>
        <w:t>s</w:t>
      </w:r>
      <w:r>
        <w:rPr>
          <w:lang w:val="fr-FR"/>
        </w:rPr>
        <w:t xml:space="preserve"> que l’Organisation maritime internationale (OMI) et le Sous</w:t>
      </w:r>
      <w:r w:rsidR="002E50B4">
        <w:rPr>
          <w:lang w:val="fr-FR"/>
        </w:rPr>
        <w:noBreakHyphen/>
      </w:r>
      <w:r>
        <w:rPr>
          <w:lang w:val="fr-FR"/>
        </w:rPr>
        <w:t>Comité d’experts du transport des marchandises dangereuses.</w:t>
      </w:r>
    </w:p>
    <w:p w:rsidR="0093422E" w:rsidRPr="00B92F8A" w:rsidRDefault="0093422E" w:rsidP="005B638E">
      <w:pPr>
        <w:pStyle w:val="ParNoG"/>
        <w:rPr>
          <w:lang w:val="fr-FR"/>
        </w:rPr>
      </w:pPr>
      <w:r>
        <w:rPr>
          <w:lang w:val="fr-FR"/>
        </w:rPr>
        <w:t>Le secrétariat a noté en particulier que, dans le projet, la toxicité ai</w:t>
      </w:r>
      <w:r w:rsidR="000C6894">
        <w:rPr>
          <w:lang w:val="fr-FR"/>
        </w:rPr>
        <w:t>guë attribuée au dicyclopendadiè</w:t>
      </w:r>
      <w:r>
        <w:rPr>
          <w:lang w:val="fr-FR"/>
        </w:rPr>
        <w:t xml:space="preserve">ne (DCPD) différait de la classification actuelle au titre des Règlements pour le transport des marchandises dangereuses. En effet, il a relevé que la classification </w:t>
      </w:r>
      <w:r>
        <w:rPr>
          <w:lang w:val="fr-FR"/>
        </w:rPr>
        <w:lastRenderedPageBreak/>
        <w:t xml:space="preserve">établie par consensus dans le cadre du projet pilote </w:t>
      </w:r>
      <w:r w:rsidR="000C6894">
        <w:rPr>
          <w:lang w:val="fr-FR"/>
        </w:rPr>
        <w:t>classait</w:t>
      </w:r>
      <w:r w:rsidR="002E50B4">
        <w:rPr>
          <w:lang w:val="fr-FR"/>
        </w:rPr>
        <w:t xml:space="preserve"> le DCPD </w:t>
      </w:r>
      <w:r w:rsidR="000C6894">
        <w:rPr>
          <w:lang w:val="fr-FR"/>
        </w:rPr>
        <w:t>dans</w:t>
      </w:r>
      <w:r w:rsidR="002E50B4">
        <w:rPr>
          <w:lang w:val="fr-FR"/>
        </w:rPr>
        <w:t xml:space="preserve"> la catégorie </w:t>
      </w:r>
      <w:r>
        <w:rPr>
          <w:lang w:val="fr-FR"/>
        </w:rPr>
        <w:t>2 (toxicité aiguë, par inhalation), alors que le produit chimique est actuellement affecté à la classe des liquides inflammables</w:t>
      </w:r>
      <w:r w:rsidR="000C6894">
        <w:rPr>
          <w:lang w:val="fr-FR"/>
        </w:rPr>
        <w:t xml:space="preserve"> relevant du groupe d’emballage </w:t>
      </w:r>
      <w:r>
        <w:rPr>
          <w:lang w:val="fr-FR"/>
        </w:rPr>
        <w:t>III</w:t>
      </w:r>
      <w:r w:rsidR="000C6894">
        <w:rPr>
          <w:lang w:val="fr-FR"/>
        </w:rPr>
        <w:t>,</w:t>
      </w:r>
      <w:r>
        <w:rPr>
          <w:lang w:val="fr-FR"/>
        </w:rPr>
        <w:t xml:space="preserve"> sans risque subsidiaire</w:t>
      </w:r>
      <w:r w:rsidR="000C6894">
        <w:rPr>
          <w:lang w:val="fr-FR"/>
        </w:rPr>
        <w:t>,</w:t>
      </w:r>
      <w:r>
        <w:rPr>
          <w:lang w:val="fr-FR"/>
        </w:rPr>
        <w:t xml:space="preserve"> dans le Règlement type. En se fondant sur la classification établie par consensus dans le cadre du projet pilote, le Sous</w:t>
      </w:r>
      <w:r w:rsidR="002E50B4">
        <w:rPr>
          <w:lang w:val="fr-FR"/>
        </w:rPr>
        <w:noBreakHyphen/>
      </w:r>
      <w:r>
        <w:rPr>
          <w:lang w:val="fr-FR"/>
        </w:rPr>
        <w:t>Comité d’experts du transport des marchandises dangereuses souhaitera peut</w:t>
      </w:r>
      <w:r w:rsidR="002E50B4">
        <w:rPr>
          <w:lang w:val="fr-FR"/>
        </w:rPr>
        <w:noBreakHyphen/>
      </w:r>
      <w:r>
        <w:rPr>
          <w:lang w:val="fr-FR"/>
        </w:rPr>
        <w:t>être examiner dans quelle mesure ces modifications pourraient altérer le Règlement type.</w:t>
      </w:r>
    </w:p>
    <w:p w:rsidR="0093422E" w:rsidRPr="00B92F8A" w:rsidRDefault="0093422E" w:rsidP="005B638E">
      <w:pPr>
        <w:pStyle w:val="ParNoG"/>
        <w:rPr>
          <w:lang w:val="fr-FR"/>
        </w:rPr>
      </w:pPr>
      <w:r>
        <w:rPr>
          <w:lang w:val="fr-FR"/>
        </w:rPr>
        <w:t>Des résumés des projets de classification issus de l’étude pilote menée sur le dichlorure de diméthylstannane, le dicyclopentadiène et le phtalate de dibutyle sont joints en annexe au présent document. L’ensemble des rapports de classification et des évaluations des données connexes so</w:t>
      </w:r>
      <w:r w:rsidR="00D556F3">
        <w:rPr>
          <w:lang w:val="fr-FR"/>
        </w:rPr>
        <w:t>nt disponibles dans le document </w:t>
      </w:r>
      <w:r w:rsidR="00BD0540">
        <w:rPr>
          <w:lang w:val="fr-FR"/>
        </w:rPr>
        <w:t>INF.4/Add </w:t>
      </w:r>
      <w:r>
        <w:rPr>
          <w:lang w:val="fr-FR"/>
        </w:rPr>
        <w:t>1, 2 et 3 (Sous</w:t>
      </w:r>
      <w:r w:rsidR="002E50B4">
        <w:rPr>
          <w:lang w:val="fr-FR"/>
        </w:rPr>
        <w:noBreakHyphen/>
      </w:r>
      <w:r w:rsidR="00110107">
        <w:rPr>
          <w:lang w:val="fr-FR"/>
        </w:rPr>
        <w:t>Comité </w:t>
      </w:r>
      <w:r>
        <w:rPr>
          <w:lang w:val="fr-FR"/>
        </w:rPr>
        <w:t>SGH, trente</w:t>
      </w:r>
      <w:r w:rsidR="002E50B4">
        <w:rPr>
          <w:lang w:val="fr-FR"/>
        </w:rPr>
        <w:noBreakHyphen/>
      </w:r>
      <w:r w:rsidR="00BD0540">
        <w:rPr>
          <w:lang w:val="fr-FR"/>
        </w:rPr>
        <w:t>deuxième </w:t>
      </w:r>
      <w:r>
        <w:rPr>
          <w:lang w:val="fr-FR"/>
        </w:rPr>
        <w:t>session).</w:t>
      </w:r>
    </w:p>
    <w:p w:rsidR="0093422E" w:rsidRPr="00B92F8A" w:rsidRDefault="0093422E" w:rsidP="006B36B7">
      <w:pPr>
        <w:pStyle w:val="ParNoG"/>
        <w:keepNext/>
        <w:rPr>
          <w:lang w:val="fr-FR"/>
        </w:rPr>
      </w:pPr>
      <w:r>
        <w:rPr>
          <w:lang w:val="fr-FR"/>
        </w:rPr>
        <w:t>Pendant que le Sous</w:t>
      </w:r>
      <w:r w:rsidR="002E50B4">
        <w:rPr>
          <w:lang w:val="fr-FR"/>
        </w:rPr>
        <w:noBreakHyphen/>
      </w:r>
      <w:r w:rsidR="00110107">
        <w:rPr>
          <w:lang w:val="fr-FR"/>
        </w:rPr>
        <w:t>Comité </w:t>
      </w:r>
      <w:r>
        <w:rPr>
          <w:lang w:val="fr-FR"/>
        </w:rPr>
        <w:t>SGH continue d’e</w:t>
      </w:r>
      <w:r w:rsidR="001E7C1E">
        <w:rPr>
          <w:lang w:val="fr-FR"/>
        </w:rPr>
        <w:t>xaminer</w:t>
      </w:r>
      <w:r>
        <w:rPr>
          <w:lang w:val="fr-FR"/>
        </w:rPr>
        <w:t xml:space="preserve"> un</w:t>
      </w:r>
      <w:r w:rsidR="001E7C1E">
        <w:rPr>
          <w:lang w:val="fr-FR"/>
        </w:rPr>
        <w:t>e</w:t>
      </w:r>
      <w:r>
        <w:rPr>
          <w:lang w:val="fr-FR"/>
        </w:rPr>
        <w:t xml:space="preserve"> </w:t>
      </w:r>
      <w:r w:rsidR="001E7C1E">
        <w:rPr>
          <w:lang w:val="fr-FR"/>
        </w:rPr>
        <w:t xml:space="preserve">méthode pour </w:t>
      </w:r>
      <w:r>
        <w:rPr>
          <w:lang w:val="fr-FR"/>
        </w:rPr>
        <w:t>élabor</w:t>
      </w:r>
      <w:r w:rsidR="001E7C1E">
        <w:rPr>
          <w:lang w:val="fr-FR"/>
        </w:rPr>
        <w:t>er</w:t>
      </w:r>
      <w:r>
        <w:rPr>
          <w:lang w:val="fr-FR"/>
        </w:rPr>
        <w:t xml:space="preserve"> une liste mondiale, le groupe de travail informel par correspondance sur la liste mondiale souhaiterait connaître l’avis des autres organisations qui pourraient être intéressées par ce projet sur</w:t>
      </w:r>
      <w:r w:rsidR="005A2F99">
        <w:rPr>
          <w:lang w:val="fr-FR"/>
        </w:rPr>
        <w:t> </w:t>
      </w:r>
      <w:r>
        <w:rPr>
          <w:lang w:val="fr-FR"/>
        </w:rPr>
        <w:t>:</w:t>
      </w:r>
    </w:p>
    <w:p w:rsidR="0093422E" w:rsidRPr="00B92F8A" w:rsidRDefault="0093422E" w:rsidP="006C0176">
      <w:pPr>
        <w:pStyle w:val="SingleTxtG"/>
        <w:ind w:firstLine="567"/>
        <w:rPr>
          <w:lang w:val="fr-FR"/>
        </w:rPr>
      </w:pPr>
      <w:r>
        <w:rPr>
          <w:lang w:val="fr-FR"/>
        </w:rPr>
        <w:t>a)</w:t>
      </w:r>
      <w:r>
        <w:rPr>
          <w:lang w:val="fr-FR"/>
        </w:rPr>
        <w:tab/>
        <w:t xml:space="preserve">Les effets que ces projets de classification pourraient entraîner, ainsi que </w:t>
      </w:r>
      <w:r w:rsidR="00F2632F">
        <w:rPr>
          <w:lang w:val="fr-FR"/>
        </w:rPr>
        <w:t>la façon d’y remédier</w:t>
      </w:r>
      <w:r w:rsidR="00C33054">
        <w:rPr>
          <w:lang w:val="fr-FR"/>
        </w:rPr>
        <w:t> </w:t>
      </w:r>
      <w:r>
        <w:rPr>
          <w:lang w:val="fr-FR"/>
        </w:rPr>
        <w:t>;</w:t>
      </w:r>
    </w:p>
    <w:p w:rsidR="0093422E" w:rsidRPr="00B92F8A" w:rsidRDefault="0093422E" w:rsidP="006C0176">
      <w:pPr>
        <w:pStyle w:val="SingleTxtG"/>
        <w:ind w:firstLine="567"/>
        <w:rPr>
          <w:lang w:val="fr-FR"/>
        </w:rPr>
      </w:pPr>
      <w:r>
        <w:rPr>
          <w:lang w:val="fr-FR"/>
        </w:rPr>
        <w:t>b)</w:t>
      </w:r>
      <w:r>
        <w:rPr>
          <w:lang w:val="fr-FR"/>
        </w:rPr>
        <w:tab/>
        <w:t>Le processus de consultation mis en œuvre lors du projet pilote de classification (par exemple, les objectifs principaux du projet ont</w:t>
      </w:r>
      <w:r w:rsidR="002E50B4">
        <w:rPr>
          <w:lang w:val="fr-FR"/>
        </w:rPr>
        <w:noBreakHyphen/>
      </w:r>
      <w:r>
        <w:rPr>
          <w:lang w:val="fr-FR"/>
        </w:rPr>
        <w:t>ils été atteints (consensus, transparence et cont</w:t>
      </w:r>
      <w:r w:rsidR="00C33054">
        <w:rPr>
          <w:lang w:val="fr-FR"/>
        </w:rPr>
        <w:t>ribution des parties prenantes) </w:t>
      </w:r>
      <w:r>
        <w:rPr>
          <w:lang w:val="fr-FR"/>
        </w:rPr>
        <w:t>? Existe</w:t>
      </w:r>
      <w:r w:rsidR="002E50B4">
        <w:rPr>
          <w:lang w:val="fr-FR"/>
        </w:rPr>
        <w:noBreakHyphen/>
      </w:r>
      <w:r>
        <w:rPr>
          <w:lang w:val="fr-FR"/>
        </w:rPr>
        <w:t>t</w:t>
      </w:r>
      <w:r w:rsidR="002E50B4">
        <w:rPr>
          <w:lang w:val="fr-FR"/>
        </w:rPr>
        <w:noBreakHyphen/>
      </w:r>
      <w:r>
        <w:rPr>
          <w:lang w:val="fr-FR"/>
        </w:rPr>
        <w:t xml:space="preserve">il des moyens de </w:t>
      </w:r>
      <w:r w:rsidR="002E50B4">
        <w:rPr>
          <w:lang w:val="fr-FR"/>
        </w:rPr>
        <w:t>simplifier le processus </w:t>
      </w:r>
      <w:r>
        <w:rPr>
          <w:lang w:val="fr-FR"/>
        </w:rPr>
        <w:t>?)</w:t>
      </w:r>
      <w:r w:rsidR="00C33054">
        <w:rPr>
          <w:lang w:val="fr-FR"/>
        </w:rPr>
        <w:t> </w:t>
      </w:r>
      <w:r>
        <w:rPr>
          <w:lang w:val="fr-FR"/>
        </w:rPr>
        <w:t>; et</w:t>
      </w:r>
    </w:p>
    <w:p w:rsidR="00975346" w:rsidRDefault="0093422E" w:rsidP="006C0176">
      <w:pPr>
        <w:pStyle w:val="SingleTxtG"/>
        <w:ind w:firstLine="567"/>
        <w:rPr>
          <w:lang w:val="fr-FR"/>
        </w:rPr>
      </w:pPr>
      <w:r>
        <w:rPr>
          <w:lang w:val="fr-FR"/>
        </w:rPr>
        <w:t>c)</w:t>
      </w:r>
      <w:r>
        <w:rPr>
          <w:lang w:val="fr-FR"/>
        </w:rPr>
        <w:tab/>
        <w:t>Tout autre élément que le Sous</w:t>
      </w:r>
      <w:r w:rsidR="002E50B4">
        <w:rPr>
          <w:lang w:val="fr-FR"/>
        </w:rPr>
        <w:noBreakHyphen/>
      </w:r>
      <w:r>
        <w:rPr>
          <w:lang w:val="fr-FR"/>
        </w:rPr>
        <w:t>Comité SGH devrait connaître s’il décide de procéder à l’élaboration d’une liste de classification mondiale.</w:t>
      </w:r>
    </w:p>
    <w:p w:rsidR="0093422E" w:rsidRDefault="00975346" w:rsidP="00975346">
      <w:pPr>
        <w:pStyle w:val="HChG"/>
        <w:rPr>
          <w:lang w:val="fr-FR"/>
        </w:rPr>
      </w:pPr>
      <w:r>
        <w:rPr>
          <w:lang w:val="fr-FR"/>
        </w:rPr>
        <w:br w:type="page"/>
        <w:t>Annexe</w:t>
      </w:r>
    </w:p>
    <w:p w:rsidR="00FA1D61" w:rsidRDefault="00FA1D61" w:rsidP="007E3FFC">
      <w:pPr>
        <w:pStyle w:val="HChG"/>
        <w:rPr>
          <w:lang w:val="fr-FR"/>
        </w:rPr>
      </w:pPr>
      <w:r>
        <w:rPr>
          <w:lang w:val="fr-FR"/>
        </w:rPr>
        <w:tab/>
      </w:r>
      <w:r>
        <w:rPr>
          <w:lang w:val="fr-FR"/>
        </w:rPr>
        <w:tab/>
        <w:t xml:space="preserve">Proposition de classification et d’étiquetage </w:t>
      </w:r>
      <w:r w:rsidR="002D77C8">
        <w:rPr>
          <w:lang w:val="fr-FR"/>
        </w:rPr>
        <w:br/>
        <w:t>du</w:t>
      </w:r>
      <w:r>
        <w:rPr>
          <w:lang w:val="fr-FR"/>
        </w:rPr>
        <w:t xml:space="preserve"> dicyclopentadiène (DCPD)</w:t>
      </w:r>
    </w:p>
    <w:p w:rsidR="00FA1D61" w:rsidRDefault="00FA1D61" w:rsidP="007E3FFC">
      <w:pPr>
        <w:pStyle w:val="H1G"/>
        <w:rPr>
          <w:lang w:val="fr-FR"/>
        </w:rPr>
      </w:pPr>
      <w:r>
        <w:rPr>
          <w:lang w:val="fr-FR"/>
        </w:rPr>
        <w:tab/>
      </w:r>
      <w:r>
        <w:rPr>
          <w:lang w:val="fr-FR"/>
        </w:rPr>
        <w:tab/>
        <w:t xml:space="preserve">Classification proposée pour le dicyclopentadiène et raisons justifiant </w:t>
      </w:r>
      <w:r w:rsidR="00AD22EC">
        <w:rPr>
          <w:lang w:val="fr-FR"/>
        </w:rPr>
        <w:br/>
      </w:r>
      <w:r>
        <w:rPr>
          <w:lang w:val="fr-FR"/>
        </w:rPr>
        <w:t>l’absence de classification pour certaines classes de danger</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3"/>
        <w:gridCol w:w="2405"/>
        <w:gridCol w:w="1911"/>
        <w:gridCol w:w="1285"/>
        <w:gridCol w:w="1944"/>
        <w:gridCol w:w="6"/>
      </w:tblGrid>
      <w:tr w:rsidR="00160C93" w:rsidRPr="003A23B4" w:rsidTr="006B36B7">
        <w:trPr>
          <w:gridAfter w:val="1"/>
          <w:wAfter w:w="6" w:type="dxa"/>
          <w:tblHeader/>
        </w:trPr>
        <w:tc>
          <w:tcPr>
            <w:tcW w:w="953" w:type="dxa"/>
            <w:shd w:val="clear" w:color="auto" w:fill="auto"/>
            <w:vAlign w:val="bottom"/>
          </w:tcPr>
          <w:p w:rsidR="00FA1D61" w:rsidRPr="003A23B4" w:rsidRDefault="00F07AE4" w:rsidP="00D405FB">
            <w:pPr>
              <w:suppressAutoHyphens w:val="0"/>
              <w:spacing w:before="60" w:after="60" w:line="200" w:lineRule="exact"/>
              <w:ind w:left="57" w:right="57"/>
              <w:rPr>
                <w:i/>
                <w:iCs/>
                <w:spacing w:val="4"/>
                <w:w w:val="103"/>
                <w:kern w:val="14"/>
                <w:sz w:val="16"/>
                <w:szCs w:val="18"/>
              </w:rPr>
            </w:pPr>
            <w:r w:rsidRPr="003A23B4">
              <w:rPr>
                <w:i/>
                <w:spacing w:val="4"/>
                <w:w w:val="103"/>
                <w:kern w:val="14"/>
                <w:sz w:val="16"/>
                <w:lang w:val="fr-FR"/>
              </w:rPr>
              <w:t>Chapitre du </w:t>
            </w:r>
            <w:r w:rsidR="00FA1D61" w:rsidRPr="003A23B4">
              <w:rPr>
                <w:i/>
                <w:spacing w:val="4"/>
                <w:w w:val="103"/>
                <w:kern w:val="14"/>
                <w:sz w:val="16"/>
                <w:lang w:val="fr-FR"/>
              </w:rPr>
              <w:t xml:space="preserve">SGH </w:t>
            </w:r>
          </w:p>
        </w:tc>
        <w:tc>
          <w:tcPr>
            <w:tcW w:w="2405" w:type="dxa"/>
            <w:shd w:val="clear" w:color="auto" w:fill="auto"/>
            <w:vAlign w:val="bottom"/>
          </w:tcPr>
          <w:p w:rsidR="00FA1D61" w:rsidRPr="003A23B4" w:rsidRDefault="00FA1D61" w:rsidP="00D405FB">
            <w:pPr>
              <w:suppressAutoHyphens w:val="0"/>
              <w:spacing w:before="60" w:after="60" w:line="200" w:lineRule="exact"/>
              <w:ind w:left="57" w:right="57"/>
              <w:rPr>
                <w:i/>
                <w:iCs/>
                <w:spacing w:val="4"/>
                <w:w w:val="103"/>
                <w:kern w:val="14"/>
                <w:sz w:val="16"/>
                <w:szCs w:val="18"/>
              </w:rPr>
            </w:pPr>
            <w:r w:rsidRPr="003A23B4">
              <w:rPr>
                <w:i/>
                <w:spacing w:val="4"/>
                <w:w w:val="103"/>
                <w:kern w:val="14"/>
                <w:sz w:val="16"/>
                <w:lang w:val="fr-FR"/>
              </w:rPr>
              <w:t>Classe de danger</w:t>
            </w:r>
          </w:p>
        </w:tc>
        <w:tc>
          <w:tcPr>
            <w:tcW w:w="1911" w:type="dxa"/>
            <w:shd w:val="clear" w:color="auto" w:fill="auto"/>
            <w:vAlign w:val="bottom"/>
          </w:tcPr>
          <w:p w:rsidR="00FA1D61" w:rsidRPr="003A23B4" w:rsidRDefault="00FA1D61" w:rsidP="00D405FB">
            <w:pPr>
              <w:suppressAutoHyphens w:val="0"/>
              <w:spacing w:before="60" w:after="60" w:line="200" w:lineRule="exact"/>
              <w:ind w:left="57" w:right="57"/>
              <w:rPr>
                <w:i/>
                <w:iCs/>
                <w:spacing w:val="4"/>
                <w:w w:val="103"/>
                <w:kern w:val="14"/>
                <w:sz w:val="16"/>
                <w:szCs w:val="18"/>
                <w:lang w:val="fr-FR"/>
              </w:rPr>
            </w:pPr>
            <w:r w:rsidRPr="003A23B4">
              <w:rPr>
                <w:i/>
                <w:spacing w:val="4"/>
                <w:w w:val="103"/>
                <w:kern w:val="14"/>
                <w:sz w:val="16"/>
                <w:lang w:val="fr-FR"/>
              </w:rPr>
              <w:t>Classification proposée</w:t>
            </w:r>
            <w:r w:rsidR="00677C8F">
              <w:rPr>
                <w:i/>
                <w:iCs/>
                <w:spacing w:val="4"/>
                <w:w w:val="103"/>
                <w:kern w:val="14"/>
                <w:sz w:val="16"/>
                <w:szCs w:val="18"/>
                <w:lang w:val="fr-FR"/>
              </w:rPr>
              <w:t xml:space="preserve"> </w:t>
            </w:r>
            <w:r w:rsidRPr="003A23B4">
              <w:rPr>
                <w:i/>
                <w:spacing w:val="4"/>
                <w:w w:val="103"/>
                <w:kern w:val="14"/>
                <w:sz w:val="16"/>
                <w:lang w:val="fr-FR"/>
              </w:rPr>
              <w:t>(classe et catégorie de danger</w:t>
            </w:r>
            <w:r w:rsidR="002D77C8" w:rsidRPr="003A23B4">
              <w:rPr>
                <w:i/>
                <w:spacing w:val="4"/>
                <w:w w:val="103"/>
                <w:kern w:val="14"/>
                <w:sz w:val="16"/>
                <w:lang w:val="fr-FR"/>
              </w:rPr>
              <w:t> </w:t>
            </w:r>
            <w:r w:rsidRPr="003A23B4">
              <w:rPr>
                <w:i/>
                <w:spacing w:val="4"/>
                <w:w w:val="103"/>
                <w:kern w:val="14"/>
                <w:sz w:val="16"/>
                <w:lang w:val="fr-FR"/>
              </w:rPr>
              <w:t>; code(s) de(s) mention(s) de danger)</w:t>
            </w:r>
          </w:p>
        </w:tc>
        <w:tc>
          <w:tcPr>
            <w:tcW w:w="1285" w:type="dxa"/>
            <w:shd w:val="clear" w:color="auto" w:fill="auto"/>
            <w:vAlign w:val="bottom"/>
          </w:tcPr>
          <w:p w:rsidR="00FA1D61" w:rsidRPr="003A23B4" w:rsidRDefault="00FA1D61" w:rsidP="00D405FB">
            <w:pPr>
              <w:suppressAutoHyphens w:val="0"/>
              <w:spacing w:before="60" w:after="60" w:line="200" w:lineRule="exact"/>
              <w:ind w:left="57" w:right="57"/>
              <w:rPr>
                <w:i/>
                <w:iCs/>
                <w:spacing w:val="4"/>
                <w:w w:val="103"/>
                <w:kern w:val="14"/>
                <w:sz w:val="16"/>
                <w:szCs w:val="18"/>
                <w:lang w:val="fr-FR"/>
              </w:rPr>
            </w:pPr>
            <w:r w:rsidRPr="003A23B4">
              <w:rPr>
                <w:i/>
                <w:spacing w:val="4"/>
                <w:w w:val="103"/>
                <w:kern w:val="14"/>
                <w:sz w:val="16"/>
                <w:lang w:val="fr-FR"/>
              </w:rPr>
              <w:t>Limites spécifiqu</w:t>
            </w:r>
            <w:r w:rsidR="00534088" w:rsidRPr="003A23B4">
              <w:rPr>
                <w:i/>
                <w:spacing w:val="4"/>
                <w:w w:val="103"/>
                <w:kern w:val="14"/>
                <w:sz w:val="16"/>
                <w:lang w:val="fr-FR"/>
              </w:rPr>
              <w:t xml:space="preserve">es de concentration </w:t>
            </w:r>
            <w:r w:rsidR="005F32B9">
              <w:rPr>
                <w:i/>
                <w:spacing w:val="4"/>
                <w:w w:val="103"/>
                <w:kern w:val="14"/>
                <w:sz w:val="16"/>
                <w:lang w:val="fr-FR"/>
              </w:rPr>
              <w:br/>
            </w:r>
            <w:r w:rsidR="00534088" w:rsidRPr="003A23B4">
              <w:rPr>
                <w:i/>
                <w:spacing w:val="4"/>
                <w:w w:val="103"/>
                <w:kern w:val="14"/>
                <w:sz w:val="16"/>
                <w:lang w:val="fr-FR"/>
              </w:rPr>
              <w:t>et facteurs </w:t>
            </w:r>
            <w:r w:rsidRPr="003A23B4">
              <w:rPr>
                <w:i/>
                <w:spacing w:val="4"/>
                <w:w w:val="103"/>
                <w:kern w:val="14"/>
                <w:sz w:val="16"/>
                <w:lang w:val="fr-FR"/>
              </w:rPr>
              <w:t>M proposés</w:t>
            </w:r>
          </w:p>
        </w:tc>
        <w:tc>
          <w:tcPr>
            <w:tcW w:w="1944" w:type="dxa"/>
            <w:shd w:val="clear" w:color="auto" w:fill="auto"/>
            <w:vAlign w:val="bottom"/>
          </w:tcPr>
          <w:p w:rsidR="00FA1D61" w:rsidRPr="003A23B4" w:rsidRDefault="00FA1D61" w:rsidP="00D405FB">
            <w:pPr>
              <w:suppressAutoHyphens w:val="0"/>
              <w:spacing w:before="60" w:after="60" w:line="200" w:lineRule="exact"/>
              <w:ind w:left="57" w:right="57"/>
              <w:rPr>
                <w:i/>
                <w:iCs/>
                <w:spacing w:val="4"/>
                <w:w w:val="103"/>
                <w:kern w:val="14"/>
                <w:sz w:val="16"/>
                <w:szCs w:val="18"/>
                <w:lang w:val="fr-FR"/>
              </w:rPr>
            </w:pPr>
            <w:r w:rsidRPr="003A23B4">
              <w:rPr>
                <w:i/>
                <w:spacing w:val="4"/>
                <w:w w:val="103"/>
                <w:kern w:val="14"/>
                <w:sz w:val="16"/>
                <w:lang w:val="fr-FR"/>
              </w:rPr>
              <w:t>Raison</w:t>
            </w:r>
            <w:r w:rsidR="00B51E17" w:rsidRPr="003A23B4">
              <w:rPr>
                <w:i/>
                <w:spacing w:val="4"/>
                <w:w w:val="103"/>
                <w:kern w:val="14"/>
                <w:sz w:val="16"/>
                <w:lang w:val="fr-FR"/>
              </w:rPr>
              <w:t>s</w:t>
            </w:r>
            <w:r w:rsidRPr="003A23B4">
              <w:rPr>
                <w:i/>
                <w:spacing w:val="4"/>
                <w:w w:val="103"/>
                <w:kern w:val="14"/>
                <w:sz w:val="16"/>
                <w:lang w:val="fr-FR"/>
              </w:rPr>
              <w:t xml:space="preserve"> qui justifient l’absence de classification</w:t>
            </w:r>
            <w:r w:rsidRPr="00D405FB">
              <w:rPr>
                <w:spacing w:val="4"/>
                <w:w w:val="103"/>
                <w:kern w:val="14"/>
                <w:sz w:val="16"/>
                <w:lang w:val="fr-FR"/>
              </w:rPr>
              <w: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et objets explosibles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2.2</w:t>
            </w:r>
          </w:p>
        </w:tc>
        <w:tc>
          <w:tcPr>
            <w:tcW w:w="2405"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 xml:space="preserve">Gaz inflammables </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2.3</w:t>
            </w:r>
          </w:p>
        </w:tc>
        <w:tc>
          <w:tcPr>
            <w:tcW w:w="2405"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Aérosols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2.4</w:t>
            </w:r>
          </w:p>
        </w:tc>
        <w:tc>
          <w:tcPr>
            <w:tcW w:w="2405"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Gaz comburants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2.5</w:t>
            </w:r>
          </w:p>
        </w:tc>
        <w:tc>
          <w:tcPr>
            <w:tcW w:w="2405"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Gaz sous pression</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2.6</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Liquides inflammables</w:t>
            </w:r>
          </w:p>
        </w:tc>
        <w:tc>
          <w:tcPr>
            <w:tcW w:w="1911" w:type="dxa"/>
            <w:shd w:val="clear" w:color="auto" w:fill="auto"/>
          </w:tcPr>
          <w:p w:rsidR="00FA1D61" w:rsidRPr="00B51E17" w:rsidRDefault="00B51E17" w:rsidP="00D405FB">
            <w:pPr>
              <w:spacing w:before="60" w:after="60"/>
              <w:ind w:left="57" w:right="57"/>
              <w:rPr>
                <w:sz w:val="18"/>
                <w:szCs w:val="18"/>
                <w:lang w:val="fr-FR"/>
              </w:rPr>
            </w:pPr>
            <w:r w:rsidRPr="00B51E17">
              <w:rPr>
                <w:sz w:val="18"/>
                <w:szCs w:val="18"/>
                <w:lang w:val="fr-FR"/>
              </w:rPr>
              <w:t>Liq. inflammable </w:t>
            </w:r>
            <w:r w:rsidR="00FA1D61" w:rsidRPr="00B51E17">
              <w:rPr>
                <w:sz w:val="18"/>
                <w:szCs w:val="18"/>
                <w:lang w:val="fr-FR"/>
              </w:rPr>
              <w:t>3</w:t>
            </w:r>
            <w:r w:rsidRPr="00B51E17">
              <w:rPr>
                <w:sz w:val="18"/>
                <w:szCs w:val="18"/>
                <w:lang w:val="fr-FR"/>
              </w:rPr>
              <w:t> </w:t>
            </w:r>
            <w:r w:rsidR="00FA1D61" w:rsidRPr="00B51E17">
              <w:rPr>
                <w:sz w:val="18"/>
                <w:szCs w:val="18"/>
                <w:lang w:val="fr-FR"/>
              </w:rPr>
              <w:t>; H226</w:t>
            </w:r>
          </w:p>
          <w:p w:rsidR="00FA1D61" w:rsidRPr="00B51E17" w:rsidRDefault="00FA1D61" w:rsidP="00D405FB">
            <w:pPr>
              <w:spacing w:before="60" w:after="60"/>
              <w:ind w:left="57" w:right="57"/>
              <w:rPr>
                <w:sz w:val="18"/>
                <w:szCs w:val="18"/>
                <w:lang w:val="fr-FR"/>
              </w:rPr>
            </w:pPr>
            <w:r w:rsidRPr="00B51E17">
              <w:rPr>
                <w:i/>
                <w:iCs/>
                <w:sz w:val="18"/>
                <w:szCs w:val="18"/>
                <w:lang w:val="fr-FR"/>
              </w:rPr>
              <w:t>Pour le DCPD liquid</w:t>
            </w:r>
            <w:r w:rsidR="00C73E69">
              <w:rPr>
                <w:i/>
                <w:iCs/>
                <w:sz w:val="18"/>
                <w:szCs w:val="18"/>
                <w:lang w:val="fr-FR"/>
              </w:rPr>
              <w:t>e (voir Note </w:t>
            </w:r>
            <w:r w:rsidRPr="00B51E17">
              <w:rPr>
                <w:i/>
                <w:iCs/>
                <w:sz w:val="18"/>
                <w:szCs w:val="18"/>
                <w:lang w:val="fr-FR"/>
              </w:rPr>
              <w:t>1)</w:t>
            </w:r>
          </w:p>
        </w:tc>
        <w:tc>
          <w:tcPr>
            <w:tcW w:w="1285" w:type="dxa"/>
            <w:shd w:val="clear" w:color="auto" w:fill="auto"/>
          </w:tcPr>
          <w:p w:rsidR="00FA1D61" w:rsidRPr="00B51E17" w:rsidRDefault="00FA1D61" w:rsidP="00D405FB">
            <w:pPr>
              <w:spacing w:before="60" w:after="60"/>
              <w:ind w:left="57" w:right="57"/>
              <w:rPr>
                <w:sz w:val="18"/>
                <w:szCs w:val="18"/>
                <w:lang w:val="fr-FR"/>
              </w:rPr>
            </w:pPr>
          </w:p>
        </w:tc>
        <w:tc>
          <w:tcPr>
            <w:tcW w:w="1944" w:type="dxa"/>
            <w:shd w:val="clear" w:color="auto" w:fill="auto"/>
          </w:tcPr>
          <w:p w:rsidR="00FA1D61" w:rsidRPr="00B51E17" w:rsidRDefault="00FA1D61" w:rsidP="00D405FB">
            <w:pPr>
              <w:spacing w:before="60" w:after="60"/>
              <w:ind w:left="57" w:right="57"/>
              <w:rPr>
                <w:sz w:val="18"/>
                <w:szCs w:val="18"/>
                <w:lang w:val="fr-FR"/>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2.7</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solides inflammables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Absence de données</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2.8</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autoréactives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2.9</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Liquides pyrophoriques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 xml:space="preserve">Classe de danger sans objet </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2.10</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solides pyrophoriques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2.11</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auto-échauffantes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2.12</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 xml:space="preserve">Matières qui, au contact </w:t>
            </w:r>
            <w:r w:rsidR="00877619" w:rsidRPr="00111AC3">
              <w:rPr>
                <w:b/>
                <w:sz w:val="18"/>
                <w:szCs w:val="18"/>
                <w:lang w:val="fr-FR"/>
              </w:rPr>
              <w:br/>
            </w:r>
            <w:r w:rsidRPr="00111AC3">
              <w:rPr>
                <w:b/>
                <w:sz w:val="18"/>
                <w:szCs w:val="18"/>
                <w:lang w:val="fr-FR"/>
              </w:rPr>
              <w:t xml:space="preserve">de l’eau, dégagent </w:t>
            </w:r>
            <w:r w:rsidR="00877619" w:rsidRPr="00111AC3">
              <w:rPr>
                <w:b/>
                <w:sz w:val="18"/>
                <w:szCs w:val="18"/>
                <w:lang w:val="fr-FR"/>
              </w:rPr>
              <w:br/>
            </w:r>
            <w:r w:rsidRPr="00111AC3">
              <w:rPr>
                <w:b/>
                <w:sz w:val="18"/>
                <w:szCs w:val="18"/>
                <w:lang w:val="fr-FR"/>
              </w:rPr>
              <w:t>des gaz inflammables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2.13</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Liquides comburants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2.14</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solides comburantes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2.15</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Peroxydes organiques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5F32B9">
            <w:pPr>
              <w:keepNext/>
              <w:spacing w:before="60" w:after="60"/>
              <w:ind w:left="57" w:right="57"/>
              <w:rPr>
                <w:b/>
                <w:sz w:val="18"/>
                <w:szCs w:val="18"/>
              </w:rPr>
            </w:pPr>
            <w:r w:rsidRPr="00111AC3">
              <w:rPr>
                <w:b/>
                <w:sz w:val="18"/>
                <w:szCs w:val="18"/>
                <w:lang w:val="fr-FR"/>
              </w:rPr>
              <w:t>2.16</w:t>
            </w:r>
          </w:p>
        </w:tc>
        <w:tc>
          <w:tcPr>
            <w:tcW w:w="2405" w:type="dxa"/>
            <w:shd w:val="clear" w:color="auto" w:fill="auto"/>
          </w:tcPr>
          <w:p w:rsidR="00FA1D61" w:rsidRPr="00111AC3" w:rsidRDefault="00FA1D61" w:rsidP="005F32B9">
            <w:pPr>
              <w:keepNext/>
              <w:spacing w:before="60" w:after="60"/>
              <w:ind w:left="57" w:right="57"/>
              <w:rPr>
                <w:b/>
                <w:sz w:val="18"/>
                <w:szCs w:val="18"/>
                <w:lang w:val="fr-FR"/>
              </w:rPr>
            </w:pPr>
            <w:r w:rsidRPr="00111AC3">
              <w:rPr>
                <w:b/>
                <w:sz w:val="18"/>
                <w:szCs w:val="18"/>
                <w:lang w:val="fr-FR"/>
              </w:rPr>
              <w:t xml:space="preserve">Matières corrosives </w:t>
            </w:r>
            <w:r w:rsidR="00877619" w:rsidRPr="00111AC3">
              <w:rPr>
                <w:b/>
                <w:sz w:val="18"/>
                <w:szCs w:val="18"/>
                <w:lang w:val="fr-FR"/>
              </w:rPr>
              <w:br/>
            </w:r>
            <w:r w:rsidRPr="00111AC3">
              <w:rPr>
                <w:b/>
                <w:sz w:val="18"/>
                <w:szCs w:val="18"/>
                <w:lang w:val="fr-FR"/>
              </w:rPr>
              <w:t>pour les métaux</w:t>
            </w:r>
          </w:p>
        </w:tc>
        <w:tc>
          <w:tcPr>
            <w:tcW w:w="1911" w:type="dxa"/>
            <w:shd w:val="clear" w:color="auto" w:fill="auto"/>
          </w:tcPr>
          <w:p w:rsidR="00FA1D61" w:rsidRPr="00B51E17" w:rsidRDefault="00FA1D61" w:rsidP="005F32B9">
            <w:pPr>
              <w:keepNext/>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5F32B9">
            <w:pPr>
              <w:keepNext/>
              <w:spacing w:before="60" w:after="60"/>
              <w:ind w:left="57" w:right="57"/>
              <w:rPr>
                <w:sz w:val="18"/>
                <w:szCs w:val="18"/>
              </w:rPr>
            </w:pPr>
          </w:p>
        </w:tc>
        <w:tc>
          <w:tcPr>
            <w:tcW w:w="1944" w:type="dxa"/>
            <w:shd w:val="clear" w:color="auto" w:fill="auto"/>
          </w:tcPr>
          <w:p w:rsidR="00FA1D61" w:rsidRPr="00B51E17" w:rsidRDefault="00FA1D61" w:rsidP="005F32B9">
            <w:pPr>
              <w:keepNext/>
              <w:spacing w:before="60" w:after="60"/>
              <w:ind w:left="57" w:right="57"/>
              <w:rPr>
                <w:sz w:val="18"/>
                <w:szCs w:val="18"/>
              </w:rPr>
            </w:pPr>
            <w:r w:rsidRPr="00B51E17">
              <w:rPr>
                <w:sz w:val="18"/>
                <w:szCs w:val="18"/>
                <w:lang w:val="fr-FR"/>
              </w:rPr>
              <w:t>Absence de données</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2.17</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explosibles désensibilisées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vMerge w:val="restart"/>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3.1</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 xml:space="preserve">Toxicité aiguë </w:t>
            </w:r>
          </w:p>
          <w:p w:rsidR="00FA1D61" w:rsidRPr="00111AC3" w:rsidRDefault="00FA1D61" w:rsidP="00D405FB">
            <w:pPr>
              <w:pStyle w:val="Bullet1G"/>
              <w:ind w:left="227" w:right="0"/>
              <w:rPr>
                <w:lang w:val="fr-FR"/>
              </w:rPr>
            </w:pPr>
            <w:r w:rsidRPr="00A34476">
              <w:rPr>
                <w:b/>
                <w:sz w:val="18"/>
                <w:szCs w:val="18"/>
                <w:lang w:val="fr-FR"/>
              </w:rPr>
              <w:t>voie orale</w:t>
            </w:r>
          </w:p>
        </w:tc>
        <w:tc>
          <w:tcPr>
            <w:tcW w:w="1911" w:type="dxa"/>
            <w:shd w:val="clear" w:color="auto" w:fill="auto"/>
          </w:tcPr>
          <w:p w:rsidR="00FA1D61" w:rsidRPr="00B51E17" w:rsidRDefault="00FA1D61" w:rsidP="00D405FB">
            <w:pPr>
              <w:spacing w:before="60" w:after="60"/>
              <w:ind w:left="57" w:right="57"/>
              <w:rPr>
                <w:sz w:val="18"/>
                <w:szCs w:val="18"/>
                <w:lang w:val="fr-FR"/>
              </w:rPr>
            </w:pPr>
          </w:p>
          <w:p w:rsidR="00FA1D61" w:rsidRPr="00B51E17" w:rsidRDefault="00534088" w:rsidP="00D405FB">
            <w:pPr>
              <w:spacing w:before="60" w:after="60"/>
              <w:ind w:left="57" w:right="57"/>
              <w:rPr>
                <w:sz w:val="18"/>
                <w:szCs w:val="18"/>
              </w:rPr>
            </w:pPr>
            <w:r>
              <w:rPr>
                <w:sz w:val="18"/>
                <w:szCs w:val="18"/>
                <w:lang w:val="fr-FR"/>
              </w:rPr>
              <w:t>Tox. aiguë </w:t>
            </w:r>
            <w:r w:rsidR="00FA1D61" w:rsidRPr="00B51E17">
              <w:rPr>
                <w:sz w:val="18"/>
                <w:szCs w:val="18"/>
                <w:lang w:val="fr-FR"/>
              </w:rPr>
              <w:t>3</w:t>
            </w:r>
            <w:r>
              <w:rPr>
                <w:sz w:val="18"/>
                <w:szCs w:val="18"/>
                <w:lang w:val="fr-FR"/>
              </w:rPr>
              <w:t> </w:t>
            </w:r>
            <w:r w:rsidR="00FA1D61" w:rsidRPr="00B51E17">
              <w:rPr>
                <w:sz w:val="18"/>
                <w:szCs w:val="18"/>
                <w:lang w:val="fr-FR"/>
              </w:rPr>
              <w:t>; H301</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vMerge/>
            <w:shd w:val="clear" w:color="auto" w:fill="auto"/>
          </w:tcPr>
          <w:p w:rsidR="00FA1D61" w:rsidRPr="00111AC3" w:rsidRDefault="00FA1D61" w:rsidP="00D405FB">
            <w:pPr>
              <w:spacing w:before="60" w:after="60"/>
              <w:ind w:left="57" w:right="57"/>
              <w:rPr>
                <w:b/>
                <w:sz w:val="18"/>
                <w:szCs w:val="18"/>
                <w:lang w:eastAsia="da-DK"/>
              </w:rPr>
            </w:pPr>
          </w:p>
        </w:tc>
        <w:tc>
          <w:tcPr>
            <w:tcW w:w="2405" w:type="dxa"/>
            <w:shd w:val="clear" w:color="auto" w:fill="auto"/>
          </w:tcPr>
          <w:p w:rsidR="00FA1D61" w:rsidRPr="00111AC3" w:rsidRDefault="00FA1D61" w:rsidP="00D405FB">
            <w:pPr>
              <w:pStyle w:val="Bullet1G"/>
              <w:ind w:left="227" w:right="0"/>
              <w:rPr>
                <w:b/>
                <w:sz w:val="18"/>
                <w:szCs w:val="18"/>
              </w:rPr>
            </w:pPr>
            <w:r w:rsidRPr="00A34476">
              <w:rPr>
                <w:b/>
                <w:sz w:val="18"/>
                <w:szCs w:val="18"/>
                <w:lang w:val="fr-FR"/>
              </w:rPr>
              <w:t>voie</w:t>
            </w:r>
            <w:r w:rsidRPr="00111AC3">
              <w:rPr>
                <w:b/>
                <w:sz w:val="18"/>
                <w:szCs w:val="18"/>
                <w:lang w:val="fr-FR"/>
              </w:rPr>
              <w:t xml:space="preserve"> cutanée</w:t>
            </w:r>
          </w:p>
        </w:tc>
        <w:tc>
          <w:tcPr>
            <w:tcW w:w="1911" w:type="dxa"/>
            <w:shd w:val="clear" w:color="auto" w:fill="auto"/>
          </w:tcPr>
          <w:p w:rsidR="00FA1D61" w:rsidRPr="00B51E17" w:rsidRDefault="00534088" w:rsidP="00D405FB">
            <w:pPr>
              <w:spacing w:before="60" w:after="60"/>
              <w:ind w:left="57" w:right="57"/>
              <w:rPr>
                <w:sz w:val="18"/>
                <w:szCs w:val="18"/>
              </w:rPr>
            </w:pPr>
            <w:r>
              <w:rPr>
                <w:sz w:val="18"/>
                <w:szCs w:val="18"/>
                <w:lang w:val="fr-FR"/>
              </w:rPr>
              <w:t>Tox. aiguë </w:t>
            </w:r>
            <w:r w:rsidR="00FA1D61" w:rsidRPr="00B51E17">
              <w:rPr>
                <w:sz w:val="18"/>
                <w:szCs w:val="18"/>
                <w:lang w:val="fr-FR"/>
              </w:rPr>
              <w:t>5</w:t>
            </w:r>
            <w:r>
              <w:rPr>
                <w:sz w:val="18"/>
                <w:szCs w:val="18"/>
                <w:lang w:val="fr-FR"/>
              </w:rPr>
              <w:t> </w:t>
            </w:r>
            <w:r w:rsidR="00FA1D61" w:rsidRPr="00B51E17">
              <w:rPr>
                <w:sz w:val="18"/>
                <w:szCs w:val="18"/>
                <w:lang w:val="fr-FR"/>
              </w:rPr>
              <w:t>; H313</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vMerge/>
            <w:shd w:val="clear" w:color="auto" w:fill="auto"/>
          </w:tcPr>
          <w:p w:rsidR="00FA1D61" w:rsidRPr="00111AC3" w:rsidRDefault="00FA1D61" w:rsidP="00D405FB">
            <w:pPr>
              <w:spacing w:before="60" w:after="60"/>
              <w:ind w:left="57" w:right="57"/>
              <w:rPr>
                <w:b/>
                <w:sz w:val="18"/>
                <w:szCs w:val="18"/>
                <w:lang w:eastAsia="da-DK"/>
              </w:rPr>
            </w:pPr>
          </w:p>
        </w:tc>
        <w:tc>
          <w:tcPr>
            <w:tcW w:w="2405" w:type="dxa"/>
            <w:shd w:val="clear" w:color="auto" w:fill="auto"/>
          </w:tcPr>
          <w:p w:rsidR="00FA1D61" w:rsidRPr="00111AC3" w:rsidRDefault="00FA1D61" w:rsidP="00D405FB">
            <w:pPr>
              <w:pStyle w:val="Bullet1G"/>
              <w:ind w:left="227" w:right="0"/>
              <w:rPr>
                <w:b/>
                <w:sz w:val="18"/>
                <w:szCs w:val="18"/>
              </w:rPr>
            </w:pPr>
            <w:r w:rsidRPr="00111AC3">
              <w:rPr>
                <w:b/>
                <w:sz w:val="18"/>
                <w:szCs w:val="18"/>
                <w:lang w:val="fr-FR"/>
              </w:rPr>
              <w:t>inhalation</w:t>
            </w:r>
          </w:p>
        </w:tc>
        <w:tc>
          <w:tcPr>
            <w:tcW w:w="1911" w:type="dxa"/>
            <w:shd w:val="clear" w:color="auto" w:fill="auto"/>
          </w:tcPr>
          <w:p w:rsidR="00FA1D61" w:rsidRPr="00B51E17" w:rsidRDefault="00534088" w:rsidP="00D405FB">
            <w:pPr>
              <w:spacing w:before="60" w:after="60"/>
              <w:ind w:left="57" w:right="57"/>
              <w:rPr>
                <w:sz w:val="18"/>
                <w:szCs w:val="18"/>
              </w:rPr>
            </w:pPr>
            <w:r>
              <w:rPr>
                <w:sz w:val="18"/>
                <w:szCs w:val="18"/>
                <w:lang w:val="fr-FR"/>
              </w:rPr>
              <w:t>Tox. aiguë </w:t>
            </w:r>
            <w:r w:rsidR="00FA1D61" w:rsidRPr="00B51E17">
              <w:rPr>
                <w:sz w:val="18"/>
                <w:szCs w:val="18"/>
                <w:lang w:val="fr-FR"/>
              </w:rPr>
              <w:t>2</w:t>
            </w:r>
            <w:r>
              <w:rPr>
                <w:sz w:val="18"/>
                <w:szCs w:val="18"/>
                <w:lang w:val="fr-FR"/>
              </w:rPr>
              <w:t> </w:t>
            </w:r>
            <w:r w:rsidR="00FA1D61" w:rsidRPr="00B51E17">
              <w:rPr>
                <w:sz w:val="18"/>
                <w:szCs w:val="18"/>
                <w:lang w:val="fr-FR"/>
              </w:rPr>
              <w:t>; H330</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3.2</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Corrosion/irritation cutanée</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Irrit. cutanée</w:t>
            </w:r>
            <w:r w:rsidR="00534088">
              <w:rPr>
                <w:sz w:val="18"/>
                <w:szCs w:val="18"/>
                <w:lang w:val="fr-FR"/>
              </w:rPr>
              <w:t> </w:t>
            </w:r>
            <w:r w:rsidRPr="00B51E17">
              <w:rPr>
                <w:sz w:val="18"/>
                <w:szCs w:val="18"/>
                <w:lang w:val="fr-FR"/>
              </w:rPr>
              <w:t>2</w:t>
            </w:r>
            <w:r w:rsidR="00534088">
              <w:rPr>
                <w:sz w:val="18"/>
                <w:szCs w:val="18"/>
                <w:lang w:val="fr-FR"/>
              </w:rPr>
              <w:t> </w:t>
            </w:r>
            <w:r w:rsidRPr="00B51E17">
              <w:rPr>
                <w:sz w:val="18"/>
                <w:szCs w:val="18"/>
                <w:lang w:val="fr-FR"/>
              </w:rPr>
              <w:t>; H315</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3.3</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Lésions oculaires graves/irritation oculaire</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 xml:space="preserve">Non classé </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Données concluantes mais insuffisantes pour la classification</w:t>
            </w:r>
          </w:p>
        </w:tc>
      </w:tr>
      <w:tr w:rsidR="00C73E69" w:rsidRPr="00B51E17" w:rsidTr="006B36B7">
        <w:trPr>
          <w:gridAfter w:val="1"/>
          <w:wAfter w:w="6" w:type="dxa"/>
        </w:trPr>
        <w:tc>
          <w:tcPr>
            <w:tcW w:w="953" w:type="dxa"/>
            <w:vMerge w:val="restart"/>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3.4</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Sensibilisation respiratoire</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 xml:space="preserve">Non classé </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Absence de données</w:t>
            </w:r>
          </w:p>
        </w:tc>
      </w:tr>
      <w:tr w:rsidR="00C73E69" w:rsidRPr="00B51E17" w:rsidTr="006B36B7">
        <w:trPr>
          <w:gridAfter w:val="1"/>
          <w:wAfter w:w="6" w:type="dxa"/>
        </w:trPr>
        <w:tc>
          <w:tcPr>
            <w:tcW w:w="953" w:type="dxa"/>
            <w:vMerge/>
            <w:shd w:val="clear" w:color="auto" w:fill="auto"/>
          </w:tcPr>
          <w:p w:rsidR="00FA1D61" w:rsidRPr="00111AC3" w:rsidRDefault="00FA1D61" w:rsidP="00D405FB">
            <w:pPr>
              <w:spacing w:before="60" w:after="60"/>
              <w:ind w:left="57" w:right="57"/>
              <w:rPr>
                <w:b/>
                <w:sz w:val="18"/>
                <w:szCs w:val="18"/>
                <w:lang w:eastAsia="da-DK"/>
              </w:rPr>
            </w:pP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Sensibilisation cutanée</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 xml:space="preserve">Non classé </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Données concluantes mais insuffisantes pour la classification</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3.5</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Mutagénicité sur les cellules germinales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Données concluantes mais insuffisantes pour la classification</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3.6</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Cancérogénicité</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Absence de données</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3.7</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 xml:space="preserve">Toxicité pour la reproduction </w:t>
            </w:r>
          </w:p>
        </w:tc>
        <w:tc>
          <w:tcPr>
            <w:tcW w:w="1911"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Repr.2</w:t>
            </w:r>
            <w:r w:rsidR="00534088">
              <w:rPr>
                <w:sz w:val="18"/>
                <w:szCs w:val="18"/>
                <w:lang w:val="fr-FR"/>
              </w:rPr>
              <w:t> </w:t>
            </w:r>
            <w:r w:rsidRPr="00B51E17">
              <w:rPr>
                <w:sz w:val="18"/>
                <w:szCs w:val="18"/>
                <w:lang w:val="fr-FR"/>
              </w:rPr>
              <w:t>; H361</w:t>
            </w:r>
          </w:p>
          <w:p w:rsidR="00FA1D61" w:rsidRPr="00B51E17" w:rsidRDefault="00FA1D61" w:rsidP="00D405FB">
            <w:pPr>
              <w:spacing w:before="60" w:after="60"/>
              <w:ind w:left="57" w:right="57"/>
              <w:rPr>
                <w:sz w:val="18"/>
                <w:szCs w:val="18"/>
                <w:lang w:val="fr-FR"/>
              </w:rPr>
            </w:pPr>
            <w:r w:rsidRPr="00B51E17">
              <w:rPr>
                <w:sz w:val="18"/>
                <w:szCs w:val="18"/>
                <w:lang w:val="fr-FR"/>
              </w:rPr>
              <w:t>(effets néfaste</w:t>
            </w:r>
            <w:r w:rsidR="004D64DF">
              <w:rPr>
                <w:sz w:val="18"/>
                <w:szCs w:val="18"/>
                <w:lang w:val="fr-FR"/>
              </w:rPr>
              <w:t>s</w:t>
            </w:r>
            <w:r w:rsidRPr="00B51E17">
              <w:rPr>
                <w:sz w:val="18"/>
                <w:szCs w:val="18"/>
                <w:lang w:val="fr-FR"/>
              </w:rPr>
              <w:t xml:space="preserve"> sur </w:t>
            </w:r>
            <w:r w:rsidR="00534088">
              <w:rPr>
                <w:sz w:val="18"/>
                <w:szCs w:val="18"/>
                <w:lang w:val="fr-FR"/>
              </w:rPr>
              <w:br/>
            </w:r>
            <w:r w:rsidRPr="00B51E17">
              <w:rPr>
                <w:sz w:val="18"/>
                <w:szCs w:val="18"/>
                <w:lang w:val="fr-FR"/>
              </w:rPr>
              <w:t>le développement des descendants)</w:t>
            </w:r>
          </w:p>
        </w:tc>
        <w:tc>
          <w:tcPr>
            <w:tcW w:w="1285" w:type="dxa"/>
            <w:shd w:val="clear" w:color="auto" w:fill="auto"/>
          </w:tcPr>
          <w:p w:rsidR="00FA1D61" w:rsidRPr="00B51E17" w:rsidRDefault="00FA1D61" w:rsidP="00D405FB">
            <w:pPr>
              <w:spacing w:before="60" w:after="60"/>
              <w:ind w:left="57" w:right="57"/>
              <w:rPr>
                <w:sz w:val="18"/>
                <w:szCs w:val="18"/>
                <w:lang w:val="fr-FR"/>
              </w:rPr>
            </w:pPr>
          </w:p>
        </w:tc>
        <w:tc>
          <w:tcPr>
            <w:tcW w:w="1944" w:type="dxa"/>
            <w:shd w:val="clear" w:color="auto" w:fill="auto"/>
          </w:tcPr>
          <w:p w:rsidR="00FA1D61" w:rsidRPr="00B51E17" w:rsidRDefault="00FA1D61" w:rsidP="00D405FB">
            <w:pPr>
              <w:spacing w:before="60" w:after="60"/>
              <w:ind w:left="57" w:right="57"/>
              <w:rPr>
                <w:sz w:val="18"/>
                <w:szCs w:val="18"/>
                <w:lang w:val="fr-FR"/>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3.8</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Toxici</w:t>
            </w:r>
            <w:r w:rsidR="007E1DD5">
              <w:rPr>
                <w:b/>
                <w:sz w:val="18"/>
                <w:szCs w:val="18"/>
                <w:lang w:val="fr-FR"/>
              </w:rPr>
              <w:t>té pour certains organes cibles − </w:t>
            </w:r>
            <w:r w:rsidRPr="00111AC3">
              <w:rPr>
                <w:b/>
                <w:sz w:val="18"/>
                <w:szCs w:val="18"/>
                <w:lang w:val="fr-FR"/>
              </w:rPr>
              <w:t>exposition unique</w:t>
            </w:r>
          </w:p>
        </w:tc>
        <w:tc>
          <w:tcPr>
            <w:tcW w:w="1911" w:type="dxa"/>
            <w:shd w:val="clear" w:color="auto" w:fill="auto"/>
          </w:tcPr>
          <w:p w:rsidR="00FA1D61" w:rsidRPr="00B51E17" w:rsidRDefault="00534088" w:rsidP="00D405FB">
            <w:pPr>
              <w:spacing w:before="60" w:after="60"/>
              <w:ind w:left="57" w:right="57"/>
              <w:rPr>
                <w:sz w:val="18"/>
                <w:szCs w:val="18"/>
              </w:rPr>
            </w:pPr>
            <w:r>
              <w:rPr>
                <w:sz w:val="18"/>
                <w:szCs w:val="18"/>
                <w:lang w:val="en-US"/>
              </w:rPr>
              <w:t>STOT Exp. unique </w:t>
            </w:r>
            <w:r w:rsidR="00FA1D61" w:rsidRPr="00B51E17">
              <w:rPr>
                <w:sz w:val="18"/>
                <w:szCs w:val="18"/>
                <w:lang w:val="en-US"/>
              </w:rPr>
              <w:t>3</w:t>
            </w:r>
            <w:r>
              <w:rPr>
                <w:sz w:val="18"/>
                <w:szCs w:val="18"/>
                <w:lang w:val="en-US"/>
              </w:rPr>
              <w:t> </w:t>
            </w:r>
            <w:r w:rsidR="00FA1D61" w:rsidRPr="00B51E17">
              <w:rPr>
                <w:sz w:val="18"/>
                <w:szCs w:val="18"/>
                <w:lang w:val="en-US"/>
              </w:rPr>
              <w:t>; H335, H336</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3.9</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Toxici</w:t>
            </w:r>
            <w:r w:rsidR="00E65B1E">
              <w:rPr>
                <w:b/>
                <w:sz w:val="18"/>
                <w:szCs w:val="18"/>
                <w:lang w:val="fr-FR"/>
              </w:rPr>
              <w:t>té pour certains organes cibles − </w:t>
            </w:r>
            <w:r w:rsidRPr="00111AC3">
              <w:rPr>
                <w:b/>
                <w:sz w:val="18"/>
                <w:szCs w:val="18"/>
                <w:lang w:val="fr-FR"/>
              </w:rPr>
              <w:t>exposition répétée</w:t>
            </w:r>
          </w:p>
        </w:tc>
        <w:tc>
          <w:tcPr>
            <w:tcW w:w="1911" w:type="dxa"/>
            <w:shd w:val="clear" w:color="auto" w:fill="auto"/>
          </w:tcPr>
          <w:p w:rsidR="00FA1D61" w:rsidRPr="00B51E17" w:rsidRDefault="00534088" w:rsidP="00D405FB">
            <w:pPr>
              <w:spacing w:before="60" w:after="60"/>
              <w:ind w:left="57" w:right="57"/>
              <w:rPr>
                <w:strike/>
                <w:sz w:val="18"/>
                <w:szCs w:val="18"/>
              </w:rPr>
            </w:pPr>
            <w:r>
              <w:rPr>
                <w:sz w:val="18"/>
                <w:szCs w:val="18"/>
                <w:lang w:val="fr-FR"/>
              </w:rPr>
              <w:t>STOT Exp. répétées </w:t>
            </w:r>
            <w:r w:rsidR="00FA1D61" w:rsidRPr="00B51E17">
              <w:rPr>
                <w:sz w:val="18"/>
                <w:szCs w:val="18"/>
                <w:lang w:val="fr-FR"/>
              </w:rPr>
              <w:t>2</w:t>
            </w:r>
            <w:r w:rsidR="007E1DD5">
              <w:rPr>
                <w:sz w:val="18"/>
                <w:szCs w:val="18"/>
                <w:lang w:val="fr-FR"/>
              </w:rPr>
              <w:t> </w:t>
            </w:r>
            <w:r w:rsidR="00FA1D61" w:rsidRPr="00B51E17">
              <w:rPr>
                <w:sz w:val="18"/>
                <w:szCs w:val="18"/>
                <w:lang w:val="fr-FR"/>
              </w:rPr>
              <w:t>; H373</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3.10</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Danger par aspiration</w:t>
            </w:r>
          </w:p>
        </w:tc>
        <w:tc>
          <w:tcPr>
            <w:tcW w:w="1911" w:type="dxa"/>
            <w:shd w:val="clear" w:color="auto" w:fill="auto"/>
          </w:tcPr>
          <w:p w:rsidR="00FA1D61" w:rsidRPr="00B51E17" w:rsidRDefault="00534088" w:rsidP="00D405FB">
            <w:pPr>
              <w:spacing w:before="60" w:after="60"/>
              <w:ind w:left="57" w:right="57"/>
              <w:rPr>
                <w:sz w:val="18"/>
                <w:szCs w:val="18"/>
              </w:rPr>
            </w:pPr>
            <w:r>
              <w:rPr>
                <w:sz w:val="18"/>
                <w:szCs w:val="18"/>
                <w:lang w:val="fr-FR"/>
              </w:rPr>
              <w:t>Tox. Asp. </w:t>
            </w:r>
            <w:r w:rsidR="00FA1D61" w:rsidRPr="00B51E17">
              <w:rPr>
                <w:sz w:val="18"/>
                <w:szCs w:val="18"/>
                <w:lang w:val="fr-FR"/>
              </w:rPr>
              <w:t>1</w:t>
            </w:r>
            <w:r>
              <w:rPr>
                <w:sz w:val="18"/>
                <w:szCs w:val="18"/>
                <w:lang w:val="fr-FR"/>
              </w:rPr>
              <w:t> </w:t>
            </w:r>
            <w:r w:rsidR="00FA1D61" w:rsidRPr="00B51E17">
              <w:rPr>
                <w:sz w:val="18"/>
                <w:szCs w:val="18"/>
                <w:lang w:val="fr-FR"/>
              </w:rPr>
              <w:t>; H304</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4.1</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Dangers pour le milieu aquatique</w:t>
            </w:r>
          </w:p>
        </w:tc>
        <w:tc>
          <w:tcPr>
            <w:tcW w:w="1911" w:type="dxa"/>
            <w:shd w:val="clear" w:color="auto" w:fill="auto"/>
          </w:tcPr>
          <w:p w:rsidR="00FA1D61" w:rsidRPr="00B51E17" w:rsidRDefault="00534088" w:rsidP="00D405FB">
            <w:pPr>
              <w:spacing w:before="60" w:after="60"/>
              <w:ind w:left="57" w:right="57"/>
              <w:rPr>
                <w:sz w:val="18"/>
                <w:szCs w:val="18"/>
              </w:rPr>
            </w:pPr>
            <w:r>
              <w:rPr>
                <w:sz w:val="18"/>
                <w:szCs w:val="18"/>
                <w:lang w:val="fr-FR"/>
              </w:rPr>
              <w:t>Aiguë </w:t>
            </w:r>
            <w:r w:rsidR="00FA1D61" w:rsidRPr="00B51E17">
              <w:rPr>
                <w:sz w:val="18"/>
                <w:szCs w:val="18"/>
                <w:lang w:val="fr-FR"/>
              </w:rPr>
              <w:t>1</w:t>
            </w:r>
            <w:r>
              <w:rPr>
                <w:sz w:val="18"/>
                <w:szCs w:val="18"/>
                <w:lang w:val="fr-FR"/>
              </w:rPr>
              <w:t> </w:t>
            </w:r>
            <w:r w:rsidR="00FA1D61" w:rsidRPr="00B51E17">
              <w:rPr>
                <w:sz w:val="18"/>
                <w:szCs w:val="18"/>
                <w:lang w:val="fr-FR"/>
              </w:rPr>
              <w:t>; H400</w:t>
            </w:r>
          </w:p>
          <w:p w:rsidR="00FA1D61" w:rsidRPr="00B51E17" w:rsidRDefault="00534088" w:rsidP="00D405FB">
            <w:pPr>
              <w:spacing w:before="60" w:after="60"/>
              <w:ind w:left="57" w:right="57"/>
              <w:rPr>
                <w:sz w:val="18"/>
                <w:szCs w:val="18"/>
              </w:rPr>
            </w:pPr>
            <w:r>
              <w:rPr>
                <w:sz w:val="18"/>
                <w:szCs w:val="18"/>
                <w:lang w:val="fr-FR"/>
              </w:rPr>
              <w:t>Chronique </w:t>
            </w:r>
            <w:r w:rsidR="00FA1D61" w:rsidRPr="00B51E17">
              <w:rPr>
                <w:sz w:val="18"/>
                <w:szCs w:val="18"/>
                <w:lang w:val="fr-FR"/>
              </w:rPr>
              <w:t>2</w:t>
            </w:r>
            <w:r>
              <w:rPr>
                <w:sz w:val="18"/>
                <w:szCs w:val="18"/>
                <w:lang w:val="fr-FR"/>
              </w:rPr>
              <w:t> </w:t>
            </w:r>
            <w:r w:rsidR="00FA1D61" w:rsidRPr="00B51E17">
              <w:rPr>
                <w:sz w:val="18"/>
                <w:szCs w:val="18"/>
                <w:lang w:val="fr-FR"/>
              </w:rPr>
              <w:t>; H411</w:t>
            </w:r>
          </w:p>
        </w:tc>
        <w:tc>
          <w:tcPr>
            <w:tcW w:w="1285"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M</w:t>
            </w:r>
            <w:r w:rsidR="006C7DA4">
              <w:rPr>
                <w:sz w:val="18"/>
                <w:szCs w:val="18"/>
                <w:lang w:val="fr-FR"/>
              </w:rPr>
              <w:t> </w:t>
            </w:r>
            <w:r w:rsidRPr="00B51E17">
              <w:rPr>
                <w:sz w:val="18"/>
                <w:szCs w:val="18"/>
                <w:lang w:val="fr-FR"/>
              </w:rPr>
              <w:t>=</w:t>
            </w:r>
            <w:r w:rsidR="006C7DA4">
              <w:rPr>
                <w:sz w:val="18"/>
                <w:szCs w:val="18"/>
                <w:lang w:val="fr-FR"/>
              </w:rPr>
              <w:t> </w:t>
            </w:r>
            <w:r w:rsidRPr="00B51E17">
              <w:rPr>
                <w:sz w:val="18"/>
                <w:szCs w:val="18"/>
                <w:lang w:val="fr-FR"/>
              </w:rPr>
              <w:t>1</w:t>
            </w: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4.2</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Dangers pour la couche d’ozone</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FA1D61" w:rsidRPr="00FA1D61" w:rsidTr="006B36B7">
        <w:tc>
          <w:tcPr>
            <w:tcW w:w="8504" w:type="dxa"/>
            <w:gridSpan w:val="6"/>
            <w:shd w:val="clear" w:color="auto" w:fill="auto"/>
          </w:tcPr>
          <w:p w:rsidR="00FA1D61" w:rsidRPr="00111AC3" w:rsidRDefault="00FA1D61" w:rsidP="00D405FB">
            <w:pPr>
              <w:spacing w:before="60" w:after="60"/>
              <w:ind w:left="57" w:right="57"/>
              <w:rPr>
                <w:b/>
                <w:sz w:val="18"/>
                <w:szCs w:val="18"/>
                <w:lang w:val="fr-FR"/>
              </w:rPr>
            </w:pPr>
            <w:r w:rsidRPr="00D1783F">
              <w:rPr>
                <w:sz w:val="18"/>
                <w:szCs w:val="18"/>
                <w:lang w:val="fr-FR"/>
              </w:rPr>
              <w:t>*</w:t>
            </w:r>
            <w:r w:rsidR="00534088" w:rsidRPr="00D1783F">
              <w:rPr>
                <w:i/>
                <w:sz w:val="18"/>
                <w:szCs w:val="18"/>
                <w:lang w:val="fr-FR"/>
              </w:rPr>
              <w:t xml:space="preserve"> </w:t>
            </w:r>
            <w:r w:rsidR="00534088" w:rsidRPr="00111AC3">
              <w:rPr>
                <w:b/>
                <w:i/>
                <w:sz w:val="18"/>
                <w:szCs w:val="18"/>
                <w:lang w:val="fr-FR"/>
              </w:rPr>
              <w:t>Note </w:t>
            </w:r>
            <w:r w:rsidRPr="00111AC3">
              <w:rPr>
                <w:b/>
                <w:i/>
                <w:sz w:val="18"/>
                <w:szCs w:val="18"/>
                <w:lang w:val="fr-FR"/>
              </w:rPr>
              <w:t>1</w:t>
            </w:r>
            <w:r w:rsidR="00877619" w:rsidRPr="00111AC3">
              <w:rPr>
                <w:b/>
                <w:i/>
                <w:sz w:val="18"/>
                <w:szCs w:val="18"/>
                <w:lang w:val="fr-FR"/>
              </w:rPr>
              <w:t> </w:t>
            </w:r>
            <w:r w:rsidRPr="00111AC3">
              <w:rPr>
                <w:sz w:val="18"/>
                <w:szCs w:val="18"/>
                <w:lang w:val="fr-FR"/>
              </w:rPr>
              <w:t>:</w:t>
            </w:r>
            <w:r w:rsidR="00534088" w:rsidRPr="00111AC3">
              <w:rPr>
                <w:b/>
                <w:sz w:val="18"/>
                <w:szCs w:val="18"/>
                <w:lang w:val="fr-FR"/>
              </w:rPr>
              <w:t xml:space="preserve"> </w:t>
            </w:r>
            <w:r w:rsidR="00534088" w:rsidRPr="00111AC3">
              <w:rPr>
                <w:i/>
                <w:sz w:val="18"/>
                <w:szCs w:val="18"/>
                <w:lang w:val="fr-FR"/>
              </w:rPr>
              <w:t>Au</w:t>
            </w:r>
            <w:r w:rsidR="008027F5" w:rsidRPr="00111AC3">
              <w:rPr>
                <w:i/>
                <w:sz w:val="18"/>
                <w:szCs w:val="18"/>
                <w:lang w:val="fr-FR"/>
              </w:rPr>
              <w:noBreakHyphen/>
            </w:r>
            <w:r w:rsidR="00534088" w:rsidRPr="00111AC3">
              <w:rPr>
                <w:i/>
                <w:sz w:val="18"/>
                <w:szCs w:val="18"/>
                <w:lang w:val="fr-FR"/>
              </w:rPr>
              <w:t>dessus de 32,2 </w:t>
            </w:r>
            <w:r w:rsidR="008027F5" w:rsidRPr="00111AC3">
              <w:rPr>
                <w:i/>
                <w:sz w:val="18"/>
                <w:szCs w:val="18"/>
                <w:lang w:val="fr-FR"/>
              </w:rPr>
              <w:t>°C/90 </w:t>
            </w:r>
            <w:r w:rsidRPr="00111AC3">
              <w:rPr>
                <w:i/>
                <w:sz w:val="18"/>
                <w:szCs w:val="18"/>
                <w:lang w:val="fr-FR"/>
              </w:rPr>
              <w:t xml:space="preserve">°F, la substance pure est un liquide ainsi que les catégories </w:t>
            </w:r>
            <w:r w:rsidR="008027F5" w:rsidRPr="00111AC3">
              <w:rPr>
                <w:i/>
                <w:sz w:val="18"/>
                <w:szCs w:val="18"/>
                <w:lang w:val="fr-FR"/>
              </w:rPr>
              <w:t>commerciales de pureté &lt; 97 </w:t>
            </w:r>
            <w:r w:rsidRPr="00111AC3">
              <w:rPr>
                <w:i/>
                <w:sz w:val="18"/>
                <w:szCs w:val="18"/>
                <w:lang w:val="fr-FR"/>
              </w:rPr>
              <w:t>% à température ambiante</w:t>
            </w:r>
            <w:r w:rsidR="00F07AE4" w:rsidRPr="00111AC3">
              <w:rPr>
                <w:sz w:val="18"/>
                <w:szCs w:val="18"/>
                <w:lang w:val="fr-FR"/>
              </w:rPr>
              <w:t>.</w:t>
            </w:r>
          </w:p>
        </w:tc>
      </w:tr>
    </w:tbl>
    <w:p w:rsidR="00975346" w:rsidRDefault="007E4A3D" w:rsidP="00201C00">
      <w:pPr>
        <w:pStyle w:val="H23G"/>
        <w:rPr>
          <w:lang w:val="fr-FR"/>
        </w:rPr>
      </w:pPr>
      <w:r>
        <w:rPr>
          <w:lang w:val="fr-FR"/>
        </w:rPr>
        <w:tab/>
      </w:r>
      <w:r>
        <w:rPr>
          <w:lang w:val="fr-FR"/>
        </w:rPr>
        <w:tab/>
        <w:t>Étiquetage proposé pour le DCPD</w:t>
      </w:r>
    </w:p>
    <w:p w:rsidR="007E4A3D" w:rsidRPr="00B92F8A" w:rsidRDefault="007E4A3D" w:rsidP="00201C00">
      <w:pPr>
        <w:pStyle w:val="SingleTxtG"/>
        <w:keepNext/>
        <w:ind w:left="1701"/>
        <w:rPr>
          <w:b/>
          <w:lang w:val="fr-FR"/>
        </w:rPr>
      </w:pPr>
      <w:r w:rsidRPr="005C236E">
        <w:rPr>
          <w:b/>
          <w:lang w:val="fr-FR"/>
        </w:rPr>
        <w:t>Code(s) des pictogrammes</w:t>
      </w:r>
      <w:r w:rsidR="007E3FFC">
        <w:rPr>
          <w:b/>
          <w:lang w:val="fr-FR"/>
        </w:rPr>
        <w:t> </w:t>
      </w:r>
      <w:r w:rsidRPr="007E1DD5">
        <w:rPr>
          <w:lang w:val="fr-FR"/>
        </w:rPr>
        <w:t>:</w:t>
      </w:r>
      <w:r>
        <w:rPr>
          <w:lang w:val="fr-FR"/>
        </w:rPr>
        <w:t xml:space="preserve"> GHS02 (flamme), GHS06 (tête de mort sur deux tibias), GHS08 (danger pour la santé), GHS09 (environnement)</w:t>
      </w:r>
    </w:p>
    <w:p w:rsidR="007E4A3D" w:rsidRPr="00B92F8A" w:rsidRDefault="007E4A3D" w:rsidP="00201C00">
      <w:pPr>
        <w:pStyle w:val="SingleTxtG"/>
        <w:keepNext/>
        <w:ind w:left="2835" w:hanging="1134"/>
        <w:rPr>
          <w:lang w:val="fr-FR"/>
        </w:rPr>
      </w:pPr>
      <w:r w:rsidRPr="005C236E">
        <w:rPr>
          <w:b/>
          <w:lang w:val="fr-FR"/>
        </w:rPr>
        <w:t>Mention d</w:t>
      </w:r>
      <w:r>
        <w:rPr>
          <w:b/>
          <w:lang w:val="fr-FR"/>
        </w:rPr>
        <w:t>’</w:t>
      </w:r>
      <w:r w:rsidRPr="005C236E">
        <w:rPr>
          <w:b/>
          <w:lang w:val="fr-FR"/>
        </w:rPr>
        <w:t>avertissement </w:t>
      </w:r>
      <w:r w:rsidRPr="007E1DD5">
        <w:rPr>
          <w:lang w:val="fr-FR"/>
        </w:rPr>
        <w:t>:</w:t>
      </w:r>
      <w:r w:rsidR="003D123C">
        <w:rPr>
          <w:lang w:val="fr-FR"/>
        </w:rPr>
        <w:t xml:space="preserve"> D</w:t>
      </w:r>
      <w:r>
        <w:rPr>
          <w:lang w:val="fr-FR"/>
        </w:rPr>
        <w:t>anger</w:t>
      </w:r>
    </w:p>
    <w:p w:rsidR="007E4A3D" w:rsidRPr="005C236E" w:rsidRDefault="007E4A3D" w:rsidP="00BB37ED">
      <w:pPr>
        <w:pStyle w:val="SingleTxtG"/>
        <w:ind w:left="2835" w:hanging="1134"/>
        <w:rPr>
          <w:b/>
          <w:lang w:val="fr-FR"/>
        </w:rPr>
      </w:pPr>
      <w:r w:rsidRPr="005C236E">
        <w:rPr>
          <w:b/>
          <w:lang w:val="fr-FR"/>
        </w:rPr>
        <w:t>Code(s) de(s) mention(s) de danger</w:t>
      </w:r>
      <w:r w:rsidR="00DB34F0">
        <w:rPr>
          <w:b/>
          <w:lang w:val="fr-FR"/>
        </w:rPr>
        <w:t> </w:t>
      </w:r>
      <w:r w:rsidRPr="007E1DD5">
        <w:rPr>
          <w:lang w:val="fr-FR"/>
        </w:rPr>
        <w:t>:</w:t>
      </w:r>
      <w:r w:rsidRPr="005C236E">
        <w:rPr>
          <w:b/>
          <w:lang w:val="fr-FR"/>
        </w:rPr>
        <w:t xml:space="preserve"> </w:t>
      </w:r>
    </w:p>
    <w:p w:rsidR="007E4A3D" w:rsidRPr="00B92F8A" w:rsidRDefault="007E4A3D" w:rsidP="0071589C">
      <w:pPr>
        <w:pStyle w:val="SingleTxtG"/>
        <w:ind w:left="2552" w:hanging="851"/>
        <w:rPr>
          <w:lang w:val="fr-FR"/>
        </w:rPr>
      </w:pPr>
      <w:r>
        <w:rPr>
          <w:lang w:val="fr-FR"/>
        </w:rPr>
        <w:t>H226</w:t>
      </w:r>
      <w:r w:rsidR="00EB3AD9">
        <w:rPr>
          <w:lang w:val="fr-FR"/>
        </w:rPr>
        <w:t> </w:t>
      </w:r>
      <w:r>
        <w:rPr>
          <w:lang w:val="fr-FR"/>
        </w:rPr>
        <w:t xml:space="preserve">: </w:t>
      </w:r>
      <w:r>
        <w:rPr>
          <w:lang w:val="fr-FR"/>
        </w:rPr>
        <w:tab/>
        <w:t>Liquide et vapeurs inflammables [</w:t>
      </w:r>
      <w:r w:rsidRPr="00F14BDF">
        <w:rPr>
          <w:i/>
          <w:lang w:val="fr-FR"/>
        </w:rPr>
        <w:t>pour le DCPD liquide</w:t>
      </w:r>
      <w:r>
        <w:rPr>
          <w:lang w:val="fr-FR"/>
        </w:rPr>
        <w:t>]</w:t>
      </w:r>
    </w:p>
    <w:p w:rsidR="007E4A3D" w:rsidRPr="00B92F8A" w:rsidRDefault="007E4A3D" w:rsidP="0071589C">
      <w:pPr>
        <w:pStyle w:val="SingleTxtG"/>
        <w:ind w:left="2552" w:hanging="851"/>
        <w:rPr>
          <w:lang w:val="fr-FR"/>
        </w:rPr>
      </w:pPr>
      <w:r>
        <w:rPr>
          <w:lang w:val="fr-FR"/>
        </w:rPr>
        <w:t>H301</w:t>
      </w:r>
      <w:r w:rsidR="00EB3AD9">
        <w:rPr>
          <w:lang w:val="fr-FR"/>
        </w:rPr>
        <w:t> </w:t>
      </w:r>
      <w:r>
        <w:rPr>
          <w:lang w:val="fr-FR"/>
        </w:rPr>
        <w:t xml:space="preserve">: </w:t>
      </w:r>
      <w:r>
        <w:rPr>
          <w:lang w:val="fr-FR"/>
        </w:rPr>
        <w:tab/>
        <w:t>Toxique en cas d’ingestion</w:t>
      </w:r>
    </w:p>
    <w:p w:rsidR="007E4A3D" w:rsidRPr="00B92F8A" w:rsidRDefault="007E4A3D" w:rsidP="0071589C">
      <w:pPr>
        <w:pStyle w:val="SingleTxtG"/>
        <w:ind w:left="2552" w:hanging="851"/>
        <w:rPr>
          <w:lang w:val="fr-FR"/>
        </w:rPr>
      </w:pPr>
      <w:r>
        <w:rPr>
          <w:lang w:val="fr-FR"/>
        </w:rPr>
        <w:t>H304</w:t>
      </w:r>
      <w:r w:rsidR="00EB3AD9">
        <w:rPr>
          <w:lang w:val="fr-FR"/>
        </w:rPr>
        <w:t> </w:t>
      </w:r>
      <w:r>
        <w:rPr>
          <w:lang w:val="fr-FR"/>
        </w:rPr>
        <w:t xml:space="preserve">: </w:t>
      </w:r>
      <w:r>
        <w:rPr>
          <w:lang w:val="fr-FR"/>
        </w:rPr>
        <w:tab/>
        <w:t>Peut être mortel en cas d’ingestion et de pénétration dans les voies respiratoires</w:t>
      </w:r>
    </w:p>
    <w:p w:rsidR="007E4A3D" w:rsidRPr="00B92F8A" w:rsidRDefault="007E4A3D" w:rsidP="0071589C">
      <w:pPr>
        <w:pStyle w:val="SingleTxtG"/>
        <w:ind w:left="2552" w:hanging="851"/>
        <w:rPr>
          <w:lang w:val="fr-FR"/>
        </w:rPr>
      </w:pPr>
      <w:r>
        <w:rPr>
          <w:lang w:val="fr-FR"/>
        </w:rPr>
        <w:t>H313</w:t>
      </w:r>
      <w:r w:rsidR="00EB3AD9">
        <w:rPr>
          <w:lang w:val="fr-FR"/>
        </w:rPr>
        <w:t> </w:t>
      </w:r>
      <w:r>
        <w:rPr>
          <w:lang w:val="fr-FR"/>
        </w:rPr>
        <w:t xml:space="preserve">: </w:t>
      </w:r>
      <w:r>
        <w:rPr>
          <w:lang w:val="fr-FR"/>
        </w:rPr>
        <w:tab/>
        <w:t>Peut être nocif par contact cutané</w:t>
      </w:r>
    </w:p>
    <w:p w:rsidR="007E4A3D" w:rsidRPr="00B92F8A" w:rsidRDefault="007E4A3D" w:rsidP="0071589C">
      <w:pPr>
        <w:pStyle w:val="SingleTxtG"/>
        <w:ind w:left="2552" w:hanging="851"/>
        <w:rPr>
          <w:lang w:val="fr-FR"/>
        </w:rPr>
      </w:pPr>
      <w:r>
        <w:rPr>
          <w:lang w:val="fr-FR"/>
        </w:rPr>
        <w:t>H315</w:t>
      </w:r>
      <w:r w:rsidR="00EB3AD9">
        <w:rPr>
          <w:lang w:val="fr-FR"/>
        </w:rPr>
        <w:t> </w:t>
      </w:r>
      <w:r>
        <w:rPr>
          <w:lang w:val="fr-FR"/>
        </w:rPr>
        <w:t xml:space="preserve">: </w:t>
      </w:r>
      <w:r>
        <w:rPr>
          <w:lang w:val="fr-FR"/>
        </w:rPr>
        <w:tab/>
        <w:t>Provoque une irritation cutanée</w:t>
      </w:r>
    </w:p>
    <w:p w:rsidR="007E4A3D" w:rsidRPr="00B92F8A" w:rsidRDefault="007E4A3D" w:rsidP="0071589C">
      <w:pPr>
        <w:pStyle w:val="SingleTxtG"/>
        <w:ind w:left="2552" w:hanging="851"/>
        <w:rPr>
          <w:lang w:val="fr-FR"/>
        </w:rPr>
      </w:pPr>
      <w:r>
        <w:rPr>
          <w:lang w:val="fr-FR"/>
        </w:rPr>
        <w:t>H330</w:t>
      </w:r>
      <w:r w:rsidR="00EB3AD9">
        <w:rPr>
          <w:lang w:val="fr-FR"/>
        </w:rPr>
        <w:t> </w:t>
      </w:r>
      <w:r>
        <w:rPr>
          <w:lang w:val="fr-FR"/>
        </w:rPr>
        <w:t xml:space="preserve">: </w:t>
      </w:r>
      <w:r>
        <w:rPr>
          <w:lang w:val="fr-FR"/>
        </w:rPr>
        <w:tab/>
        <w:t>Mortel par inhalation</w:t>
      </w:r>
    </w:p>
    <w:p w:rsidR="007E4A3D" w:rsidRPr="00B92F8A" w:rsidRDefault="007E4A3D" w:rsidP="0071589C">
      <w:pPr>
        <w:pStyle w:val="SingleTxtG"/>
        <w:ind w:left="2552" w:hanging="851"/>
        <w:rPr>
          <w:lang w:val="fr-FR"/>
        </w:rPr>
      </w:pPr>
      <w:r>
        <w:rPr>
          <w:lang w:val="fr-FR"/>
        </w:rPr>
        <w:t>H335</w:t>
      </w:r>
      <w:r w:rsidR="00EB3AD9">
        <w:rPr>
          <w:lang w:val="fr-FR"/>
        </w:rPr>
        <w:t> </w:t>
      </w:r>
      <w:r>
        <w:rPr>
          <w:lang w:val="fr-FR"/>
        </w:rPr>
        <w:t xml:space="preserve">: </w:t>
      </w:r>
      <w:r>
        <w:rPr>
          <w:lang w:val="fr-FR"/>
        </w:rPr>
        <w:tab/>
        <w:t>Peut irriter les voies respiratoires</w:t>
      </w:r>
    </w:p>
    <w:p w:rsidR="007E4A3D" w:rsidRPr="00B92F8A" w:rsidRDefault="007E4A3D" w:rsidP="0071589C">
      <w:pPr>
        <w:pStyle w:val="SingleTxtG"/>
        <w:ind w:left="2552" w:hanging="851"/>
        <w:rPr>
          <w:lang w:val="fr-FR"/>
        </w:rPr>
      </w:pPr>
      <w:r>
        <w:rPr>
          <w:lang w:val="fr-FR"/>
        </w:rPr>
        <w:t>H336</w:t>
      </w:r>
      <w:r w:rsidR="00EB3AD9">
        <w:rPr>
          <w:lang w:val="fr-FR"/>
        </w:rPr>
        <w:t> </w:t>
      </w:r>
      <w:r>
        <w:rPr>
          <w:lang w:val="fr-FR"/>
        </w:rPr>
        <w:t xml:space="preserve">: </w:t>
      </w:r>
      <w:r>
        <w:rPr>
          <w:lang w:val="fr-FR"/>
        </w:rPr>
        <w:tab/>
        <w:t>Peut provoquer somnolence ou vertiges</w:t>
      </w:r>
    </w:p>
    <w:p w:rsidR="007E4A3D" w:rsidRPr="00B92F8A" w:rsidRDefault="007E4A3D" w:rsidP="0071589C">
      <w:pPr>
        <w:pStyle w:val="SingleTxtG"/>
        <w:ind w:left="2552" w:hanging="851"/>
        <w:rPr>
          <w:lang w:val="fr-FR"/>
        </w:rPr>
      </w:pPr>
      <w:r>
        <w:rPr>
          <w:lang w:val="fr-FR"/>
        </w:rPr>
        <w:t>H361</w:t>
      </w:r>
      <w:r w:rsidR="00EB3AD9">
        <w:rPr>
          <w:lang w:val="fr-FR"/>
        </w:rPr>
        <w:t> </w:t>
      </w:r>
      <w:r>
        <w:rPr>
          <w:lang w:val="fr-FR"/>
        </w:rPr>
        <w:t xml:space="preserve">: </w:t>
      </w:r>
      <w:r>
        <w:rPr>
          <w:lang w:val="fr-FR"/>
        </w:rPr>
        <w:tab/>
        <w:t xml:space="preserve">Susceptible de nuire à la fertilité ou au </w:t>
      </w:r>
      <w:r w:rsidR="00536AA4">
        <w:rPr>
          <w:lang w:val="fr-FR"/>
        </w:rPr>
        <w:t>fœtus</w:t>
      </w:r>
    </w:p>
    <w:p w:rsidR="007E4A3D" w:rsidRPr="00B92F8A" w:rsidRDefault="007E4A3D" w:rsidP="0071589C">
      <w:pPr>
        <w:pStyle w:val="SingleTxtG"/>
        <w:ind w:left="2552" w:hanging="851"/>
        <w:rPr>
          <w:lang w:val="fr-FR"/>
        </w:rPr>
      </w:pPr>
      <w:r>
        <w:rPr>
          <w:lang w:val="fr-FR"/>
        </w:rPr>
        <w:t>H373</w:t>
      </w:r>
      <w:r w:rsidR="00EB3AD9">
        <w:rPr>
          <w:lang w:val="fr-FR"/>
        </w:rPr>
        <w:t> </w:t>
      </w:r>
      <w:r>
        <w:rPr>
          <w:lang w:val="fr-FR"/>
        </w:rPr>
        <w:t xml:space="preserve">: </w:t>
      </w:r>
      <w:r>
        <w:rPr>
          <w:lang w:val="fr-FR"/>
        </w:rPr>
        <w:tab/>
        <w:t>Risque présumé d’effet grave pour les organes à la suite d’expositions répétées ou d’une exposition prolongée par voie d’exposition orale ou par inhalation</w:t>
      </w:r>
    </w:p>
    <w:p w:rsidR="007E4A3D" w:rsidRPr="007E4A3D" w:rsidRDefault="007E4A3D" w:rsidP="0071589C">
      <w:pPr>
        <w:pStyle w:val="SingleTxtG"/>
        <w:ind w:left="2552" w:hanging="851"/>
        <w:rPr>
          <w:lang w:val="fr-FR"/>
        </w:rPr>
      </w:pPr>
      <w:r>
        <w:rPr>
          <w:lang w:val="fr-FR"/>
        </w:rPr>
        <w:t>H400</w:t>
      </w:r>
      <w:r w:rsidR="00EB3AD9">
        <w:rPr>
          <w:lang w:val="fr-FR"/>
        </w:rPr>
        <w:t> </w:t>
      </w:r>
      <w:r>
        <w:rPr>
          <w:lang w:val="fr-FR"/>
        </w:rPr>
        <w:t xml:space="preserve">: </w:t>
      </w:r>
      <w:r>
        <w:rPr>
          <w:lang w:val="fr-FR"/>
        </w:rPr>
        <w:tab/>
        <w:t>Très toxique pour les organismes aquatiques</w:t>
      </w:r>
    </w:p>
    <w:p w:rsidR="007E4A3D" w:rsidRPr="00B92F8A" w:rsidRDefault="007E4A3D" w:rsidP="0071589C">
      <w:pPr>
        <w:pStyle w:val="SingleTxtG"/>
        <w:ind w:left="2552" w:hanging="851"/>
        <w:rPr>
          <w:lang w:val="fr-FR"/>
        </w:rPr>
      </w:pPr>
      <w:r>
        <w:rPr>
          <w:lang w:val="fr-FR"/>
        </w:rPr>
        <w:t>H411</w:t>
      </w:r>
      <w:r w:rsidR="00EB3AD9">
        <w:rPr>
          <w:lang w:val="fr-FR"/>
        </w:rPr>
        <w:t> </w:t>
      </w:r>
      <w:r>
        <w:rPr>
          <w:lang w:val="fr-FR"/>
        </w:rPr>
        <w:t xml:space="preserve">: </w:t>
      </w:r>
      <w:r>
        <w:rPr>
          <w:lang w:val="fr-FR"/>
        </w:rPr>
        <w:tab/>
        <w:t>Toxique pour les organismes aquatiques, entraîne des effets néfastes à long terme</w:t>
      </w:r>
    </w:p>
    <w:p w:rsidR="007E4A3D" w:rsidRPr="005C236E" w:rsidRDefault="007E4A3D" w:rsidP="00BB37ED">
      <w:pPr>
        <w:pStyle w:val="SingleTxtG"/>
        <w:ind w:left="2835" w:hanging="1134"/>
        <w:rPr>
          <w:b/>
          <w:lang w:val="fr-FR"/>
        </w:rPr>
      </w:pPr>
      <w:r w:rsidRPr="005C236E">
        <w:rPr>
          <w:b/>
          <w:lang w:val="fr-FR"/>
        </w:rPr>
        <w:t>Informations supplémentaires</w:t>
      </w:r>
      <w:r w:rsidR="0043428E">
        <w:rPr>
          <w:b/>
          <w:lang w:val="fr-FR"/>
        </w:rPr>
        <w:t> </w:t>
      </w:r>
      <w:r w:rsidRPr="007E1DD5">
        <w:rPr>
          <w:lang w:val="fr-FR"/>
        </w:rPr>
        <w:t>:</w:t>
      </w:r>
    </w:p>
    <w:p w:rsidR="007E4A3D" w:rsidRPr="00B92F8A" w:rsidRDefault="008E01D6" w:rsidP="005D0B7D">
      <w:pPr>
        <w:pStyle w:val="SingleTxtG"/>
        <w:ind w:left="1701" w:firstLine="567"/>
        <w:rPr>
          <w:lang w:val="fr-FR"/>
        </w:rPr>
      </w:pPr>
      <w:r>
        <w:rPr>
          <w:lang w:val="fr-FR"/>
        </w:rPr>
        <w:t>Conformément à l’alinéa </w:t>
      </w:r>
      <w:r w:rsidR="007E4A3D">
        <w:rPr>
          <w:lang w:val="fr-FR"/>
        </w:rPr>
        <w:t>a) du paragraphe</w:t>
      </w:r>
      <w:r>
        <w:rPr>
          <w:lang w:val="fr-FR"/>
        </w:rPr>
        <w:t> </w:t>
      </w:r>
      <w:r w:rsidR="007E4A3D">
        <w:rPr>
          <w:lang w:val="fr-FR"/>
        </w:rPr>
        <w:t>1.4.10.5.3.1, le point d’exclamation ne devrait pas figurer sur l’étiquette lorsque la tête de mort sur les deux tibias est présente.</w:t>
      </w:r>
    </w:p>
    <w:p w:rsidR="001D4BCD" w:rsidRDefault="008E01D6" w:rsidP="005D0B7D">
      <w:pPr>
        <w:pStyle w:val="SingleTxtG"/>
        <w:ind w:left="1701" w:firstLine="567"/>
        <w:rPr>
          <w:lang w:val="fr-FR"/>
        </w:rPr>
      </w:pPr>
      <w:r>
        <w:rPr>
          <w:lang w:val="fr-FR"/>
        </w:rPr>
        <w:t>Conformément au paragraphe 1.4.10.5.3.2, le mot « attention </w:t>
      </w:r>
      <w:r w:rsidR="007E4A3D">
        <w:rPr>
          <w:lang w:val="fr-FR"/>
        </w:rPr>
        <w:t xml:space="preserve">» ne devrait </w:t>
      </w:r>
      <w:r>
        <w:rPr>
          <w:lang w:val="fr-FR"/>
        </w:rPr>
        <w:t>pas apparaître lorsque le mot « danger </w:t>
      </w:r>
      <w:r w:rsidR="007E4A3D">
        <w:rPr>
          <w:lang w:val="fr-FR"/>
        </w:rPr>
        <w:t>» est utilisé.</w:t>
      </w:r>
    </w:p>
    <w:p w:rsidR="001D4BCD" w:rsidRPr="00B92F8A" w:rsidRDefault="001D4BCD" w:rsidP="001D4BCD">
      <w:pPr>
        <w:pStyle w:val="HChG"/>
        <w:rPr>
          <w:lang w:val="fr-FR"/>
        </w:rPr>
      </w:pPr>
      <w:r>
        <w:rPr>
          <w:lang w:val="fr-FR"/>
        </w:rPr>
        <w:br w:type="page"/>
      </w:r>
      <w:r>
        <w:rPr>
          <w:lang w:val="fr-FR"/>
        </w:rPr>
        <w:tab/>
      </w:r>
      <w:r>
        <w:rPr>
          <w:lang w:val="fr-FR"/>
        </w:rPr>
        <w:tab/>
        <w:t xml:space="preserve">Proposition de classification et d’étiquetage </w:t>
      </w:r>
      <w:r w:rsidR="0048241F">
        <w:rPr>
          <w:lang w:val="fr-FR"/>
        </w:rPr>
        <w:br/>
        <w:t>du</w:t>
      </w:r>
      <w:r>
        <w:rPr>
          <w:lang w:val="fr-FR"/>
        </w:rPr>
        <w:t xml:space="preserve"> dichlorure de diméthylstannane (DMTC)</w:t>
      </w:r>
    </w:p>
    <w:p w:rsidR="00446FE5" w:rsidRDefault="001D4BCD" w:rsidP="001D4BCD">
      <w:pPr>
        <w:pStyle w:val="H1G"/>
        <w:rPr>
          <w:lang w:val="fr-FR"/>
        </w:rPr>
      </w:pPr>
      <w:r>
        <w:rPr>
          <w:lang w:val="fr-FR"/>
        </w:rPr>
        <w:tab/>
      </w:r>
      <w:r>
        <w:rPr>
          <w:lang w:val="fr-FR"/>
        </w:rPr>
        <w:tab/>
        <w:t xml:space="preserve">Classification proposée pour le dichlorure de diméthylstannane </w:t>
      </w:r>
      <w:r w:rsidR="0048241F">
        <w:rPr>
          <w:lang w:val="fr-FR"/>
        </w:rPr>
        <w:br/>
      </w:r>
      <w:r>
        <w:rPr>
          <w:lang w:val="fr-FR"/>
        </w:rPr>
        <w:t xml:space="preserve">et raisons justifiant l’absence de classification </w:t>
      </w:r>
      <w:r w:rsidR="0048241F">
        <w:rPr>
          <w:lang w:val="fr-FR"/>
        </w:rPr>
        <w:br/>
      </w:r>
      <w:r>
        <w:rPr>
          <w:lang w:val="fr-FR"/>
        </w:rPr>
        <w:t>pour certaines classes de danger</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3"/>
        <w:gridCol w:w="1854"/>
        <w:gridCol w:w="2005"/>
        <w:gridCol w:w="1557"/>
        <w:gridCol w:w="2185"/>
      </w:tblGrid>
      <w:tr w:rsidR="0048241F" w:rsidRPr="00224978" w:rsidTr="00EB15C1">
        <w:trPr>
          <w:tblHeader/>
        </w:trPr>
        <w:tc>
          <w:tcPr>
            <w:tcW w:w="903" w:type="dxa"/>
            <w:shd w:val="clear" w:color="auto" w:fill="auto"/>
            <w:vAlign w:val="bottom"/>
          </w:tcPr>
          <w:p w:rsidR="0048241F" w:rsidRPr="00224978" w:rsidRDefault="0048241F" w:rsidP="006026DE">
            <w:pPr>
              <w:suppressAutoHyphens w:val="0"/>
              <w:spacing w:before="60" w:after="60" w:line="200" w:lineRule="exact"/>
              <w:ind w:left="57" w:right="57"/>
              <w:rPr>
                <w:i/>
                <w:iCs/>
                <w:spacing w:val="4"/>
                <w:w w:val="103"/>
                <w:kern w:val="14"/>
                <w:sz w:val="16"/>
                <w:szCs w:val="18"/>
              </w:rPr>
            </w:pPr>
            <w:r w:rsidRPr="00224978">
              <w:rPr>
                <w:i/>
                <w:spacing w:val="4"/>
                <w:w w:val="103"/>
                <w:kern w:val="14"/>
                <w:sz w:val="16"/>
                <w:lang w:val="fr-FR"/>
              </w:rPr>
              <w:t>Chapitre du SGH</w:t>
            </w:r>
          </w:p>
        </w:tc>
        <w:tc>
          <w:tcPr>
            <w:tcW w:w="1854" w:type="dxa"/>
            <w:shd w:val="clear" w:color="auto" w:fill="auto"/>
            <w:vAlign w:val="bottom"/>
          </w:tcPr>
          <w:p w:rsidR="0048241F" w:rsidRPr="00224978" w:rsidRDefault="0048241F" w:rsidP="006026DE">
            <w:pPr>
              <w:suppressAutoHyphens w:val="0"/>
              <w:spacing w:before="60" w:after="60" w:line="200" w:lineRule="exact"/>
              <w:ind w:left="57" w:right="57"/>
              <w:rPr>
                <w:i/>
                <w:iCs/>
                <w:spacing w:val="4"/>
                <w:w w:val="103"/>
                <w:kern w:val="14"/>
                <w:sz w:val="16"/>
                <w:szCs w:val="18"/>
              </w:rPr>
            </w:pPr>
            <w:r w:rsidRPr="00224978">
              <w:rPr>
                <w:i/>
                <w:spacing w:val="4"/>
                <w:w w:val="103"/>
                <w:kern w:val="14"/>
                <w:sz w:val="16"/>
                <w:lang w:val="fr-FR"/>
              </w:rPr>
              <w:t>Classe de danger</w:t>
            </w:r>
          </w:p>
        </w:tc>
        <w:tc>
          <w:tcPr>
            <w:tcW w:w="2005" w:type="dxa"/>
            <w:shd w:val="clear" w:color="auto" w:fill="auto"/>
            <w:vAlign w:val="bottom"/>
          </w:tcPr>
          <w:p w:rsidR="0048241F" w:rsidRPr="00224978" w:rsidRDefault="0048241F" w:rsidP="006026DE">
            <w:pPr>
              <w:suppressAutoHyphens w:val="0"/>
              <w:spacing w:before="60" w:after="60" w:line="200" w:lineRule="exact"/>
              <w:ind w:left="57" w:right="57"/>
              <w:rPr>
                <w:i/>
                <w:iCs/>
                <w:spacing w:val="4"/>
                <w:w w:val="103"/>
                <w:kern w:val="14"/>
                <w:sz w:val="16"/>
                <w:szCs w:val="18"/>
                <w:lang w:val="fr-FR"/>
              </w:rPr>
            </w:pPr>
            <w:r w:rsidRPr="00224978">
              <w:rPr>
                <w:i/>
                <w:spacing w:val="4"/>
                <w:w w:val="103"/>
                <w:kern w:val="14"/>
                <w:sz w:val="16"/>
                <w:lang w:val="fr-FR"/>
              </w:rPr>
              <w:t>Classification proposée (classe et catégorie de danger</w:t>
            </w:r>
            <w:r w:rsidR="007E1DD5">
              <w:rPr>
                <w:i/>
                <w:spacing w:val="4"/>
                <w:w w:val="103"/>
                <w:kern w:val="14"/>
                <w:sz w:val="16"/>
                <w:lang w:val="fr-FR"/>
              </w:rPr>
              <w:t> </w:t>
            </w:r>
            <w:r w:rsidRPr="00224978">
              <w:rPr>
                <w:i/>
                <w:spacing w:val="4"/>
                <w:w w:val="103"/>
                <w:kern w:val="14"/>
                <w:sz w:val="16"/>
                <w:lang w:val="fr-FR"/>
              </w:rPr>
              <w:t>; code(s) de(s) mention(s) de danger)</w:t>
            </w:r>
          </w:p>
        </w:tc>
        <w:tc>
          <w:tcPr>
            <w:tcW w:w="1557" w:type="dxa"/>
            <w:shd w:val="clear" w:color="auto" w:fill="auto"/>
            <w:vAlign w:val="bottom"/>
          </w:tcPr>
          <w:p w:rsidR="0048241F" w:rsidRPr="00224978" w:rsidRDefault="0048241F" w:rsidP="006026DE">
            <w:pPr>
              <w:suppressAutoHyphens w:val="0"/>
              <w:spacing w:before="60" w:after="60" w:line="200" w:lineRule="exact"/>
              <w:ind w:left="57" w:right="57"/>
              <w:rPr>
                <w:i/>
                <w:iCs/>
                <w:spacing w:val="4"/>
                <w:w w:val="103"/>
                <w:kern w:val="14"/>
                <w:sz w:val="16"/>
                <w:szCs w:val="18"/>
                <w:lang w:val="fr-FR"/>
              </w:rPr>
            </w:pPr>
            <w:r w:rsidRPr="00224978">
              <w:rPr>
                <w:i/>
                <w:spacing w:val="4"/>
                <w:w w:val="103"/>
                <w:kern w:val="14"/>
                <w:sz w:val="16"/>
                <w:lang w:val="fr-FR"/>
              </w:rPr>
              <w:t>Limites spécifiques de concentration et facteurs M proposés</w:t>
            </w:r>
          </w:p>
        </w:tc>
        <w:tc>
          <w:tcPr>
            <w:tcW w:w="2185" w:type="dxa"/>
            <w:shd w:val="clear" w:color="auto" w:fill="auto"/>
            <w:vAlign w:val="bottom"/>
          </w:tcPr>
          <w:p w:rsidR="0048241F" w:rsidRPr="00224978" w:rsidRDefault="0048241F" w:rsidP="006026DE">
            <w:pPr>
              <w:suppressAutoHyphens w:val="0"/>
              <w:spacing w:before="60" w:after="60" w:line="200" w:lineRule="exact"/>
              <w:ind w:left="57" w:right="57"/>
              <w:rPr>
                <w:i/>
                <w:iCs/>
                <w:spacing w:val="4"/>
                <w:w w:val="103"/>
                <w:kern w:val="14"/>
                <w:sz w:val="16"/>
                <w:szCs w:val="18"/>
                <w:lang w:val="fr-FR"/>
              </w:rPr>
            </w:pPr>
            <w:r w:rsidRPr="00224978">
              <w:rPr>
                <w:i/>
                <w:spacing w:val="4"/>
                <w:w w:val="103"/>
                <w:kern w:val="14"/>
                <w:sz w:val="16"/>
                <w:lang w:val="fr-FR"/>
              </w:rPr>
              <w:t>Raisons qui justifient l’absence de classification</w:t>
            </w:r>
            <w:r w:rsidRPr="00224978">
              <w:rPr>
                <w:spacing w:val="4"/>
                <w:w w:val="103"/>
                <w:kern w:val="14"/>
                <w:sz w:val="16"/>
                <w:lang w:val="fr-FR"/>
              </w:rPr>
              <w:t>*</w:t>
            </w:r>
          </w:p>
        </w:tc>
      </w:tr>
      <w:tr w:rsidR="00A90EDE"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et objets explosibles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2.2</w:t>
            </w:r>
          </w:p>
        </w:tc>
        <w:tc>
          <w:tcPr>
            <w:tcW w:w="1854"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 xml:space="preserve">Gaz inflammables </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2.3</w:t>
            </w:r>
          </w:p>
        </w:tc>
        <w:tc>
          <w:tcPr>
            <w:tcW w:w="1854"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Aérosols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2.4</w:t>
            </w:r>
          </w:p>
        </w:tc>
        <w:tc>
          <w:tcPr>
            <w:tcW w:w="1854"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Gaz comburants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2.5</w:t>
            </w:r>
          </w:p>
        </w:tc>
        <w:tc>
          <w:tcPr>
            <w:tcW w:w="1854"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Gaz sous pression</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2.6</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Liquides inflammables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2.7</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solides inflammables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Données concluantes mais insuffisantes pour la classification</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2.8</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autoréactives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2.9</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Liquides pyrophoriques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2.10</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solides pyrophoriques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2.11</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auto-échauffantes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Données concluantes mais insuffisantes pour la classification</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2.12</w:t>
            </w:r>
          </w:p>
        </w:tc>
        <w:tc>
          <w:tcPr>
            <w:tcW w:w="1854" w:type="dxa"/>
            <w:shd w:val="clear" w:color="auto" w:fill="auto"/>
          </w:tcPr>
          <w:p w:rsidR="0048241F" w:rsidRPr="009578B3" w:rsidRDefault="0048241F" w:rsidP="006026DE">
            <w:pPr>
              <w:spacing w:before="60" w:after="60"/>
              <w:ind w:left="57" w:right="57"/>
              <w:rPr>
                <w:b/>
                <w:sz w:val="18"/>
                <w:szCs w:val="18"/>
                <w:lang w:val="fr-FR"/>
              </w:rPr>
            </w:pPr>
            <w:r w:rsidRPr="009578B3">
              <w:rPr>
                <w:b/>
                <w:sz w:val="18"/>
                <w:szCs w:val="18"/>
                <w:lang w:val="fr-FR"/>
              </w:rPr>
              <w:t>Matières qui, au contact de l’eau, dégagent des gaz inflammables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2.13</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Liquides comburants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2.14</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solides comburantes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2.15</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Peroxydes organiques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2.16</w:t>
            </w:r>
          </w:p>
        </w:tc>
        <w:tc>
          <w:tcPr>
            <w:tcW w:w="1854" w:type="dxa"/>
            <w:shd w:val="clear" w:color="auto" w:fill="auto"/>
          </w:tcPr>
          <w:p w:rsidR="0048241F" w:rsidRPr="009578B3" w:rsidRDefault="0048241F" w:rsidP="006026DE">
            <w:pPr>
              <w:spacing w:before="60" w:after="60"/>
              <w:ind w:left="57" w:right="57"/>
              <w:rPr>
                <w:b/>
                <w:sz w:val="18"/>
                <w:szCs w:val="18"/>
                <w:lang w:val="fr-FR"/>
              </w:rPr>
            </w:pPr>
            <w:r w:rsidRPr="009578B3">
              <w:rPr>
                <w:b/>
                <w:sz w:val="18"/>
                <w:szCs w:val="18"/>
                <w:lang w:val="fr-FR"/>
              </w:rPr>
              <w:t>Matières corrosives pour les métaux</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2.17</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explosibles désensibilisées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vMerge w:val="restart"/>
            <w:shd w:val="clear" w:color="auto" w:fill="auto"/>
          </w:tcPr>
          <w:p w:rsidR="0048241F" w:rsidRPr="009578B3" w:rsidRDefault="0048241F" w:rsidP="003F4FF5">
            <w:pPr>
              <w:keepNext/>
              <w:spacing w:before="60" w:after="60"/>
              <w:ind w:left="57" w:right="57"/>
              <w:rPr>
                <w:b/>
                <w:sz w:val="18"/>
                <w:szCs w:val="18"/>
              </w:rPr>
            </w:pPr>
            <w:r w:rsidRPr="009578B3">
              <w:rPr>
                <w:b/>
                <w:sz w:val="18"/>
                <w:szCs w:val="18"/>
                <w:lang w:val="fr-FR"/>
              </w:rPr>
              <w:t>3.1</w:t>
            </w:r>
          </w:p>
        </w:tc>
        <w:tc>
          <w:tcPr>
            <w:tcW w:w="1854" w:type="dxa"/>
            <w:shd w:val="clear" w:color="auto" w:fill="auto"/>
          </w:tcPr>
          <w:p w:rsidR="0048241F" w:rsidRPr="009578B3" w:rsidRDefault="0048241F" w:rsidP="003F4FF5">
            <w:pPr>
              <w:keepNext/>
              <w:spacing w:before="60" w:after="60"/>
              <w:ind w:left="57" w:right="57"/>
              <w:rPr>
                <w:b/>
                <w:sz w:val="18"/>
                <w:szCs w:val="18"/>
              </w:rPr>
            </w:pPr>
            <w:r w:rsidRPr="009578B3">
              <w:rPr>
                <w:b/>
                <w:sz w:val="18"/>
                <w:szCs w:val="18"/>
                <w:lang w:val="fr-FR"/>
              </w:rPr>
              <w:t xml:space="preserve">Toxicité aiguë </w:t>
            </w:r>
          </w:p>
          <w:p w:rsidR="0048241F" w:rsidRPr="00E25055" w:rsidRDefault="0048241F" w:rsidP="003F4FF5">
            <w:pPr>
              <w:pStyle w:val="Bullet1G"/>
              <w:keepNext/>
              <w:ind w:left="227" w:right="0"/>
              <w:rPr>
                <w:b/>
                <w:sz w:val="18"/>
                <w:szCs w:val="18"/>
              </w:rPr>
            </w:pPr>
            <w:r w:rsidRPr="00E25055">
              <w:rPr>
                <w:b/>
                <w:sz w:val="18"/>
                <w:szCs w:val="18"/>
                <w:lang w:val="fr-FR"/>
              </w:rPr>
              <w:t>voie orale</w:t>
            </w:r>
          </w:p>
        </w:tc>
        <w:tc>
          <w:tcPr>
            <w:tcW w:w="2005" w:type="dxa"/>
            <w:shd w:val="clear" w:color="auto" w:fill="auto"/>
          </w:tcPr>
          <w:p w:rsidR="0048241F" w:rsidRPr="009578B3" w:rsidRDefault="00986430" w:rsidP="003F4FF5">
            <w:pPr>
              <w:keepNext/>
              <w:spacing w:before="60" w:after="60"/>
              <w:ind w:left="57" w:right="57"/>
              <w:rPr>
                <w:sz w:val="18"/>
                <w:szCs w:val="18"/>
              </w:rPr>
            </w:pPr>
            <w:r>
              <w:rPr>
                <w:sz w:val="18"/>
                <w:szCs w:val="18"/>
                <w:lang w:val="fr-FR"/>
              </w:rPr>
              <w:t>Tox. aiguë </w:t>
            </w:r>
            <w:r w:rsidR="0048241F" w:rsidRPr="009578B3">
              <w:rPr>
                <w:sz w:val="18"/>
                <w:szCs w:val="18"/>
                <w:lang w:val="fr-FR"/>
              </w:rPr>
              <w:t>3</w:t>
            </w:r>
            <w:r>
              <w:rPr>
                <w:sz w:val="18"/>
                <w:szCs w:val="18"/>
                <w:lang w:val="fr-FR"/>
              </w:rPr>
              <w:t> </w:t>
            </w:r>
            <w:r w:rsidR="0048241F" w:rsidRPr="009578B3">
              <w:rPr>
                <w:sz w:val="18"/>
                <w:szCs w:val="18"/>
                <w:lang w:val="fr-FR"/>
              </w:rPr>
              <w:t>; H301</w:t>
            </w:r>
          </w:p>
        </w:tc>
        <w:tc>
          <w:tcPr>
            <w:tcW w:w="1557" w:type="dxa"/>
            <w:shd w:val="clear" w:color="auto" w:fill="auto"/>
          </w:tcPr>
          <w:p w:rsidR="0048241F" w:rsidRPr="009578B3" w:rsidRDefault="0048241F" w:rsidP="003F4FF5">
            <w:pPr>
              <w:keepNext/>
              <w:spacing w:before="60" w:after="60"/>
              <w:ind w:left="57" w:right="57"/>
              <w:rPr>
                <w:sz w:val="18"/>
                <w:szCs w:val="18"/>
              </w:rPr>
            </w:pPr>
          </w:p>
        </w:tc>
        <w:tc>
          <w:tcPr>
            <w:tcW w:w="2185" w:type="dxa"/>
            <w:shd w:val="clear" w:color="auto" w:fill="auto"/>
          </w:tcPr>
          <w:p w:rsidR="0048241F" w:rsidRPr="009578B3" w:rsidRDefault="0048241F" w:rsidP="003F4FF5">
            <w:pPr>
              <w:keepNext/>
              <w:spacing w:before="60" w:after="60"/>
              <w:ind w:left="57" w:right="57"/>
              <w:rPr>
                <w:sz w:val="18"/>
                <w:szCs w:val="18"/>
              </w:rPr>
            </w:pPr>
          </w:p>
        </w:tc>
      </w:tr>
      <w:tr w:rsidR="003A23B4" w:rsidRPr="009578B3" w:rsidTr="00EB15C1">
        <w:tc>
          <w:tcPr>
            <w:tcW w:w="903" w:type="dxa"/>
            <w:vMerge/>
            <w:shd w:val="clear" w:color="auto" w:fill="auto"/>
          </w:tcPr>
          <w:p w:rsidR="0048241F" w:rsidRPr="009578B3" w:rsidRDefault="0048241F" w:rsidP="003F4FF5">
            <w:pPr>
              <w:keepNext/>
              <w:spacing w:before="60" w:after="60"/>
              <w:ind w:left="57" w:right="57"/>
              <w:rPr>
                <w:b/>
                <w:sz w:val="18"/>
                <w:szCs w:val="18"/>
                <w:lang w:eastAsia="da-DK"/>
              </w:rPr>
            </w:pPr>
          </w:p>
        </w:tc>
        <w:tc>
          <w:tcPr>
            <w:tcW w:w="1854" w:type="dxa"/>
            <w:shd w:val="clear" w:color="auto" w:fill="auto"/>
          </w:tcPr>
          <w:p w:rsidR="0048241F" w:rsidRPr="009578B3" w:rsidRDefault="0048241F" w:rsidP="003F4FF5">
            <w:pPr>
              <w:pStyle w:val="Bullet1G"/>
              <w:keepNext/>
              <w:ind w:left="227" w:right="0"/>
              <w:rPr>
                <w:b/>
                <w:sz w:val="18"/>
                <w:szCs w:val="18"/>
              </w:rPr>
            </w:pPr>
            <w:r w:rsidRPr="009578B3">
              <w:rPr>
                <w:b/>
                <w:sz w:val="18"/>
                <w:szCs w:val="18"/>
                <w:lang w:val="fr-FR"/>
              </w:rPr>
              <w:t xml:space="preserve">voie </w:t>
            </w:r>
            <w:r w:rsidRPr="00E25055">
              <w:rPr>
                <w:b/>
                <w:sz w:val="18"/>
                <w:szCs w:val="18"/>
                <w:lang w:val="fr-FR"/>
              </w:rPr>
              <w:t>cutanée</w:t>
            </w:r>
          </w:p>
        </w:tc>
        <w:tc>
          <w:tcPr>
            <w:tcW w:w="2005" w:type="dxa"/>
            <w:shd w:val="clear" w:color="auto" w:fill="auto"/>
          </w:tcPr>
          <w:p w:rsidR="0048241F" w:rsidRPr="009578B3" w:rsidRDefault="0048241F" w:rsidP="003F4FF5">
            <w:pPr>
              <w:keepNext/>
              <w:spacing w:before="60" w:after="60"/>
              <w:ind w:left="57" w:right="57"/>
              <w:rPr>
                <w:sz w:val="18"/>
                <w:szCs w:val="18"/>
              </w:rPr>
            </w:pPr>
            <w:r w:rsidRPr="009578B3">
              <w:rPr>
                <w:sz w:val="18"/>
                <w:szCs w:val="18"/>
                <w:lang w:val="fr-FR"/>
              </w:rPr>
              <w:t>Tox. aiguë</w:t>
            </w:r>
            <w:r w:rsidR="007E1DD5">
              <w:rPr>
                <w:sz w:val="18"/>
                <w:szCs w:val="18"/>
                <w:lang w:val="fr-FR"/>
              </w:rPr>
              <w:t> </w:t>
            </w:r>
            <w:r w:rsidRPr="009578B3">
              <w:rPr>
                <w:sz w:val="18"/>
                <w:szCs w:val="18"/>
                <w:lang w:val="fr-FR"/>
              </w:rPr>
              <w:t>3</w:t>
            </w:r>
            <w:r w:rsidR="00986430">
              <w:rPr>
                <w:sz w:val="18"/>
                <w:szCs w:val="18"/>
                <w:lang w:val="fr-FR"/>
              </w:rPr>
              <w:t> </w:t>
            </w:r>
            <w:r w:rsidRPr="009578B3">
              <w:rPr>
                <w:sz w:val="18"/>
                <w:szCs w:val="18"/>
                <w:lang w:val="fr-FR"/>
              </w:rPr>
              <w:t>; H311</w:t>
            </w:r>
          </w:p>
        </w:tc>
        <w:tc>
          <w:tcPr>
            <w:tcW w:w="1557" w:type="dxa"/>
            <w:shd w:val="clear" w:color="auto" w:fill="auto"/>
          </w:tcPr>
          <w:p w:rsidR="0048241F" w:rsidRPr="009578B3" w:rsidRDefault="0048241F" w:rsidP="003F4FF5">
            <w:pPr>
              <w:keepNext/>
              <w:spacing w:before="60" w:after="60"/>
              <w:ind w:left="57" w:right="57"/>
              <w:rPr>
                <w:sz w:val="18"/>
                <w:szCs w:val="18"/>
              </w:rPr>
            </w:pPr>
          </w:p>
        </w:tc>
        <w:tc>
          <w:tcPr>
            <w:tcW w:w="2185" w:type="dxa"/>
            <w:shd w:val="clear" w:color="auto" w:fill="auto"/>
          </w:tcPr>
          <w:p w:rsidR="0048241F" w:rsidRPr="009578B3" w:rsidRDefault="0048241F" w:rsidP="003F4FF5">
            <w:pPr>
              <w:keepNext/>
              <w:spacing w:before="60" w:after="60"/>
              <w:ind w:left="57" w:right="57"/>
              <w:rPr>
                <w:sz w:val="18"/>
                <w:szCs w:val="18"/>
              </w:rPr>
            </w:pPr>
          </w:p>
        </w:tc>
      </w:tr>
      <w:tr w:rsidR="003A23B4" w:rsidRPr="009578B3" w:rsidTr="00EB15C1">
        <w:tc>
          <w:tcPr>
            <w:tcW w:w="903" w:type="dxa"/>
            <w:vMerge/>
            <w:shd w:val="clear" w:color="auto" w:fill="auto"/>
          </w:tcPr>
          <w:p w:rsidR="0048241F" w:rsidRPr="009578B3" w:rsidRDefault="0048241F" w:rsidP="006026DE">
            <w:pPr>
              <w:spacing w:before="60" w:after="60"/>
              <w:ind w:left="57" w:right="57"/>
              <w:rPr>
                <w:b/>
                <w:sz w:val="18"/>
                <w:szCs w:val="18"/>
                <w:lang w:eastAsia="da-DK"/>
              </w:rPr>
            </w:pPr>
          </w:p>
        </w:tc>
        <w:tc>
          <w:tcPr>
            <w:tcW w:w="1854" w:type="dxa"/>
            <w:shd w:val="clear" w:color="auto" w:fill="auto"/>
          </w:tcPr>
          <w:p w:rsidR="0048241F" w:rsidRPr="009578B3" w:rsidRDefault="0048241F" w:rsidP="006026DE">
            <w:pPr>
              <w:pStyle w:val="Bullet1G"/>
              <w:ind w:left="227" w:right="0"/>
              <w:rPr>
                <w:b/>
                <w:sz w:val="18"/>
                <w:szCs w:val="18"/>
              </w:rPr>
            </w:pPr>
            <w:r w:rsidRPr="006026DE">
              <w:rPr>
                <w:b/>
                <w:sz w:val="18"/>
                <w:szCs w:val="18"/>
                <w:lang w:val="fr-FR"/>
              </w:rPr>
              <w:t>inhalation</w:t>
            </w:r>
          </w:p>
        </w:tc>
        <w:tc>
          <w:tcPr>
            <w:tcW w:w="2005" w:type="dxa"/>
            <w:shd w:val="clear" w:color="auto" w:fill="auto"/>
          </w:tcPr>
          <w:p w:rsidR="0048241F" w:rsidRPr="009578B3" w:rsidRDefault="00986430" w:rsidP="006026DE">
            <w:pPr>
              <w:spacing w:before="60" w:after="60"/>
              <w:ind w:left="57" w:right="57"/>
              <w:rPr>
                <w:sz w:val="18"/>
                <w:szCs w:val="18"/>
              </w:rPr>
            </w:pPr>
            <w:r>
              <w:rPr>
                <w:sz w:val="18"/>
                <w:szCs w:val="18"/>
                <w:lang w:val="fr-FR"/>
              </w:rPr>
              <w:t>Tox. aiguë </w:t>
            </w:r>
            <w:r w:rsidR="0048241F" w:rsidRPr="009578B3">
              <w:rPr>
                <w:sz w:val="18"/>
                <w:szCs w:val="18"/>
                <w:lang w:val="fr-FR"/>
              </w:rPr>
              <w:t>2</w:t>
            </w:r>
            <w:r>
              <w:rPr>
                <w:sz w:val="18"/>
                <w:szCs w:val="18"/>
                <w:lang w:val="fr-FR"/>
              </w:rPr>
              <w:t> </w:t>
            </w:r>
            <w:r w:rsidR="0048241F" w:rsidRPr="009578B3">
              <w:rPr>
                <w:sz w:val="18"/>
                <w:szCs w:val="18"/>
                <w:lang w:val="fr-FR"/>
              </w:rPr>
              <w:t>; H330</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3.2</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Corrosion/</w:t>
            </w:r>
            <w:r w:rsidR="007D2206">
              <w:rPr>
                <w:b/>
                <w:sz w:val="18"/>
                <w:szCs w:val="18"/>
                <w:lang w:val="fr-FR"/>
              </w:rPr>
              <w:br/>
            </w:r>
            <w:r w:rsidRPr="009578B3">
              <w:rPr>
                <w:b/>
                <w:sz w:val="18"/>
                <w:szCs w:val="18"/>
                <w:lang w:val="fr-FR"/>
              </w:rPr>
              <w:t>irritation cutanée</w:t>
            </w:r>
          </w:p>
        </w:tc>
        <w:tc>
          <w:tcPr>
            <w:tcW w:w="2005" w:type="dxa"/>
            <w:shd w:val="clear" w:color="auto" w:fill="auto"/>
          </w:tcPr>
          <w:p w:rsidR="0048241F" w:rsidRPr="009578B3" w:rsidRDefault="00986430" w:rsidP="006026DE">
            <w:pPr>
              <w:spacing w:before="60" w:after="60"/>
              <w:ind w:left="57" w:right="57"/>
              <w:rPr>
                <w:sz w:val="18"/>
                <w:szCs w:val="18"/>
              </w:rPr>
            </w:pPr>
            <w:r>
              <w:rPr>
                <w:sz w:val="18"/>
                <w:szCs w:val="18"/>
                <w:lang w:val="fr-FR"/>
              </w:rPr>
              <w:t>Corr. cutanée </w:t>
            </w:r>
            <w:r w:rsidR="0048241F" w:rsidRPr="009578B3">
              <w:rPr>
                <w:sz w:val="18"/>
                <w:szCs w:val="18"/>
                <w:lang w:val="fr-FR"/>
              </w:rPr>
              <w:t>1</w:t>
            </w:r>
            <w:r>
              <w:rPr>
                <w:sz w:val="18"/>
                <w:szCs w:val="18"/>
                <w:lang w:val="fr-FR"/>
              </w:rPr>
              <w:t> </w:t>
            </w:r>
            <w:r w:rsidR="0048241F" w:rsidRPr="009578B3">
              <w:rPr>
                <w:sz w:val="18"/>
                <w:szCs w:val="18"/>
                <w:lang w:val="fr-FR"/>
              </w:rPr>
              <w:t>; H314</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3.3</w:t>
            </w:r>
          </w:p>
        </w:tc>
        <w:tc>
          <w:tcPr>
            <w:tcW w:w="1854" w:type="dxa"/>
            <w:shd w:val="clear" w:color="auto" w:fill="auto"/>
          </w:tcPr>
          <w:p w:rsidR="0048241F" w:rsidRPr="009578B3" w:rsidRDefault="0048241F" w:rsidP="006026DE">
            <w:pPr>
              <w:spacing w:before="60" w:after="60"/>
              <w:ind w:left="57" w:right="57"/>
              <w:rPr>
                <w:b/>
                <w:sz w:val="18"/>
                <w:szCs w:val="18"/>
                <w:lang w:val="fr-FR"/>
              </w:rPr>
            </w:pPr>
            <w:r w:rsidRPr="009578B3">
              <w:rPr>
                <w:b/>
                <w:sz w:val="18"/>
                <w:szCs w:val="18"/>
                <w:lang w:val="fr-FR"/>
              </w:rPr>
              <w:t>Lésions oculaires graves/irritation oculaire</w:t>
            </w:r>
          </w:p>
        </w:tc>
        <w:tc>
          <w:tcPr>
            <w:tcW w:w="2005" w:type="dxa"/>
            <w:shd w:val="clear" w:color="auto" w:fill="auto"/>
          </w:tcPr>
          <w:p w:rsidR="0048241F" w:rsidRPr="009578B3" w:rsidRDefault="00986430" w:rsidP="006026DE">
            <w:pPr>
              <w:spacing w:before="60" w:after="60"/>
              <w:ind w:left="57" w:right="57"/>
              <w:rPr>
                <w:sz w:val="18"/>
                <w:szCs w:val="18"/>
              </w:rPr>
            </w:pPr>
            <w:r>
              <w:rPr>
                <w:sz w:val="18"/>
                <w:szCs w:val="18"/>
                <w:lang w:val="fr-FR"/>
              </w:rPr>
              <w:t>Lésions oculaires graves </w:t>
            </w:r>
            <w:r w:rsidR="0048241F" w:rsidRPr="009578B3">
              <w:rPr>
                <w:sz w:val="18"/>
                <w:szCs w:val="18"/>
                <w:lang w:val="fr-FR"/>
              </w:rPr>
              <w:t>1</w:t>
            </w:r>
            <w:r>
              <w:rPr>
                <w:sz w:val="18"/>
                <w:szCs w:val="18"/>
                <w:lang w:val="fr-FR"/>
              </w:rPr>
              <w:t> </w:t>
            </w:r>
            <w:r w:rsidR="0048241F" w:rsidRPr="009578B3">
              <w:rPr>
                <w:sz w:val="18"/>
                <w:szCs w:val="18"/>
                <w:lang w:val="fr-FR"/>
              </w:rPr>
              <w:t>; H318</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p>
        </w:tc>
      </w:tr>
      <w:tr w:rsidR="003A23B4" w:rsidRPr="009578B3" w:rsidTr="00EB15C1">
        <w:tc>
          <w:tcPr>
            <w:tcW w:w="903" w:type="dxa"/>
            <w:vMerge w:val="restart"/>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3.4</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Sensibilisation respiratoire</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vMerge/>
            <w:shd w:val="clear" w:color="auto" w:fill="auto"/>
          </w:tcPr>
          <w:p w:rsidR="0048241F" w:rsidRPr="009578B3" w:rsidRDefault="0048241F" w:rsidP="006026DE">
            <w:pPr>
              <w:spacing w:before="60" w:after="60"/>
              <w:ind w:left="57" w:right="57"/>
              <w:rPr>
                <w:b/>
                <w:sz w:val="18"/>
                <w:szCs w:val="18"/>
                <w:lang w:eastAsia="da-DK"/>
              </w:rPr>
            </w:pP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Sensibilisation cutanée</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Données non concluantes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3.5</w:t>
            </w:r>
          </w:p>
        </w:tc>
        <w:tc>
          <w:tcPr>
            <w:tcW w:w="1854" w:type="dxa"/>
            <w:shd w:val="clear" w:color="auto" w:fill="auto"/>
          </w:tcPr>
          <w:p w:rsidR="0048241F" w:rsidRPr="009578B3" w:rsidRDefault="0048241F" w:rsidP="0016701C">
            <w:pPr>
              <w:spacing w:before="60" w:after="60"/>
              <w:ind w:left="57" w:right="57"/>
              <w:rPr>
                <w:b/>
                <w:sz w:val="18"/>
                <w:szCs w:val="18"/>
                <w:lang w:val="fr-FR"/>
              </w:rPr>
            </w:pPr>
            <w:r w:rsidRPr="009578B3">
              <w:rPr>
                <w:b/>
                <w:sz w:val="18"/>
                <w:szCs w:val="18"/>
                <w:lang w:val="fr-FR"/>
              </w:rPr>
              <w:t>Mutagénicité sur les</w:t>
            </w:r>
            <w:r w:rsidR="0016701C">
              <w:rPr>
                <w:b/>
                <w:sz w:val="18"/>
                <w:szCs w:val="18"/>
                <w:lang w:val="fr-FR"/>
              </w:rPr>
              <w:t> </w:t>
            </w:r>
            <w:r w:rsidRPr="009578B3">
              <w:rPr>
                <w:b/>
                <w:sz w:val="18"/>
                <w:szCs w:val="18"/>
                <w:lang w:val="fr-FR"/>
              </w:rPr>
              <w:t>cellules germinales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Données concluantes mais insuffisantes pour la classification</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3.6</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Cancérogénicité</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Données non concluantes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3.7</w:t>
            </w:r>
          </w:p>
        </w:tc>
        <w:tc>
          <w:tcPr>
            <w:tcW w:w="1854" w:type="dxa"/>
            <w:shd w:val="clear" w:color="auto" w:fill="auto"/>
          </w:tcPr>
          <w:p w:rsidR="0048241F" w:rsidRPr="009578B3" w:rsidRDefault="0048241F" w:rsidP="0016701C">
            <w:pPr>
              <w:spacing w:before="60" w:after="60"/>
              <w:ind w:left="57" w:right="57"/>
              <w:rPr>
                <w:b/>
                <w:sz w:val="18"/>
                <w:szCs w:val="18"/>
              </w:rPr>
            </w:pPr>
            <w:r w:rsidRPr="009578B3">
              <w:rPr>
                <w:b/>
                <w:sz w:val="18"/>
                <w:szCs w:val="18"/>
                <w:lang w:val="fr-FR"/>
              </w:rPr>
              <w:t>Toxicité pour la</w:t>
            </w:r>
            <w:r w:rsidR="0016701C">
              <w:rPr>
                <w:b/>
                <w:sz w:val="18"/>
                <w:szCs w:val="18"/>
                <w:lang w:val="fr-FR"/>
              </w:rPr>
              <w:t> </w:t>
            </w:r>
            <w:r w:rsidRPr="009578B3">
              <w:rPr>
                <w:b/>
                <w:sz w:val="18"/>
                <w:szCs w:val="18"/>
                <w:lang w:val="fr-FR"/>
              </w:rPr>
              <w:t xml:space="preserve">reproduction </w:t>
            </w:r>
          </w:p>
        </w:tc>
        <w:tc>
          <w:tcPr>
            <w:tcW w:w="2005" w:type="dxa"/>
            <w:shd w:val="clear" w:color="auto" w:fill="auto"/>
          </w:tcPr>
          <w:p w:rsidR="0048241F" w:rsidRPr="009578B3" w:rsidRDefault="00986430" w:rsidP="006026DE">
            <w:pPr>
              <w:spacing w:before="60" w:after="60"/>
              <w:ind w:left="57" w:right="57"/>
              <w:rPr>
                <w:sz w:val="18"/>
                <w:szCs w:val="18"/>
                <w:lang w:val="fr-FR"/>
              </w:rPr>
            </w:pPr>
            <w:r>
              <w:rPr>
                <w:sz w:val="18"/>
                <w:szCs w:val="18"/>
                <w:lang w:val="fr-FR"/>
              </w:rPr>
              <w:t>Repr. </w:t>
            </w:r>
            <w:r w:rsidR="0048241F" w:rsidRPr="009578B3">
              <w:rPr>
                <w:sz w:val="18"/>
                <w:szCs w:val="18"/>
                <w:lang w:val="fr-FR"/>
              </w:rPr>
              <w:t>2</w:t>
            </w:r>
            <w:r>
              <w:rPr>
                <w:sz w:val="18"/>
                <w:szCs w:val="18"/>
                <w:lang w:val="fr-FR"/>
              </w:rPr>
              <w:t> </w:t>
            </w:r>
            <w:r w:rsidR="0048241F" w:rsidRPr="009578B3">
              <w:rPr>
                <w:sz w:val="18"/>
                <w:szCs w:val="18"/>
                <w:lang w:val="fr-FR"/>
              </w:rPr>
              <w:t>; H361 (effets néfaste</w:t>
            </w:r>
            <w:r w:rsidR="00F96E06">
              <w:rPr>
                <w:sz w:val="18"/>
                <w:szCs w:val="18"/>
                <w:lang w:val="fr-FR"/>
              </w:rPr>
              <w:t>s</w:t>
            </w:r>
            <w:r w:rsidR="0048241F" w:rsidRPr="009578B3">
              <w:rPr>
                <w:sz w:val="18"/>
                <w:szCs w:val="18"/>
                <w:lang w:val="fr-FR"/>
              </w:rPr>
              <w:t xml:space="preserve"> sur le développement des descendants)</w:t>
            </w:r>
          </w:p>
        </w:tc>
        <w:tc>
          <w:tcPr>
            <w:tcW w:w="1557" w:type="dxa"/>
            <w:shd w:val="clear" w:color="auto" w:fill="auto"/>
          </w:tcPr>
          <w:p w:rsidR="0048241F" w:rsidRPr="009578B3" w:rsidRDefault="0048241F" w:rsidP="006026DE">
            <w:pPr>
              <w:spacing w:before="60" w:after="60"/>
              <w:ind w:left="57" w:right="57"/>
              <w:rPr>
                <w:sz w:val="18"/>
                <w:szCs w:val="18"/>
                <w:lang w:val="fr-FR"/>
              </w:rPr>
            </w:pPr>
          </w:p>
        </w:tc>
        <w:tc>
          <w:tcPr>
            <w:tcW w:w="2185" w:type="dxa"/>
            <w:shd w:val="clear" w:color="auto" w:fill="auto"/>
          </w:tcPr>
          <w:p w:rsidR="0048241F" w:rsidRPr="009578B3" w:rsidRDefault="0048241F" w:rsidP="006026DE">
            <w:pPr>
              <w:spacing w:before="60" w:after="60"/>
              <w:ind w:left="57" w:right="57"/>
              <w:rPr>
                <w:sz w:val="18"/>
                <w:szCs w:val="18"/>
                <w:lang w:val="fr-FR"/>
              </w:rPr>
            </w:pP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3.8</w:t>
            </w:r>
          </w:p>
        </w:tc>
        <w:tc>
          <w:tcPr>
            <w:tcW w:w="1854" w:type="dxa"/>
            <w:shd w:val="clear" w:color="auto" w:fill="auto"/>
          </w:tcPr>
          <w:p w:rsidR="0048241F" w:rsidRPr="009578B3" w:rsidRDefault="0048241F" w:rsidP="006026DE">
            <w:pPr>
              <w:spacing w:before="60" w:after="60"/>
              <w:ind w:left="57" w:right="57"/>
              <w:rPr>
                <w:b/>
                <w:sz w:val="18"/>
                <w:szCs w:val="18"/>
                <w:lang w:val="fr-FR"/>
              </w:rPr>
            </w:pPr>
            <w:r w:rsidRPr="009578B3">
              <w:rPr>
                <w:b/>
                <w:sz w:val="18"/>
                <w:szCs w:val="18"/>
                <w:lang w:val="fr-FR"/>
              </w:rPr>
              <w:t>Toxicité pour certa</w:t>
            </w:r>
            <w:r w:rsidR="00FB1DE3">
              <w:rPr>
                <w:b/>
                <w:sz w:val="18"/>
                <w:szCs w:val="18"/>
                <w:lang w:val="fr-FR"/>
              </w:rPr>
              <w:t>ins organes cibles − </w:t>
            </w:r>
            <w:r w:rsidRPr="009578B3">
              <w:rPr>
                <w:b/>
                <w:sz w:val="18"/>
                <w:szCs w:val="18"/>
                <w:lang w:val="fr-FR"/>
              </w:rPr>
              <w:t>exposition unique</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Données concluantes mais insuffisantes pour la classification</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3.9</w:t>
            </w:r>
          </w:p>
        </w:tc>
        <w:tc>
          <w:tcPr>
            <w:tcW w:w="1854" w:type="dxa"/>
            <w:shd w:val="clear" w:color="auto" w:fill="auto"/>
          </w:tcPr>
          <w:p w:rsidR="0048241F" w:rsidRPr="009578B3" w:rsidRDefault="0048241F" w:rsidP="006026DE">
            <w:pPr>
              <w:spacing w:before="60" w:after="60"/>
              <w:ind w:left="57" w:right="57"/>
              <w:rPr>
                <w:b/>
                <w:sz w:val="18"/>
                <w:szCs w:val="18"/>
                <w:lang w:val="fr-FR"/>
              </w:rPr>
            </w:pPr>
            <w:r w:rsidRPr="009578B3">
              <w:rPr>
                <w:b/>
                <w:sz w:val="18"/>
                <w:szCs w:val="18"/>
                <w:lang w:val="fr-FR"/>
              </w:rPr>
              <w:t>Toxici</w:t>
            </w:r>
            <w:r w:rsidR="00701EBE">
              <w:rPr>
                <w:b/>
                <w:sz w:val="18"/>
                <w:szCs w:val="18"/>
                <w:lang w:val="fr-FR"/>
              </w:rPr>
              <w:t xml:space="preserve">té pour certains organes cibles </w:t>
            </w:r>
            <w:r w:rsidR="00FB1DE3">
              <w:rPr>
                <w:b/>
                <w:sz w:val="18"/>
                <w:szCs w:val="18"/>
                <w:lang w:val="fr-FR"/>
              </w:rPr>
              <w:t>− </w:t>
            </w:r>
            <w:r w:rsidRPr="009578B3">
              <w:rPr>
                <w:b/>
                <w:sz w:val="18"/>
                <w:szCs w:val="18"/>
                <w:lang w:val="fr-FR"/>
              </w:rPr>
              <w:t>expositions répétées</w:t>
            </w:r>
          </w:p>
        </w:tc>
        <w:tc>
          <w:tcPr>
            <w:tcW w:w="2005" w:type="dxa"/>
            <w:shd w:val="clear" w:color="auto" w:fill="auto"/>
          </w:tcPr>
          <w:p w:rsidR="0048241F" w:rsidRPr="009578B3" w:rsidRDefault="00986430" w:rsidP="006026DE">
            <w:pPr>
              <w:spacing w:before="60" w:after="60"/>
              <w:ind w:left="57" w:right="57"/>
              <w:rPr>
                <w:sz w:val="18"/>
                <w:szCs w:val="18"/>
                <w:lang w:val="fr-FR"/>
              </w:rPr>
            </w:pPr>
            <w:r>
              <w:rPr>
                <w:sz w:val="18"/>
                <w:szCs w:val="18"/>
                <w:lang w:val="fr-FR"/>
              </w:rPr>
              <w:t>STOT Exp. répétées </w:t>
            </w:r>
            <w:r w:rsidR="0048241F" w:rsidRPr="009578B3">
              <w:rPr>
                <w:sz w:val="18"/>
                <w:szCs w:val="18"/>
                <w:lang w:val="fr-FR"/>
              </w:rPr>
              <w:t>1</w:t>
            </w:r>
            <w:r>
              <w:rPr>
                <w:sz w:val="18"/>
                <w:szCs w:val="18"/>
                <w:lang w:val="fr-FR"/>
              </w:rPr>
              <w:t> </w:t>
            </w:r>
            <w:r w:rsidR="0048241F" w:rsidRPr="009578B3">
              <w:rPr>
                <w:sz w:val="18"/>
                <w:szCs w:val="18"/>
                <w:lang w:val="fr-FR"/>
              </w:rPr>
              <w:t>; H372 (système nerveux, système immunitaire)</w:t>
            </w:r>
          </w:p>
        </w:tc>
        <w:tc>
          <w:tcPr>
            <w:tcW w:w="1557" w:type="dxa"/>
            <w:shd w:val="clear" w:color="auto" w:fill="auto"/>
          </w:tcPr>
          <w:p w:rsidR="0048241F" w:rsidRPr="009578B3" w:rsidRDefault="0048241F" w:rsidP="006026DE">
            <w:pPr>
              <w:spacing w:before="60" w:after="60"/>
              <w:ind w:left="57" w:right="57"/>
              <w:rPr>
                <w:sz w:val="18"/>
                <w:szCs w:val="18"/>
                <w:lang w:val="fr-FR"/>
              </w:rPr>
            </w:pPr>
          </w:p>
        </w:tc>
        <w:tc>
          <w:tcPr>
            <w:tcW w:w="2185" w:type="dxa"/>
            <w:shd w:val="clear" w:color="auto" w:fill="auto"/>
          </w:tcPr>
          <w:p w:rsidR="0048241F" w:rsidRPr="009578B3" w:rsidRDefault="0048241F" w:rsidP="006026DE">
            <w:pPr>
              <w:spacing w:before="60" w:after="60"/>
              <w:ind w:left="57" w:right="57"/>
              <w:rPr>
                <w:sz w:val="18"/>
                <w:szCs w:val="18"/>
                <w:lang w:val="fr-FR"/>
              </w:rPr>
            </w:pP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3.10</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Danger par aspiration</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4.1</w:t>
            </w:r>
          </w:p>
        </w:tc>
        <w:tc>
          <w:tcPr>
            <w:tcW w:w="1854" w:type="dxa"/>
            <w:shd w:val="clear" w:color="auto" w:fill="auto"/>
          </w:tcPr>
          <w:p w:rsidR="0048241F" w:rsidRPr="009578B3" w:rsidRDefault="0048241F" w:rsidP="0016701C">
            <w:pPr>
              <w:spacing w:before="60" w:after="60"/>
              <w:ind w:left="57" w:right="57"/>
              <w:rPr>
                <w:b/>
                <w:sz w:val="18"/>
                <w:szCs w:val="18"/>
                <w:lang w:val="fr-FR"/>
              </w:rPr>
            </w:pPr>
            <w:r w:rsidRPr="009578B3">
              <w:rPr>
                <w:b/>
                <w:sz w:val="18"/>
                <w:szCs w:val="18"/>
                <w:lang w:val="fr-FR"/>
              </w:rPr>
              <w:t>Dangers pour le</w:t>
            </w:r>
            <w:r w:rsidR="0016701C">
              <w:rPr>
                <w:b/>
                <w:sz w:val="18"/>
                <w:szCs w:val="18"/>
                <w:lang w:val="fr-FR"/>
              </w:rPr>
              <w:t> </w:t>
            </w:r>
            <w:r w:rsidRPr="009578B3">
              <w:rPr>
                <w:b/>
                <w:sz w:val="18"/>
                <w:szCs w:val="18"/>
                <w:lang w:val="fr-FR"/>
              </w:rPr>
              <w:t>milieu aquatique</w:t>
            </w:r>
          </w:p>
        </w:tc>
        <w:tc>
          <w:tcPr>
            <w:tcW w:w="2005" w:type="dxa"/>
            <w:shd w:val="clear" w:color="auto" w:fill="auto"/>
          </w:tcPr>
          <w:p w:rsidR="0048241F" w:rsidRPr="009578B3" w:rsidRDefault="002C0C99" w:rsidP="006026DE">
            <w:pPr>
              <w:spacing w:before="60" w:after="60"/>
              <w:ind w:left="57" w:right="57"/>
              <w:rPr>
                <w:iCs/>
                <w:sz w:val="18"/>
                <w:szCs w:val="18"/>
              </w:rPr>
            </w:pPr>
            <w:r>
              <w:rPr>
                <w:sz w:val="18"/>
                <w:szCs w:val="18"/>
                <w:lang w:val="fr-FR"/>
              </w:rPr>
              <w:t>Aiguë </w:t>
            </w:r>
            <w:r w:rsidR="0048241F" w:rsidRPr="009578B3">
              <w:rPr>
                <w:sz w:val="18"/>
                <w:szCs w:val="18"/>
                <w:lang w:val="fr-FR"/>
              </w:rPr>
              <w:t>3</w:t>
            </w:r>
            <w:r>
              <w:rPr>
                <w:sz w:val="18"/>
                <w:szCs w:val="18"/>
                <w:lang w:val="fr-FR"/>
              </w:rPr>
              <w:t> </w:t>
            </w:r>
            <w:r w:rsidR="0048241F" w:rsidRPr="009578B3">
              <w:rPr>
                <w:sz w:val="18"/>
                <w:szCs w:val="18"/>
                <w:lang w:val="fr-FR"/>
              </w:rPr>
              <w:t>; H402</w:t>
            </w:r>
          </w:p>
          <w:p w:rsidR="0048241F" w:rsidRPr="009578B3" w:rsidRDefault="002C0C99" w:rsidP="006026DE">
            <w:pPr>
              <w:spacing w:before="60" w:after="60"/>
              <w:ind w:left="57" w:right="57"/>
              <w:rPr>
                <w:sz w:val="18"/>
                <w:szCs w:val="18"/>
              </w:rPr>
            </w:pPr>
            <w:r>
              <w:rPr>
                <w:sz w:val="18"/>
                <w:szCs w:val="18"/>
                <w:lang w:val="fr-FR"/>
              </w:rPr>
              <w:t>Chronique </w:t>
            </w:r>
            <w:r w:rsidR="0048241F" w:rsidRPr="009578B3">
              <w:rPr>
                <w:sz w:val="18"/>
                <w:szCs w:val="18"/>
                <w:lang w:val="fr-FR"/>
              </w:rPr>
              <w:t>3</w:t>
            </w:r>
            <w:r>
              <w:rPr>
                <w:sz w:val="18"/>
                <w:szCs w:val="18"/>
                <w:lang w:val="fr-FR"/>
              </w:rPr>
              <w:t> </w:t>
            </w:r>
            <w:r w:rsidR="0048241F" w:rsidRPr="009578B3">
              <w:rPr>
                <w:sz w:val="18"/>
                <w:szCs w:val="18"/>
                <w:lang w:val="fr-FR"/>
              </w:rPr>
              <w:t>; H412</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p>
        </w:tc>
      </w:tr>
      <w:tr w:rsidR="00A90EDE"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4.2</w:t>
            </w:r>
          </w:p>
        </w:tc>
        <w:tc>
          <w:tcPr>
            <w:tcW w:w="1854" w:type="dxa"/>
            <w:shd w:val="clear" w:color="auto" w:fill="auto"/>
          </w:tcPr>
          <w:p w:rsidR="0048241F" w:rsidRPr="009578B3" w:rsidRDefault="0048241F" w:rsidP="0016701C">
            <w:pPr>
              <w:spacing w:before="60" w:after="60"/>
              <w:ind w:left="57" w:right="57"/>
              <w:rPr>
                <w:b/>
                <w:sz w:val="18"/>
                <w:szCs w:val="18"/>
                <w:lang w:val="fr-FR"/>
              </w:rPr>
            </w:pPr>
            <w:r w:rsidRPr="009578B3">
              <w:rPr>
                <w:b/>
                <w:sz w:val="18"/>
                <w:szCs w:val="18"/>
                <w:lang w:val="fr-FR"/>
              </w:rPr>
              <w:t>Dangers pour la</w:t>
            </w:r>
            <w:r w:rsidR="0016701C">
              <w:rPr>
                <w:b/>
                <w:sz w:val="18"/>
                <w:szCs w:val="18"/>
                <w:lang w:val="fr-FR"/>
              </w:rPr>
              <w:t> </w:t>
            </w:r>
            <w:r w:rsidRPr="009578B3">
              <w:rPr>
                <w:b/>
                <w:sz w:val="18"/>
                <w:szCs w:val="18"/>
                <w:lang w:val="fr-FR"/>
              </w:rPr>
              <w:t>couche d’ozone</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bl>
    <w:p w:rsidR="0048241F" w:rsidRDefault="00A90EDE" w:rsidP="00A90EDE">
      <w:pPr>
        <w:pStyle w:val="H23G"/>
        <w:rPr>
          <w:lang w:val="fr-FR"/>
        </w:rPr>
      </w:pPr>
      <w:r>
        <w:rPr>
          <w:lang w:val="fr-FR"/>
        </w:rPr>
        <w:tab/>
      </w:r>
      <w:r>
        <w:rPr>
          <w:lang w:val="fr-FR"/>
        </w:rPr>
        <w:tab/>
        <w:t>Étiquetage proposé pour le DMTC</w:t>
      </w:r>
    </w:p>
    <w:p w:rsidR="00A90EDE" w:rsidRPr="00B92F8A" w:rsidRDefault="00A90EDE" w:rsidP="00A90EDE">
      <w:pPr>
        <w:pStyle w:val="SingleTxtG"/>
        <w:ind w:left="1701"/>
        <w:rPr>
          <w:lang w:val="fr-FR"/>
        </w:rPr>
      </w:pPr>
      <w:r w:rsidRPr="00C42850">
        <w:rPr>
          <w:b/>
          <w:lang w:val="fr-FR"/>
        </w:rPr>
        <w:t>Code(s) des pictogrammes</w:t>
      </w:r>
      <w:r>
        <w:rPr>
          <w:lang w:val="fr-FR"/>
        </w:rPr>
        <w:t> : GHS05 (corrosion), GHS06 (tête de mort sur deux tibias), GHS08 (danger pour la santé)</w:t>
      </w:r>
    </w:p>
    <w:p w:rsidR="00A90EDE" w:rsidRPr="00B92F8A" w:rsidRDefault="00A90EDE" w:rsidP="00A90EDE">
      <w:pPr>
        <w:pStyle w:val="SingleTxtG"/>
        <w:ind w:left="1701"/>
        <w:rPr>
          <w:lang w:val="fr-FR"/>
        </w:rPr>
      </w:pPr>
      <w:r w:rsidRPr="00C42850">
        <w:rPr>
          <w:b/>
          <w:lang w:val="fr-FR"/>
        </w:rPr>
        <w:t>Mention d</w:t>
      </w:r>
      <w:r>
        <w:rPr>
          <w:b/>
          <w:lang w:val="fr-FR"/>
        </w:rPr>
        <w:t>’</w:t>
      </w:r>
      <w:r w:rsidRPr="00C42850">
        <w:rPr>
          <w:b/>
          <w:lang w:val="fr-FR"/>
        </w:rPr>
        <w:t>avertissement</w:t>
      </w:r>
      <w:r w:rsidR="00752572">
        <w:rPr>
          <w:lang w:val="fr-FR"/>
        </w:rPr>
        <w:t> </w:t>
      </w:r>
      <w:r w:rsidRPr="00752572">
        <w:rPr>
          <w:lang w:val="fr-FR"/>
        </w:rPr>
        <w:t>:</w:t>
      </w:r>
      <w:r w:rsidR="00FF0F98">
        <w:rPr>
          <w:lang w:val="fr-FR"/>
        </w:rPr>
        <w:t xml:space="preserve"> D</w:t>
      </w:r>
      <w:r>
        <w:rPr>
          <w:lang w:val="fr-FR"/>
        </w:rPr>
        <w:t>anger</w:t>
      </w:r>
    </w:p>
    <w:p w:rsidR="00A90EDE" w:rsidRPr="00C42850" w:rsidRDefault="00A90EDE" w:rsidP="00A90EDE">
      <w:pPr>
        <w:pStyle w:val="SingleTxtG"/>
        <w:ind w:left="1701"/>
        <w:rPr>
          <w:b/>
          <w:lang w:val="fr-FR"/>
        </w:rPr>
      </w:pPr>
      <w:r w:rsidRPr="00C42850">
        <w:rPr>
          <w:b/>
          <w:lang w:val="fr-FR"/>
        </w:rPr>
        <w:t xml:space="preserve">Code(s) de(s) mention(s) de danger : </w:t>
      </w:r>
    </w:p>
    <w:p w:rsidR="00A90EDE" w:rsidRPr="00A90EDE" w:rsidRDefault="00A90EDE" w:rsidP="006B45D6">
      <w:pPr>
        <w:pStyle w:val="SingleTxtG"/>
        <w:ind w:left="2552" w:hanging="851"/>
        <w:rPr>
          <w:lang w:val="fr-FR"/>
        </w:rPr>
      </w:pPr>
      <w:r w:rsidRPr="00A90EDE">
        <w:rPr>
          <w:lang w:val="fr-FR"/>
        </w:rPr>
        <w:t>H301</w:t>
      </w:r>
      <w:r w:rsidR="00996455">
        <w:rPr>
          <w:lang w:val="fr-FR"/>
        </w:rPr>
        <w:t> </w:t>
      </w:r>
      <w:r w:rsidRPr="00A90EDE">
        <w:rPr>
          <w:lang w:val="fr-FR"/>
        </w:rPr>
        <w:t xml:space="preserve">: </w:t>
      </w:r>
      <w:r w:rsidRPr="00A90EDE">
        <w:rPr>
          <w:lang w:val="fr-FR"/>
        </w:rPr>
        <w:tab/>
        <w:t>Toxique en cas d’ingestion</w:t>
      </w:r>
    </w:p>
    <w:p w:rsidR="00A90EDE" w:rsidRPr="00A90EDE" w:rsidRDefault="00A90EDE" w:rsidP="006B45D6">
      <w:pPr>
        <w:pStyle w:val="SingleTxtG"/>
        <w:ind w:left="2552" w:hanging="851"/>
        <w:rPr>
          <w:lang w:val="fr-FR"/>
        </w:rPr>
      </w:pPr>
      <w:r w:rsidRPr="00A90EDE">
        <w:rPr>
          <w:lang w:val="fr-FR"/>
        </w:rPr>
        <w:t>H311</w:t>
      </w:r>
      <w:r w:rsidR="00996455">
        <w:rPr>
          <w:lang w:val="fr-FR"/>
        </w:rPr>
        <w:t> </w:t>
      </w:r>
      <w:r w:rsidRPr="00A90EDE">
        <w:rPr>
          <w:lang w:val="fr-FR"/>
        </w:rPr>
        <w:t xml:space="preserve">: </w:t>
      </w:r>
      <w:r w:rsidRPr="00A90EDE">
        <w:rPr>
          <w:lang w:val="fr-FR"/>
        </w:rPr>
        <w:tab/>
        <w:t>Toxique par contact cutané</w:t>
      </w:r>
    </w:p>
    <w:p w:rsidR="00A90EDE" w:rsidRPr="00A90EDE" w:rsidRDefault="00A90EDE" w:rsidP="006B45D6">
      <w:pPr>
        <w:pStyle w:val="SingleTxtG"/>
        <w:ind w:left="2552" w:hanging="851"/>
        <w:rPr>
          <w:lang w:val="fr-FR"/>
        </w:rPr>
      </w:pPr>
      <w:r w:rsidRPr="00A90EDE">
        <w:rPr>
          <w:lang w:val="fr-FR"/>
        </w:rPr>
        <w:t>H330</w:t>
      </w:r>
      <w:r w:rsidR="00996455">
        <w:rPr>
          <w:lang w:val="fr-FR"/>
        </w:rPr>
        <w:t> </w:t>
      </w:r>
      <w:r w:rsidRPr="00A90EDE">
        <w:rPr>
          <w:lang w:val="fr-FR"/>
        </w:rPr>
        <w:t xml:space="preserve">: </w:t>
      </w:r>
      <w:r w:rsidRPr="00A90EDE">
        <w:rPr>
          <w:lang w:val="fr-FR"/>
        </w:rPr>
        <w:tab/>
        <w:t>Mortel par inhalation</w:t>
      </w:r>
    </w:p>
    <w:p w:rsidR="00A90EDE" w:rsidRPr="00B92F8A" w:rsidRDefault="00A90EDE" w:rsidP="006B45D6">
      <w:pPr>
        <w:pStyle w:val="SingleTxtG"/>
        <w:ind w:left="2552" w:hanging="851"/>
        <w:rPr>
          <w:lang w:val="fr-FR"/>
        </w:rPr>
      </w:pPr>
      <w:r w:rsidRPr="00A90EDE">
        <w:rPr>
          <w:lang w:val="fr-FR"/>
        </w:rPr>
        <w:t>H314</w:t>
      </w:r>
      <w:r w:rsidR="00996455">
        <w:rPr>
          <w:lang w:val="fr-FR"/>
        </w:rPr>
        <w:t> </w:t>
      </w:r>
      <w:r>
        <w:rPr>
          <w:lang w:val="fr-FR"/>
        </w:rPr>
        <w:t xml:space="preserve">: </w:t>
      </w:r>
      <w:r>
        <w:rPr>
          <w:lang w:val="fr-FR"/>
        </w:rPr>
        <w:tab/>
        <w:t>Provoque de graves brûlures de la peau et de graves lésions oculaires</w:t>
      </w:r>
    </w:p>
    <w:p w:rsidR="00A90EDE" w:rsidRPr="00B92F8A" w:rsidRDefault="00A90EDE" w:rsidP="006B45D6">
      <w:pPr>
        <w:pStyle w:val="SingleTxtG"/>
        <w:ind w:left="2552" w:hanging="851"/>
        <w:rPr>
          <w:lang w:val="fr-FR"/>
        </w:rPr>
      </w:pPr>
      <w:r>
        <w:rPr>
          <w:lang w:val="fr-FR"/>
        </w:rPr>
        <w:t>H318</w:t>
      </w:r>
      <w:r w:rsidR="00996455">
        <w:rPr>
          <w:lang w:val="fr-FR"/>
        </w:rPr>
        <w:t> </w:t>
      </w:r>
      <w:r>
        <w:rPr>
          <w:lang w:val="fr-FR"/>
        </w:rPr>
        <w:t xml:space="preserve">: </w:t>
      </w:r>
      <w:r>
        <w:rPr>
          <w:lang w:val="fr-FR"/>
        </w:rPr>
        <w:tab/>
        <w:t>Provoque de graves lésions oculaires</w:t>
      </w:r>
    </w:p>
    <w:p w:rsidR="00A90EDE" w:rsidRPr="00B92F8A" w:rsidRDefault="00A90EDE" w:rsidP="006B45D6">
      <w:pPr>
        <w:pStyle w:val="SingleTxtG"/>
        <w:ind w:left="2552" w:hanging="851"/>
        <w:rPr>
          <w:lang w:val="fr-FR"/>
        </w:rPr>
      </w:pPr>
      <w:r>
        <w:rPr>
          <w:lang w:val="fr-FR"/>
        </w:rPr>
        <w:t>H361</w:t>
      </w:r>
      <w:r w:rsidR="00996455">
        <w:rPr>
          <w:lang w:val="fr-FR"/>
        </w:rPr>
        <w:t> </w:t>
      </w:r>
      <w:r>
        <w:rPr>
          <w:lang w:val="fr-FR"/>
        </w:rPr>
        <w:t xml:space="preserve">: </w:t>
      </w:r>
      <w:r>
        <w:rPr>
          <w:lang w:val="fr-FR"/>
        </w:rPr>
        <w:tab/>
        <w:t>Susceptible de nuire à la fertilité ou au fœtus (effets néfastes sur le développement des descendants)</w:t>
      </w:r>
    </w:p>
    <w:p w:rsidR="00A90EDE" w:rsidRPr="00B92F8A" w:rsidRDefault="00A90EDE" w:rsidP="006B45D6">
      <w:pPr>
        <w:pStyle w:val="SingleTxtG"/>
        <w:ind w:left="2552" w:hanging="851"/>
        <w:rPr>
          <w:lang w:val="fr-FR"/>
        </w:rPr>
      </w:pPr>
      <w:r>
        <w:rPr>
          <w:lang w:val="fr-FR"/>
        </w:rPr>
        <w:t>H372</w:t>
      </w:r>
      <w:r w:rsidR="00996455">
        <w:rPr>
          <w:lang w:val="fr-FR"/>
        </w:rPr>
        <w:t> </w:t>
      </w:r>
      <w:r>
        <w:rPr>
          <w:lang w:val="fr-FR"/>
        </w:rPr>
        <w:t xml:space="preserve">: </w:t>
      </w:r>
      <w:r>
        <w:rPr>
          <w:lang w:val="fr-FR"/>
        </w:rPr>
        <w:tab/>
        <w:t>Risque avéré d’effets graves pour les organes (système nerveux, système immunitaire)</w:t>
      </w:r>
    </w:p>
    <w:p w:rsidR="00A90EDE" w:rsidRPr="00B92F8A" w:rsidRDefault="00A90EDE" w:rsidP="006B45D6">
      <w:pPr>
        <w:pStyle w:val="SingleTxtG"/>
        <w:ind w:left="2552" w:hanging="851"/>
        <w:rPr>
          <w:lang w:val="fr-FR"/>
        </w:rPr>
      </w:pPr>
      <w:r>
        <w:rPr>
          <w:lang w:val="fr-FR"/>
        </w:rPr>
        <w:t>H412</w:t>
      </w:r>
      <w:r w:rsidR="00996455">
        <w:rPr>
          <w:lang w:val="fr-FR"/>
        </w:rPr>
        <w:t> </w:t>
      </w:r>
      <w:r>
        <w:rPr>
          <w:lang w:val="fr-FR"/>
        </w:rPr>
        <w:t xml:space="preserve">: </w:t>
      </w:r>
      <w:r>
        <w:rPr>
          <w:lang w:val="fr-FR"/>
        </w:rPr>
        <w:tab/>
        <w:t>Nocif pour les organismes aquatiques, entraîne des effets néfastes à long terme</w:t>
      </w:r>
    </w:p>
    <w:p w:rsidR="00A90EDE" w:rsidRPr="00C42850" w:rsidRDefault="00A90EDE" w:rsidP="006235F4">
      <w:pPr>
        <w:pStyle w:val="SingleTxtG"/>
        <w:ind w:left="1701"/>
        <w:rPr>
          <w:b/>
          <w:lang w:val="fr-FR"/>
        </w:rPr>
      </w:pPr>
      <w:r w:rsidRPr="00C42850">
        <w:rPr>
          <w:b/>
          <w:lang w:val="fr-FR"/>
        </w:rPr>
        <w:t>Informations supplémentaires</w:t>
      </w:r>
      <w:r w:rsidR="006B32AC">
        <w:rPr>
          <w:b/>
          <w:lang w:val="fr-FR"/>
        </w:rPr>
        <w:t> </w:t>
      </w:r>
      <w:r w:rsidRPr="00C42850">
        <w:rPr>
          <w:b/>
          <w:lang w:val="fr-FR"/>
        </w:rPr>
        <w:t xml:space="preserve">: </w:t>
      </w:r>
    </w:p>
    <w:p w:rsidR="00BF7FFC" w:rsidRDefault="00A90EDE" w:rsidP="00492C9A">
      <w:pPr>
        <w:pStyle w:val="SingleTxtG"/>
        <w:ind w:left="1701" w:firstLine="567"/>
        <w:rPr>
          <w:lang w:val="fr-FR"/>
        </w:rPr>
      </w:pPr>
      <w:r>
        <w:rPr>
          <w:lang w:val="fr-FR"/>
        </w:rPr>
        <w:t>Il est recommandé d’</w:t>
      </w:r>
      <w:r w:rsidR="00016E3C">
        <w:rPr>
          <w:lang w:val="fr-FR"/>
        </w:rPr>
        <w:t>ajouter</w:t>
      </w:r>
      <w:r>
        <w:rPr>
          <w:lang w:val="fr-FR"/>
        </w:rPr>
        <w:t xml:space="preserve"> la mention </w:t>
      </w:r>
      <w:r w:rsidR="00532557">
        <w:rPr>
          <w:lang w:val="fr-FR"/>
        </w:rPr>
        <w:t>« </w:t>
      </w:r>
      <w:r>
        <w:rPr>
          <w:lang w:val="fr-FR"/>
        </w:rPr>
        <w:t>corrosif pour les voies respiratoires</w:t>
      </w:r>
      <w:r w:rsidR="009614DB">
        <w:rPr>
          <w:lang w:val="fr-FR"/>
        </w:rPr>
        <w:t> »</w:t>
      </w:r>
      <w:r>
        <w:rPr>
          <w:lang w:val="fr-FR"/>
        </w:rPr>
        <w:t xml:space="preserve"> sur l’étiquette </w:t>
      </w:r>
      <w:r w:rsidR="00F9520B">
        <w:rPr>
          <w:lang w:val="fr-FR"/>
        </w:rPr>
        <w:t xml:space="preserve">à cause </w:t>
      </w:r>
      <w:r>
        <w:rPr>
          <w:lang w:val="fr-FR"/>
        </w:rPr>
        <w:t xml:space="preserve">de la classification du dichlorure de diméthylstannane comme </w:t>
      </w:r>
      <w:r w:rsidR="00F9520B">
        <w:rPr>
          <w:lang w:val="fr-FR"/>
        </w:rPr>
        <w:t xml:space="preserve">très </w:t>
      </w:r>
      <w:r>
        <w:rPr>
          <w:lang w:val="fr-FR"/>
        </w:rPr>
        <w:t>toxique par inhalation et comme corrosif pour la peau.</w:t>
      </w:r>
    </w:p>
    <w:p w:rsidR="00BF7FFC" w:rsidRPr="00B92F8A" w:rsidRDefault="00BF7FFC" w:rsidP="002A0BFE">
      <w:pPr>
        <w:pStyle w:val="HChG"/>
        <w:rPr>
          <w:lang w:val="fr-FR"/>
        </w:rPr>
      </w:pPr>
      <w:r>
        <w:rPr>
          <w:lang w:val="fr-FR"/>
        </w:rPr>
        <w:br w:type="page"/>
      </w:r>
      <w:r>
        <w:rPr>
          <w:lang w:val="fr-FR"/>
        </w:rPr>
        <w:tab/>
      </w:r>
      <w:r>
        <w:rPr>
          <w:lang w:val="fr-FR"/>
        </w:rPr>
        <w:tab/>
        <w:t xml:space="preserve">Proposition de classification et d’étiquetage </w:t>
      </w:r>
      <w:r>
        <w:rPr>
          <w:lang w:val="fr-FR"/>
        </w:rPr>
        <w:br/>
        <w:t>du phtalate de dibutyle (DBP)</w:t>
      </w:r>
    </w:p>
    <w:p w:rsidR="00A90EDE" w:rsidRPr="00A90EDE" w:rsidRDefault="00BF7FFC" w:rsidP="00BF7FFC">
      <w:pPr>
        <w:pStyle w:val="H1G"/>
        <w:rPr>
          <w:lang w:val="fr-FR"/>
        </w:rPr>
      </w:pPr>
      <w:r>
        <w:rPr>
          <w:lang w:val="fr-FR"/>
        </w:rPr>
        <w:tab/>
      </w:r>
      <w:r>
        <w:rPr>
          <w:lang w:val="fr-FR"/>
        </w:rPr>
        <w:tab/>
        <w:t>Classification proposée pour le phtalate de dibutyle et raisons justifiant l’absence de classification pour certaines classes de danger</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7"/>
        <w:gridCol w:w="1893"/>
        <w:gridCol w:w="1831"/>
        <w:gridCol w:w="1439"/>
        <w:gridCol w:w="2484"/>
      </w:tblGrid>
      <w:tr w:rsidR="00BF7FFC" w:rsidRPr="003A23B4" w:rsidTr="00F20BFA">
        <w:trPr>
          <w:tblHeader/>
        </w:trPr>
        <w:tc>
          <w:tcPr>
            <w:tcW w:w="857" w:type="dxa"/>
            <w:tcBorders>
              <w:bottom w:val="single" w:sz="4" w:space="0" w:color="auto"/>
            </w:tcBorders>
            <w:shd w:val="clear" w:color="auto" w:fill="auto"/>
            <w:vAlign w:val="bottom"/>
          </w:tcPr>
          <w:p w:rsidR="00BF7FFC" w:rsidRPr="003A23B4" w:rsidRDefault="00BF7FFC" w:rsidP="005F58DB">
            <w:pPr>
              <w:suppressAutoHyphens w:val="0"/>
              <w:spacing w:before="60" w:after="60" w:line="200" w:lineRule="exact"/>
              <w:ind w:left="57" w:right="57"/>
              <w:rPr>
                <w:i/>
                <w:iCs/>
                <w:spacing w:val="4"/>
                <w:w w:val="103"/>
                <w:kern w:val="14"/>
                <w:sz w:val="16"/>
                <w:szCs w:val="18"/>
              </w:rPr>
            </w:pPr>
            <w:r w:rsidRPr="003A23B4">
              <w:rPr>
                <w:i/>
                <w:spacing w:val="4"/>
                <w:w w:val="103"/>
                <w:kern w:val="14"/>
                <w:sz w:val="16"/>
                <w:lang w:val="fr-FR"/>
              </w:rPr>
              <w:t>Chapitre du SGH</w:t>
            </w:r>
          </w:p>
        </w:tc>
        <w:tc>
          <w:tcPr>
            <w:tcW w:w="1893" w:type="dxa"/>
            <w:tcBorders>
              <w:bottom w:val="single" w:sz="4" w:space="0" w:color="auto"/>
            </w:tcBorders>
            <w:shd w:val="clear" w:color="auto" w:fill="auto"/>
            <w:vAlign w:val="bottom"/>
          </w:tcPr>
          <w:p w:rsidR="00BF7FFC" w:rsidRPr="003A23B4" w:rsidRDefault="00BF7FFC" w:rsidP="005F58DB">
            <w:pPr>
              <w:suppressAutoHyphens w:val="0"/>
              <w:spacing w:before="60" w:after="60" w:line="200" w:lineRule="exact"/>
              <w:ind w:left="57" w:right="57"/>
              <w:rPr>
                <w:i/>
                <w:iCs/>
                <w:spacing w:val="4"/>
                <w:w w:val="103"/>
                <w:kern w:val="14"/>
                <w:sz w:val="16"/>
                <w:szCs w:val="18"/>
              </w:rPr>
            </w:pPr>
            <w:r w:rsidRPr="003A23B4">
              <w:rPr>
                <w:i/>
                <w:spacing w:val="4"/>
                <w:w w:val="103"/>
                <w:kern w:val="14"/>
                <w:sz w:val="16"/>
                <w:lang w:val="fr-FR"/>
              </w:rPr>
              <w:t xml:space="preserve">Classe de danger </w:t>
            </w:r>
          </w:p>
        </w:tc>
        <w:tc>
          <w:tcPr>
            <w:tcW w:w="1831" w:type="dxa"/>
            <w:tcBorders>
              <w:bottom w:val="single" w:sz="4" w:space="0" w:color="auto"/>
            </w:tcBorders>
            <w:shd w:val="clear" w:color="auto" w:fill="auto"/>
            <w:vAlign w:val="bottom"/>
          </w:tcPr>
          <w:p w:rsidR="00BF7FFC" w:rsidRPr="003A23B4" w:rsidRDefault="00BF7FFC" w:rsidP="00316E76">
            <w:pPr>
              <w:suppressAutoHyphens w:val="0"/>
              <w:spacing w:before="60" w:after="60" w:line="200" w:lineRule="exact"/>
              <w:ind w:left="57" w:right="57"/>
              <w:rPr>
                <w:i/>
                <w:iCs/>
                <w:spacing w:val="4"/>
                <w:w w:val="103"/>
                <w:kern w:val="14"/>
                <w:sz w:val="16"/>
                <w:szCs w:val="18"/>
                <w:lang w:val="fr-FR"/>
              </w:rPr>
            </w:pPr>
            <w:r w:rsidRPr="003A23B4">
              <w:rPr>
                <w:i/>
                <w:spacing w:val="4"/>
                <w:w w:val="103"/>
                <w:kern w:val="14"/>
                <w:sz w:val="16"/>
                <w:lang w:val="fr-FR"/>
              </w:rPr>
              <w:t xml:space="preserve">Classification proposée </w:t>
            </w:r>
            <w:r w:rsidR="00811509" w:rsidRPr="003A23B4">
              <w:rPr>
                <w:i/>
                <w:spacing w:val="4"/>
                <w:w w:val="103"/>
                <w:kern w:val="14"/>
                <w:sz w:val="16"/>
                <w:lang w:val="fr-FR"/>
              </w:rPr>
              <w:br/>
            </w:r>
            <w:r w:rsidRPr="003A23B4">
              <w:rPr>
                <w:i/>
                <w:spacing w:val="4"/>
                <w:w w:val="103"/>
                <w:kern w:val="14"/>
                <w:sz w:val="16"/>
                <w:lang w:val="fr-FR"/>
              </w:rPr>
              <w:t>(classe et catégorie de danger</w:t>
            </w:r>
            <w:r w:rsidR="00811509" w:rsidRPr="003A23B4">
              <w:rPr>
                <w:i/>
                <w:spacing w:val="4"/>
                <w:w w:val="103"/>
                <w:kern w:val="14"/>
                <w:sz w:val="16"/>
                <w:lang w:val="fr-FR"/>
              </w:rPr>
              <w:t> </w:t>
            </w:r>
            <w:r w:rsidRPr="003A23B4">
              <w:rPr>
                <w:i/>
                <w:spacing w:val="4"/>
                <w:w w:val="103"/>
                <w:kern w:val="14"/>
                <w:sz w:val="16"/>
                <w:lang w:val="fr-FR"/>
              </w:rPr>
              <w:t>; code(s) de(s) mention(s) de danger)</w:t>
            </w:r>
          </w:p>
        </w:tc>
        <w:tc>
          <w:tcPr>
            <w:tcW w:w="1439" w:type="dxa"/>
            <w:tcBorders>
              <w:bottom w:val="single" w:sz="4" w:space="0" w:color="auto"/>
            </w:tcBorders>
            <w:shd w:val="clear" w:color="auto" w:fill="auto"/>
            <w:vAlign w:val="bottom"/>
          </w:tcPr>
          <w:p w:rsidR="00BF7FFC" w:rsidRPr="003A23B4" w:rsidRDefault="00BF7FFC" w:rsidP="00316E76">
            <w:pPr>
              <w:suppressAutoHyphens w:val="0"/>
              <w:spacing w:before="60" w:after="60" w:line="200" w:lineRule="exact"/>
              <w:ind w:left="57" w:right="28"/>
              <w:rPr>
                <w:i/>
                <w:iCs/>
                <w:spacing w:val="4"/>
                <w:w w:val="103"/>
                <w:kern w:val="14"/>
                <w:sz w:val="16"/>
                <w:szCs w:val="18"/>
                <w:lang w:val="fr-FR"/>
              </w:rPr>
            </w:pPr>
            <w:r w:rsidRPr="003A23B4">
              <w:rPr>
                <w:i/>
                <w:spacing w:val="4"/>
                <w:w w:val="103"/>
                <w:kern w:val="14"/>
                <w:sz w:val="16"/>
                <w:lang w:val="fr-FR"/>
              </w:rPr>
              <w:t>Limites spécifiqu</w:t>
            </w:r>
            <w:r w:rsidR="00811509" w:rsidRPr="003A23B4">
              <w:rPr>
                <w:i/>
                <w:spacing w:val="4"/>
                <w:w w:val="103"/>
                <w:kern w:val="14"/>
                <w:sz w:val="16"/>
                <w:lang w:val="fr-FR"/>
              </w:rPr>
              <w:t>es de concentration et facteurs </w:t>
            </w:r>
            <w:r w:rsidRPr="003A23B4">
              <w:rPr>
                <w:i/>
                <w:spacing w:val="4"/>
                <w:w w:val="103"/>
                <w:kern w:val="14"/>
                <w:sz w:val="16"/>
                <w:lang w:val="fr-FR"/>
              </w:rPr>
              <w:t>M proposés</w:t>
            </w:r>
          </w:p>
        </w:tc>
        <w:tc>
          <w:tcPr>
            <w:tcW w:w="2484" w:type="dxa"/>
            <w:tcBorders>
              <w:bottom w:val="single" w:sz="4" w:space="0" w:color="auto"/>
            </w:tcBorders>
            <w:shd w:val="clear" w:color="auto" w:fill="auto"/>
            <w:vAlign w:val="bottom"/>
          </w:tcPr>
          <w:p w:rsidR="00BF7FFC" w:rsidRPr="003A23B4" w:rsidRDefault="00BF7FFC" w:rsidP="005F58DB">
            <w:pPr>
              <w:suppressAutoHyphens w:val="0"/>
              <w:spacing w:before="60" w:after="60" w:line="200" w:lineRule="exact"/>
              <w:ind w:left="57" w:right="57"/>
              <w:rPr>
                <w:i/>
                <w:iCs/>
                <w:spacing w:val="4"/>
                <w:w w:val="103"/>
                <w:kern w:val="14"/>
                <w:sz w:val="16"/>
                <w:szCs w:val="18"/>
                <w:lang w:val="fr-FR"/>
              </w:rPr>
            </w:pPr>
            <w:r w:rsidRPr="003A23B4">
              <w:rPr>
                <w:i/>
                <w:spacing w:val="4"/>
                <w:w w:val="103"/>
                <w:kern w:val="14"/>
                <w:sz w:val="16"/>
                <w:lang w:val="fr-FR"/>
              </w:rPr>
              <w:t>Raison</w:t>
            </w:r>
            <w:r w:rsidR="00D247CB" w:rsidRPr="003A23B4">
              <w:rPr>
                <w:i/>
                <w:spacing w:val="4"/>
                <w:w w:val="103"/>
                <w:kern w:val="14"/>
                <w:sz w:val="16"/>
                <w:lang w:val="fr-FR"/>
              </w:rPr>
              <w:t>s</w:t>
            </w:r>
            <w:r w:rsidRPr="003A23B4">
              <w:rPr>
                <w:i/>
                <w:spacing w:val="4"/>
                <w:w w:val="103"/>
                <w:kern w:val="14"/>
                <w:sz w:val="16"/>
                <w:lang w:val="fr-FR"/>
              </w:rPr>
              <w:t xml:space="preserve"> qui justifient l’absence de classification</w:t>
            </w:r>
            <w:r w:rsidRPr="00891681">
              <w:rPr>
                <w:spacing w:val="4"/>
                <w:w w:val="103"/>
                <w:kern w:val="14"/>
                <w:sz w:val="16"/>
                <w:lang w:val="fr-FR"/>
              </w:rPr>
              <w:t>*</w:t>
            </w:r>
          </w:p>
        </w:tc>
      </w:tr>
      <w:tr w:rsidR="003A23B4" w:rsidRPr="002C2CF3" w:rsidTr="00F20BFA">
        <w:tc>
          <w:tcPr>
            <w:tcW w:w="857" w:type="dxa"/>
            <w:tcBorders>
              <w:top w:val="nil"/>
            </w:tcBorders>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w:t>
            </w:r>
          </w:p>
        </w:tc>
        <w:tc>
          <w:tcPr>
            <w:tcW w:w="1893" w:type="dxa"/>
            <w:tcBorders>
              <w:top w:val="nil"/>
            </w:tcBorders>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et objets explosibles</w:t>
            </w:r>
          </w:p>
        </w:tc>
        <w:tc>
          <w:tcPr>
            <w:tcW w:w="1831" w:type="dxa"/>
            <w:tcBorders>
              <w:top w:val="nil"/>
            </w:tcBorders>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tcBorders>
              <w:top w:val="nil"/>
            </w:tcBorders>
            <w:shd w:val="clear" w:color="auto" w:fill="auto"/>
          </w:tcPr>
          <w:p w:rsidR="00BF7FFC" w:rsidRPr="002C2CF3" w:rsidRDefault="00BF7FFC" w:rsidP="005F58DB">
            <w:pPr>
              <w:spacing w:before="40" w:after="120"/>
              <w:ind w:left="57" w:right="57"/>
              <w:rPr>
                <w:sz w:val="18"/>
                <w:szCs w:val="18"/>
              </w:rPr>
            </w:pPr>
          </w:p>
        </w:tc>
        <w:tc>
          <w:tcPr>
            <w:tcW w:w="2484" w:type="dxa"/>
            <w:tcBorders>
              <w:top w:val="nil"/>
            </w:tcBorders>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2.2</w:t>
            </w:r>
          </w:p>
        </w:tc>
        <w:tc>
          <w:tcPr>
            <w:tcW w:w="1893"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 xml:space="preserve">Gaz inflammables </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2.3</w:t>
            </w:r>
          </w:p>
        </w:tc>
        <w:tc>
          <w:tcPr>
            <w:tcW w:w="1893"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Aérosols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2.4</w:t>
            </w:r>
          </w:p>
        </w:tc>
        <w:tc>
          <w:tcPr>
            <w:tcW w:w="1893"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Gaz comburants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2.5</w:t>
            </w:r>
          </w:p>
        </w:tc>
        <w:tc>
          <w:tcPr>
            <w:tcW w:w="1893"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Gaz sous pression</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2.6</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Liquides inflammables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2.7</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solides inflammables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2.8</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autoréactives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2.9</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Liquides pyrophoriques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2.10</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solides pyrophoriques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2.11</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auto-échauffantes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2.12</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Matières qui, au contact de l’eau, dégagent des gaz inflammables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2.13</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Liquides comburants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2.14</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solides comburantes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2.15</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Peroxydes organiques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2.16</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Matières corrosives pour les métaux</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2.17</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explosibles désensibilisées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vMerge w:val="restart"/>
            <w:shd w:val="clear" w:color="auto" w:fill="auto"/>
          </w:tcPr>
          <w:p w:rsidR="00BF7FFC" w:rsidRPr="002C2CF3" w:rsidRDefault="00BF7FFC" w:rsidP="00404459">
            <w:pPr>
              <w:spacing w:before="60" w:after="60"/>
              <w:ind w:left="57" w:right="57"/>
              <w:rPr>
                <w:b/>
                <w:sz w:val="18"/>
                <w:szCs w:val="18"/>
              </w:rPr>
            </w:pPr>
            <w:r w:rsidRPr="002C2CF3">
              <w:rPr>
                <w:b/>
                <w:sz w:val="18"/>
                <w:szCs w:val="18"/>
                <w:lang w:val="fr-FR"/>
              </w:rPr>
              <w:t>3.1</w:t>
            </w:r>
          </w:p>
        </w:tc>
        <w:tc>
          <w:tcPr>
            <w:tcW w:w="1893" w:type="dxa"/>
            <w:shd w:val="clear" w:color="auto" w:fill="auto"/>
          </w:tcPr>
          <w:p w:rsidR="00BF7FFC" w:rsidRPr="002C2CF3" w:rsidRDefault="00BF7FFC" w:rsidP="00404459">
            <w:pPr>
              <w:spacing w:before="60" w:after="60"/>
              <w:ind w:left="57" w:right="57"/>
              <w:rPr>
                <w:b/>
                <w:sz w:val="18"/>
                <w:szCs w:val="18"/>
              </w:rPr>
            </w:pPr>
            <w:r w:rsidRPr="002C2CF3">
              <w:rPr>
                <w:b/>
                <w:sz w:val="18"/>
                <w:szCs w:val="18"/>
                <w:lang w:val="fr-FR"/>
              </w:rPr>
              <w:t xml:space="preserve">Toxicité aiguë </w:t>
            </w:r>
          </w:p>
          <w:p w:rsidR="00BF7FFC" w:rsidRPr="00A172C3" w:rsidRDefault="00BF7FFC" w:rsidP="00404459">
            <w:pPr>
              <w:pStyle w:val="Bullet1G"/>
              <w:ind w:left="227" w:right="0"/>
              <w:rPr>
                <w:b/>
                <w:sz w:val="18"/>
                <w:szCs w:val="18"/>
              </w:rPr>
            </w:pPr>
            <w:r w:rsidRPr="00A172C3">
              <w:rPr>
                <w:b/>
                <w:sz w:val="18"/>
                <w:szCs w:val="18"/>
                <w:lang w:val="fr-FR"/>
              </w:rPr>
              <w:t>voie orale</w:t>
            </w:r>
          </w:p>
        </w:tc>
        <w:tc>
          <w:tcPr>
            <w:tcW w:w="1831" w:type="dxa"/>
            <w:shd w:val="clear" w:color="auto" w:fill="auto"/>
          </w:tcPr>
          <w:p w:rsidR="00BF7FFC" w:rsidRPr="00610F71" w:rsidRDefault="00BF7FFC" w:rsidP="00404459">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404459">
            <w:pPr>
              <w:spacing w:before="40" w:after="120"/>
              <w:ind w:left="57" w:right="57"/>
              <w:rPr>
                <w:sz w:val="18"/>
                <w:szCs w:val="18"/>
              </w:rPr>
            </w:pPr>
          </w:p>
        </w:tc>
        <w:tc>
          <w:tcPr>
            <w:tcW w:w="2484" w:type="dxa"/>
            <w:shd w:val="clear" w:color="auto" w:fill="auto"/>
          </w:tcPr>
          <w:p w:rsidR="00BF7FFC" w:rsidRPr="002C2CF3" w:rsidRDefault="00BF7FFC" w:rsidP="00404459">
            <w:pPr>
              <w:spacing w:before="60" w:after="60"/>
              <w:ind w:left="57" w:right="57"/>
              <w:rPr>
                <w:sz w:val="18"/>
                <w:szCs w:val="18"/>
                <w:lang w:val="fr-FR"/>
              </w:rPr>
            </w:pPr>
            <w:r w:rsidRPr="002C2CF3">
              <w:rPr>
                <w:sz w:val="18"/>
                <w:szCs w:val="18"/>
                <w:lang w:val="fr-FR"/>
              </w:rPr>
              <w:t>Données concluantes mais insuffisantes pour la classification</w:t>
            </w:r>
          </w:p>
        </w:tc>
      </w:tr>
      <w:tr w:rsidR="00BF7FFC" w:rsidRPr="002C2CF3" w:rsidTr="00F20BFA">
        <w:tc>
          <w:tcPr>
            <w:tcW w:w="857" w:type="dxa"/>
            <w:vMerge/>
            <w:shd w:val="clear" w:color="auto" w:fill="auto"/>
          </w:tcPr>
          <w:p w:rsidR="00BF7FFC" w:rsidRPr="002C2CF3" w:rsidRDefault="00BF7FFC" w:rsidP="00404459">
            <w:pPr>
              <w:spacing w:before="40" w:after="120"/>
              <w:ind w:left="57" w:right="57"/>
              <w:rPr>
                <w:b/>
                <w:sz w:val="18"/>
                <w:szCs w:val="18"/>
                <w:lang w:val="fr-FR" w:eastAsia="da-DK"/>
              </w:rPr>
            </w:pPr>
          </w:p>
        </w:tc>
        <w:tc>
          <w:tcPr>
            <w:tcW w:w="1893" w:type="dxa"/>
            <w:shd w:val="clear" w:color="auto" w:fill="auto"/>
          </w:tcPr>
          <w:p w:rsidR="00BF7FFC" w:rsidRPr="002C2CF3" w:rsidRDefault="00BF7FFC" w:rsidP="00404459">
            <w:pPr>
              <w:pStyle w:val="Bullet1G"/>
              <w:ind w:left="227" w:right="0"/>
              <w:rPr>
                <w:b/>
                <w:sz w:val="18"/>
                <w:szCs w:val="18"/>
              </w:rPr>
            </w:pPr>
            <w:r w:rsidRPr="002C2CF3">
              <w:rPr>
                <w:b/>
                <w:sz w:val="18"/>
                <w:szCs w:val="18"/>
                <w:lang w:val="fr-FR"/>
              </w:rPr>
              <w:t>voie cutanée</w:t>
            </w:r>
          </w:p>
        </w:tc>
        <w:tc>
          <w:tcPr>
            <w:tcW w:w="1831" w:type="dxa"/>
            <w:shd w:val="clear" w:color="auto" w:fill="auto"/>
          </w:tcPr>
          <w:p w:rsidR="00BF7FFC" w:rsidRPr="00610F71" w:rsidRDefault="00BF7FFC" w:rsidP="00404459">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404459">
            <w:pPr>
              <w:spacing w:before="40" w:after="120"/>
              <w:ind w:left="57" w:right="57"/>
              <w:rPr>
                <w:sz w:val="18"/>
                <w:szCs w:val="18"/>
              </w:rPr>
            </w:pPr>
          </w:p>
        </w:tc>
        <w:tc>
          <w:tcPr>
            <w:tcW w:w="2484" w:type="dxa"/>
            <w:shd w:val="clear" w:color="auto" w:fill="auto"/>
          </w:tcPr>
          <w:p w:rsidR="00BF7FFC" w:rsidRPr="00F53E00" w:rsidRDefault="00BF7FFC" w:rsidP="00404459">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vMerge/>
            <w:shd w:val="clear" w:color="auto" w:fill="auto"/>
          </w:tcPr>
          <w:p w:rsidR="00BF7FFC" w:rsidRPr="002C2CF3" w:rsidRDefault="00BF7FFC" w:rsidP="00404459">
            <w:pPr>
              <w:spacing w:before="40" w:after="120"/>
              <w:ind w:left="57" w:right="57"/>
              <w:rPr>
                <w:b/>
                <w:sz w:val="18"/>
                <w:szCs w:val="18"/>
                <w:lang w:eastAsia="da-DK"/>
              </w:rPr>
            </w:pPr>
          </w:p>
        </w:tc>
        <w:tc>
          <w:tcPr>
            <w:tcW w:w="1893" w:type="dxa"/>
            <w:shd w:val="clear" w:color="auto" w:fill="auto"/>
          </w:tcPr>
          <w:p w:rsidR="00BF7FFC" w:rsidRPr="002C2CF3" w:rsidRDefault="00BF7FFC" w:rsidP="00404459">
            <w:pPr>
              <w:pStyle w:val="Bullet1G"/>
              <w:ind w:left="227" w:right="0"/>
              <w:rPr>
                <w:b/>
                <w:sz w:val="18"/>
                <w:szCs w:val="18"/>
              </w:rPr>
            </w:pPr>
            <w:r w:rsidRPr="002C2CF3">
              <w:rPr>
                <w:b/>
                <w:sz w:val="18"/>
                <w:szCs w:val="18"/>
                <w:lang w:val="fr-FR"/>
              </w:rPr>
              <w:t>inhalation</w:t>
            </w:r>
          </w:p>
        </w:tc>
        <w:tc>
          <w:tcPr>
            <w:tcW w:w="1831" w:type="dxa"/>
            <w:shd w:val="clear" w:color="auto" w:fill="auto"/>
          </w:tcPr>
          <w:p w:rsidR="00BF7FFC" w:rsidRPr="00610F71" w:rsidRDefault="00BF7FFC" w:rsidP="00404459">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404459">
            <w:pPr>
              <w:spacing w:before="40" w:after="120"/>
              <w:ind w:left="57" w:right="57"/>
              <w:rPr>
                <w:sz w:val="18"/>
                <w:szCs w:val="18"/>
              </w:rPr>
            </w:pPr>
          </w:p>
        </w:tc>
        <w:tc>
          <w:tcPr>
            <w:tcW w:w="2484" w:type="dxa"/>
            <w:shd w:val="clear" w:color="auto" w:fill="auto"/>
          </w:tcPr>
          <w:p w:rsidR="00BF7FFC" w:rsidRPr="002C2CF3" w:rsidRDefault="00BF7FFC" w:rsidP="0039341D">
            <w:pPr>
              <w:spacing w:before="60" w:after="60"/>
              <w:ind w:left="57" w:right="57"/>
              <w:rPr>
                <w:sz w:val="18"/>
                <w:szCs w:val="18"/>
                <w:lang w:val="fr-FR"/>
              </w:rPr>
            </w:pPr>
            <w:r w:rsidRPr="002C2CF3">
              <w:rPr>
                <w:sz w:val="18"/>
                <w:szCs w:val="18"/>
                <w:lang w:val="fr-FR"/>
              </w:rPr>
              <w:t xml:space="preserve">Données concluantes mais </w:t>
            </w:r>
            <w:r w:rsidRPr="00404459">
              <w:rPr>
                <w:spacing w:val="-2"/>
                <w:sz w:val="18"/>
                <w:szCs w:val="18"/>
                <w:lang w:val="fr-FR"/>
              </w:rPr>
              <w:t>insuffisantes pour la classification</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3.2</w:t>
            </w:r>
          </w:p>
        </w:tc>
        <w:tc>
          <w:tcPr>
            <w:tcW w:w="1893" w:type="dxa"/>
            <w:shd w:val="clear" w:color="auto" w:fill="auto"/>
          </w:tcPr>
          <w:p w:rsidR="00BF7FFC" w:rsidRPr="002C2CF3" w:rsidRDefault="00A44F4F" w:rsidP="005F58DB">
            <w:pPr>
              <w:spacing w:before="60" w:after="60"/>
              <w:ind w:left="57" w:right="57"/>
              <w:rPr>
                <w:b/>
                <w:sz w:val="18"/>
                <w:szCs w:val="18"/>
              </w:rPr>
            </w:pPr>
            <w:r>
              <w:rPr>
                <w:b/>
                <w:sz w:val="18"/>
                <w:szCs w:val="18"/>
                <w:lang w:val="fr-FR"/>
              </w:rPr>
              <w:t>Corrosion/</w:t>
            </w:r>
            <w:r>
              <w:rPr>
                <w:b/>
                <w:sz w:val="18"/>
                <w:szCs w:val="18"/>
                <w:lang w:val="fr-FR"/>
              </w:rPr>
              <w:br/>
              <w:t>irritatio</w:t>
            </w:r>
            <w:r w:rsidR="00BF7FFC" w:rsidRPr="002C2CF3">
              <w:rPr>
                <w:b/>
                <w:sz w:val="18"/>
                <w:szCs w:val="18"/>
                <w:lang w:val="fr-FR"/>
              </w:rPr>
              <w:t>n cutanée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Données concluantes mais insuffisantes pour la classification</w:t>
            </w:r>
          </w:p>
        </w:tc>
      </w:tr>
      <w:tr w:rsidR="00BF7FFC" w:rsidRPr="002C2CF3" w:rsidTr="00F20BFA">
        <w:tc>
          <w:tcPr>
            <w:tcW w:w="857" w:type="dxa"/>
            <w:tcBorders>
              <w:bottom w:val="single" w:sz="4" w:space="0" w:color="auto"/>
            </w:tcBorders>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3.3</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Lésions oculaires graves/irritation oculaire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tcBorders>
              <w:top w:val="single" w:sz="4" w:space="0" w:color="auto"/>
              <w:bottom w:val="nil"/>
            </w:tcBorders>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3.4</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Sensibilisation respiratoire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Absence de données</w:t>
            </w:r>
          </w:p>
        </w:tc>
      </w:tr>
      <w:tr w:rsidR="00BF7FFC" w:rsidRPr="002C2CF3" w:rsidTr="00F20BFA">
        <w:tc>
          <w:tcPr>
            <w:tcW w:w="857" w:type="dxa"/>
            <w:tcBorders>
              <w:top w:val="nil"/>
            </w:tcBorders>
            <w:shd w:val="clear" w:color="auto" w:fill="auto"/>
          </w:tcPr>
          <w:p w:rsidR="00BF7FFC" w:rsidRPr="002C2CF3" w:rsidRDefault="00BF7FFC" w:rsidP="005F58DB">
            <w:pPr>
              <w:spacing w:before="40" w:after="120"/>
              <w:ind w:left="57" w:right="57"/>
              <w:rPr>
                <w:b/>
                <w:sz w:val="18"/>
                <w:szCs w:val="18"/>
                <w:lang w:eastAsia="da-DK"/>
              </w:rPr>
            </w:pP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Sensibilisation cutanée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3.5</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Mutagénicité sur les cellules germinales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3.6</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Cancérogénicité</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3.7</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 xml:space="preserve">Toxicité pour la reproduction </w:t>
            </w:r>
          </w:p>
        </w:tc>
        <w:tc>
          <w:tcPr>
            <w:tcW w:w="1831" w:type="dxa"/>
            <w:shd w:val="clear" w:color="auto" w:fill="auto"/>
          </w:tcPr>
          <w:p w:rsidR="00BF7FFC" w:rsidRPr="002C2CF3" w:rsidRDefault="00A44F4F" w:rsidP="005F58DB">
            <w:pPr>
              <w:spacing w:before="60" w:after="60"/>
              <w:ind w:left="57" w:right="57"/>
              <w:rPr>
                <w:sz w:val="18"/>
                <w:szCs w:val="18"/>
                <w:lang w:val="fr-FR"/>
              </w:rPr>
            </w:pPr>
            <w:r>
              <w:rPr>
                <w:sz w:val="18"/>
                <w:szCs w:val="18"/>
                <w:lang w:val="fr-FR"/>
              </w:rPr>
              <w:t>Repr. </w:t>
            </w:r>
            <w:r w:rsidR="00BF7FFC" w:rsidRPr="002C2CF3">
              <w:rPr>
                <w:sz w:val="18"/>
                <w:szCs w:val="18"/>
                <w:lang w:val="fr-FR"/>
              </w:rPr>
              <w:t>1B</w:t>
            </w:r>
            <w:r>
              <w:rPr>
                <w:sz w:val="18"/>
                <w:szCs w:val="18"/>
                <w:lang w:val="fr-FR"/>
              </w:rPr>
              <w:t> </w:t>
            </w:r>
            <w:r w:rsidR="00BF7FFC" w:rsidRPr="002C2CF3">
              <w:rPr>
                <w:sz w:val="18"/>
                <w:szCs w:val="18"/>
                <w:lang w:val="fr-FR"/>
              </w:rPr>
              <w:t>; H360</w:t>
            </w:r>
            <w:r w:rsidR="009D42E6">
              <w:rPr>
                <w:sz w:val="18"/>
                <w:szCs w:val="18"/>
                <w:lang w:val="fr-FR"/>
              </w:rPr>
              <w:t xml:space="preserve"> (</w:t>
            </w:r>
            <w:r w:rsidR="00BF7FFC" w:rsidRPr="002C2CF3">
              <w:rPr>
                <w:sz w:val="18"/>
                <w:szCs w:val="18"/>
                <w:lang w:val="fr-FR"/>
              </w:rPr>
              <w:t>susceptible de nuire à la fertilité ou au fœtus)</w:t>
            </w:r>
          </w:p>
        </w:tc>
        <w:tc>
          <w:tcPr>
            <w:tcW w:w="1439" w:type="dxa"/>
            <w:shd w:val="clear" w:color="auto" w:fill="auto"/>
          </w:tcPr>
          <w:p w:rsidR="00BF7FFC" w:rsidRPr="002C2CF3" w:rsidRDefault="00BF7FFC" w:rsidP="005F58DB">
            <w:pPr>
              <w:spacing w:before="40" w:after="120"/>
              <w:ind w:left="57" w:right="57"/>
              <w:rPr>
                <w:sz w:val="18"/>
                <w:szCs w:val="18"/>
                <w:lang w:val="fr-FR"/>
              </w:rPr>
            </w:pPr>
          </w:p>
        </w:tc>
        <w:tc>
          <w:tcPr>
            <w:tcW w:w="2484" w:type="dxa"/>
            <w:shd w:val="clear" w:color="auto" w:fill="auto"/>
          </w:tcPr>
          <w:p w:rsidR="00BF7FFC" w:rsidRPr="002C2CF3" w:rsidRDefault="00BF7FFC" w:rsidP="005F58DB">
            <w:pPr>
              <w:spacing w:before="60" w:after="60"/>
              <w:ind w:left="57" w:right="57"/>
              <w:rPr>
                <w:sz w:val="18"/>
                <w:szCs w:val="18"/>
                <w:lang w:val="fr-FR"/>
              </w:rPr>
            </w:pP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3.8</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Toxici</w:t>
            </w:r>
            <w:r w:rsidR="00BF2DBE">
              <w:rPr>
                <w:b/>
                <w:sz w:val="18"/>
                <w:szCs w:val="18"/>
                <w:lang w:val="fr-FR"/>
              </w:rPr>
              <w:t>té</w:t>
            </w:r>
            <w:r w:rsidR="00CF52D0">
              <w:rPr>
                <w:b/>
                <w:sz w:val="18"/>
                <w:szCs w:val="18"/>
                <w:lang w:val="fr-FR"/>
              </w:rPr>
              <w:t xml:space="preserve"> pour certains organes cibles − </w:t>
            </w:r>
            <w:r w:rsidRPr="002C2CF3">
              <w:rPr>
                <w:b/>
                <w:sz w:val="18"/>
                <w:szCs w:val="18"/>
                <w:lang w:val="fr-FR"/>
              </w:rPr>
              <w:t>exposition unique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3.9</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Toxici</w:t>
            </w:r>
            <w:r w:rsidR="00BF2DBE">
              <w:rPr>
                <w:b/>
                <w:sz w:val="18"/>
                <w:szCs w:val="18"/>
                <w:lang w:val="fr-FR"/>
              </w:rPr>
              <w:t>té</w:t>
            </w:r>
            <w:r w:rsidR="00CF52D0">
              <w:rPr>
                <w:b/>
                <w:sz w:val="18"/>
                <w:szCs w:val="18"/>
                <w:lang w:val="fr-FR"/>
              </w:rPr>
              <w:t xml:space="preserve"> pour certains organes cibles − </w:t>
            </w:r>
            <w:r w:rsidRPr="002C2CF3">
              <w:rPr>
                <w:b/>
                <w:sz w:val="18"/>
                <w:szCs w:val="18"/>
                <w:lang w:val="fr-FR"/>
              </w:rPr>
              <w:t>expositions répétées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Données concluantes mais insuffisantes pour la classification</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3.10</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Danger par aspiration</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Absence de données</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4.1</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Dangers pour le milieu aquatique</w:t>
            </w:r>
          </w:p>
        </w:tc>
        <w:tc>
          <w:tcPr>
            <w:tcW w:w="1831" w:type="dxa"/>
            <w:shd w:val="clear" w:color="auto" w:fill="auto"/>
          </w:tcPr>
          <w:p w:rsidR="00BF7FFC" w:rsidRPr="00610F71" w:rsidRDefault="00A44F4F" w:rsidP="005F58DB">
            <w:pPr>
              <w:spacing w:before="60" w:after="60"/>
              <w:ind w:left="57" w:right="57"/>
              <w:rPr>
                <w:sz w:val="18"/>
                <w:szCs w:val="18"/>
                <w:lang w:val="fr-FR"/>
              </w:rPr>
            </w:pPr>
            <w:r>
              <w:rPr>
                <w:sz w:val="18"/>
                <w:szCs w:val="18"/>
                <w:lang w:val="fr-FR"/>
              </w:rPr>
              <w:t>Aiguë </w:t>
            </w:r>
            <w:r w:rsidR="00BF7FFC" w:rsidRPr="002C2CF3">
              <w:rPr>
                <w:sz w:val="18"/>
                <w:szCs w:val="18"/>
                <w:lang w:val="fr-FR"/>
              </w:rPr>
              <w:t>1</w:t>
            </w:r>
            <w:r>
              <w:rPr>
                <w:sz w:val="18"/>
                <w:szCs w:val="18"/>
                <w:lang w:val="fr-FR"/>
              </w:rPr>
              <w:t> </w:t>
            </w:r>
            <w:r w:rsidR="00BF7FFC" w:rsidRPr="002C2CF3">
              <w:rPr>
                <w:sz w:val="18"/>
                <w:szCs w:val="18"/>
                <w:lang w:val="fr-FR"/>
              </w:rPr>
              <w:t>; H400</w:t>
            </w:r>
          </w:p>
          <w:p w:rsidR="00BF7FFC" w:rsidRPr="00610F71" w:rsidRDefault="00A44F4F" w:rsidP="005F58DB">
            <w:pPr>
              <w:spacing w:before="60" w:after="60"/>
              <w:ind w:left="57" w:right="57"/>
              <w:rPr>
                <w:sz w:val="18"/>
                <w:szCs w:val="18"/>
                <w:lang w:val="fr-FR"/>
              </w:rPr>
            </w:pPr>
            <w:r>
              <w:rPr>
                <w:sz w:val="18"/>
                <w:szCs w:val="18"/>
                <w:lang w:val="fr-FR"/>
              </w:rPr>
              <w:t>Chronique </w:t>
            </w:r>
            <w:r w:rsidR="00BF7FFC" w:rsidRPr="002C2CF3">
              <w:rPr>
                <w:sz w:val="18"/>
                <w:szCs w:val="18"/>
                <w:lang w:val="fr-FR"/>
              </w:rPr>
              <w:t>1</w:t>
            </w:r>
            <w:r>
              <w:rPr>
                <w:sz w:val="18"/>
                <w:szCs w:val="18"/>
                <w:lang w:val="fr-FR"/>
              </w:rPr>
              <w:t> </w:t>
            </w:r>
            <w:r w:rsidR="00BF7FFC" w:rsidRPr="002C2CF3">
              <w:rPr>
                <w:sz w:val="18"/>
                <w:szCs w:val="18"/>
                <w:lang w:val="fr-FR"/>
              </w:rPr>
              <w:t>; H410</w:t>
            </w:r>
          </w:p>
        </w:tc>
        <w:tc>
          <w:tcPr>
            <w:tcW w:w="1439" w:type="dxa"/>
            <w:shd w:val="clear" w:color="auto" w:fill="auto"/>
          </w:tcPr>
          <w:p w:rsidR="00BF7FFC" w:rsidRPr="002C2CF3" w:rsidRDefault="00A44F4F" w:rsidP="005F58DB">
            <w:pPr>
              <w:spacing w:before="40" w:after="120"/>
              <w:ind w:left="57" w:right="57"/>
              <w:rPr>
                <w:sz w:val="18"/>
                <w:szCs w:val="18"/>
              </w:rPr>
            </w:pPr>
            <w:r>
              <w:rPr>
                <w:sz w:val="18"/>
                <w:szCs w:val="18"/>
                <w:lang w:val="fr-FR"/>
              </w:rPr>
              <w:t>M = </w:t>
            </w:r>
            <w:r w:rsidR="00BF7FFC" w:rsidRPr="002C2CF3">
              <w:rPr>
                <w:sz w:val="18"/>
                <w:szCs w:val="18"/>
                <w:lang w:val="fr-FR"/>
              </w:rPr>
              <w:t>1</w:t>
            </w:r>
          </w:p>
          <w:p w:rsidR="00BF7FFC" w:rsidRPr="002C2CF3" w:rsidRDefault="00A44F4F" w:rsidP="005F58DB">
            <w:pPr>
              <w:spacing w:before="40" w:after="120"/>
              <w:ind w:left="57" w:right="57"/>
              <w:rPr>
                <w:sz w:val="18"/>
                <w:szCs w:val="18"/>
              </w:rPr>
            </w:pPr>
            <w:r>
              <w:rPr>
                <w:sz w:val="18"/>
                <w:szCs w:val="18"/>
                <w:lang w:val="fr-FR"/>
              </w:rPr>
              <w:t>M = </w:t>
            </w:r>
            <w:r w:rsidR="00BF7FFC" w:rsidRPr="002C2CF3">
              <w:rPr>
                <w:sz w:val="18"/>
                <w:szCs w:val="18"/>
                <w:lang w:val="fr-FR"/>
              </w:rPr>
              <w:t>1</w:t>
            </w:r>
          </w:p>
        </w:tc>
        <w:tc>
          <w:tcPr>
            <w:tcW w:w="2484" w:type="dxa"/>
            <w:shd w:val="clear" w:color="auto" w:fill="auto"/>
          </w:tcPr>
          <w:p w:rsidR="00BF7FFC" w:rsidRPr="00F53E00" w:rsidRDefault="00BF7FFC" w:rsidP="005F58DB">
            <w:pPr>
              <w:spacing w:before="60" w:after="60"/>
              <w:ind w:left="57" w:right="57"/>
              <w:rPr>
                <w:sz w:val="18"/>
                <w:szCs w:val="18"/>
                <w:lang w:val="fr-FR"/>
              </w:rPr>
            </w:pP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4.2</w:t>
            </w:r>
          </w:p>
        </w:tc>
        <w:tc>
          <w:tcPr>
            <w:tcW w:w="1893" w:type="dxa"/>
            <w:shd w:val="clear" w:color="auto" w:fill="auto"/>
          </w:tcPr>
          <w:p w:rsidR="00BF7FFC" w:rsidRPr="002C2CF3" w:rsidRDefault="00BF7FFC" w:rsidP="007762E8">
            <w:pPr>
              <w:spacing w:before="60" w:after="60"/>
              <w:ind w:left="57" w:right="57"/>
              <w:rPr>
                <w:b/>
                <w:sz w:val="18"/>
                <w:szCs w:val="18"/>
                <w:lang w:val="fr-FR"/>
              </w:rPr>
            </w:pPr>
            <w:r w:rsidRPr="002C2CF3">
              <w:rPr>
                <w:b/>
                <w:sz w:val="18"/>
                <w:szCs w:val="18"/>
                <w:lang w:val="fr-FR"/>
              </w:rPr>
              <w:t>Dangers pour la</w:t>
            </w:r>
            <w:r w:rsidR="007762E8">
              <w:rPr>
                <w:b/>
                <w:sz w:val="18"/>
                <w:szCs w:val="18"/>
                <w:lang w:val="fr-FR"/>
              </w:rPr>
              <w:t> </w:t>
            </w:r>
            <w:r w:rsidRPr="002C2CF3">
              <w:rPr>
                <w:b/>
                <w:sz w:val="18"/>
                <w:szCs w:val="18"/>
                <w:lang w:val="fr-FR"/>
              </w:rPr>
              <w:t>couche d’ozone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Données concluantes mais insuffisantes pour la classification</w:t>
            </w:r>
          </w:p>
        </w:tc>
      </w:tr>
    </w:tbl>
    <w:p w:rsidR="001D4BCD" w:rsidRDefault="00A44F4F" w:rsidP="00A44F4F">
      <w:pPr>
        <w:pStyle w:val="H23G"/>
        <w:rPr>
          <w:lang w:val="fr-FR"/>
        </w:rPr>
      </w:pPr>
      <w:r>
        <w:rPr>
          <w:lang w:val="fr-FR"/>
        </w:rPr>
        <w:tab/>
      </w:r>
      <w:r>
        <w:rPr>
          <w:lang w:val="fr-FR"/>
        </w:rPr>
        <w:tab/>
        <w:t>Étiquetage proposé pour le DBP</w:t>
      </w:r>
    </w:p>
    <w:p w:rsidR="00A44F4F" w:rsidRPr="00B92F8A" w:rsidRDefault="00A44F4F" w:rsidP="007A02CB">
      <w:pPr>
        <w:pStyle w:val="SingleTxtG"/>
        <w:ind w:left="1701"/>
        <w:rPr>
          <w:lang w:val="fr-FR"/>
        </w:rPr>
      </w:pPr>
      <w:r w:rsidRPr="00BF18A5">
        <w:rPr>
          <w:b/>
          <w:lang w:val="fr-FR"/>
        </w:rPr>
        <w:t>Code(s) des pictogrammes</w:t>
      </w:r>
      <w:r w:rsidR="007A02CB">
        <w:rPr>
          <w:b/>
          <w:lang w:val="fr-FR"/>
        </w:rPr>
        <w:t> </w:t>
      </w:r>
      <w:r w:rsidRPr="00BF18A5">
        <w:rPr>
          <w:b/>
          <w:lang w:val="fr-FR"/>
        </w:rPr>
        <w:t>:</w:t>
      </w:r>
      <w:r>
        <w:rPr>
          <w:lang w:val="fr-FR"/>
        </w:rPr>
        <w:t xml:space="preserve"> GHS08 (danger pour la santé), GHS09 (environnement)</w:t>
      </w:r>
    </w:p>
    <w:p w:rsidR="00A44F4F" w:rsidRPr="00B92F8A" w:rsidRDefault="00A44F4F" w:rsidP="00A44F4F">
      <w:pPr>
        <w:pStyle w:val="SingleTxtG"/>
        <w:ind w:left="1701"/>
        <w:rPr>
          <w:lang w:val="fr-FR"/>
        </w:rPr>
      </w:pPr>
      <w:r w:rsidRPr="00BF18A5">
        <w:rPr>
          <w:b/>
          <w:lang w:val="fr-FR"/>
        </w:rPr>
        <w:t>Mention d</w:t>
      </w:r>
      <w:r>
        <w:rPr>
          <w:b/>
          <w:lang w:val="fr-FR"/>
        </w:rPr>
        <w:t>’</w:t>
      </w:r>
      <w:r w:rsidR="007A02CB">
        <w:rPr>
          <w:b/>
          <w:lang w:val="fr-FR"/>
        </w:rPr>
        <w:t>avertissement </w:t>
      </w:r>
      <w:r w:rsidRPr="00BF18A5">
        <w:rPr>
          <w:b/>
          <w:lang w:val="fr-FR"/>
        </w:rPr>
        <w:t>:</w:t>
      </w:r>
      <w:r w:rsidR="005F5203">
        <w:rPr>
          <w:lang w:val="fr-FR"/>
        </w:rPr>
        <w:t xml:space="preserve"> D</w:t>
      </w:r>
      <w:r>
        <w:rPr>
          <w:lang w:val="fr-FR"/>
        </w:rPr>
        <w:t>anger</w:t>
      </w:r>
    </w:p>
    <w:p w:rsidR="00A44F4F" w:rsidRPr="00BF18A5" w:rsidRDefault="00A44F4F" w:rsidP="007A02CB">
      <w:pPr>
        <w:pStyle w:val="SingleTxtG"/>
        <w:ind w:left="1701"/>
        <w:rPr>
          <w:b/>
          <w:lang w:val="fr-FR"/>
        </w:rPr>
      </w:pPr>
      <w:r w:rsidRPr="00BF18A5">
        <w:rPr>
          <w:b/>
          <w:lang w:val="fr-FR"/>
        </w:rPr>
        <w:t>Code(s) de(s) mention(s) de danger</w:t>
      </w:r>
      <w:r w:rsidR="007A02CB">
        <w:rPr>
          <w:b/>
          <w:lang w:val="fr-FR"/>
        </w:rPr>
        <w:t> :</w:t>
      </w:r>
    </w:p>
    <w:p w:rsidR="00A44F4F" w:rsidRPr="00B92F8A" w:rsidRDefault="00A44F4F" w:rsidP="00015ED2">
      <w:pPr>
        <w:pStyle w:val="SingleTxtG"/>
        <w:ind w:left="2552" w:hanging="851"/>
        <w:rPr>
          <w:lang w:val="fr-FR"/>
        </w:rPr>
      </w:pPr>
      <w:r>
        <w:rPr>
          <w:lang w:val="fr-FR"/>
        </w:rPr>
        <w:t>H360</w:t>
      </w:r>
      <w:r w:rsidR="007A02CB">
        <w:rPr>
          <w:lang w:val="fr-FR"/>
        </w:rPr>
        <w:t> </w:t>
      </w:r>
      <w:r>
        <w:rPr>
          <w:lang w:val="fr-FR"/>
        </w:rPr>
        <w:t xml:space="preserve">: </w:t>
      </w:r>
      <w:r w:rsidR="00015ED2">
        <w:rPr>
          <w:lang w:val="fr-FR"/>
        </w:rPr>
        <w:tab/>
      </w:r>
      <w:r>
        <w:rPr>
          <w:lang w:val="fr-FR"/>
        </w:rPr>
        <w:t>susceptible de nuire à la fertilité ou au fœtus</w:t>
      </w:r>
    </w:p>
    <w:p w:rsidR="00A44F4F" w:rsidRPr="00B92F8A" w:rsidRDefault="00A44F4F" w:rsidP="00015ED2">
      <w:pPr>
        <w:pStyle w:val="SingleTxtG"/>
        <w:ind w:left="2552" w:hanging="851"/>
        <w:rPr>
          <w:lang w:val="fr-FR"/>
        </w:rPr>
      </w:pPr>
      <w:r>
        <w:rPr>
          <w:lang w:val="fr-FR"/>
        </w:rPr>
        <w:t>H410</w:t>
      </w:r>
      <w:r w:rsidR="007A02CB">
        <w:rPr>
          <w:lang w:val="fr-FR"/>
        </w:rPr>
        <w:t> </w:t>
      </w:r>
      <w:r>
        <w:rPr>
          <w:lang w:val="fr-FR"/>
        </w:rPr>
        <w:t xml:space="preserve">: </w:t>
      </w:r>
      <w:r w:rsidR="00015ED2">
        <w:rPr>
          <w:lang w:val="fr-FR"/>
        </w:rPr>
        <w:tab/>
      </w:r>
      <w:r>
        <w:rPr>
          <w:lang w:val="fr-FR"/>
        </w:rPr>
        <w:t>Très toxique pour les organismes aquatiques, entraîne des effets néfastes à long terme</w:t>
      </w:r>
    </w:p>
    <w:p w:rsidR="00A44F4F" w:rsidRPr="00BF18A5" w:rsidRDefault="00A44F4F" w:rsidP="003E22ED">
      <w:pPr>
        <w:pStyle w:val="SingleTxtG"/>
        <w:ind w:left="1701"/>
        <w:rPr>
          <w:b/>
        </w:rPr>
      </w:pPr>
      <w:r w:rsidRPr="00BF18A5">
        <w:rPr>
          <w:b/>
          <w:lang w:val="fr-FR"/>
        </w:rPr>
        <w:t>Informations supplémentaires</w:t>
      </w:r>
      <w:r w:rsidR="008579DB">
        <w:rPr>
          <w:b/>
          <w:lang w:val="fr-FR"/>
        </w:rPr>
        <w:t> </w:t>
      </w:r>
      <w:r w:rsidRPr="00BF18A5">
        <w:rPr>
          <w:b/>
          <w:lang w:val="fr-FR"/>
        </w:rPr>
        <w:t xml:space="preserve">: </w:t>
      </w:r>
    </w:p>
    <w:p w:rsidR="003A23B4" w:rsidRDefault="00A44F4F" w:rsidP="005F5203">
      <w:pPr>
        <w:pStyle w:val="SingleTxtG"/>
        <w:ind w:left="1701" w:firstLine="567"/>
        <w:rPr>
          <w:lang w:val="fr-FR"/>
        </w:rPr>
      </w:pPr>
      <w:r>
        <w:rPr>
          <w:lang w:val="fr-FR"/>
        </w:rPr>
        <w:t>[Aucune recommandation]</w:t>
      </w:r>
      <w:r w:rsidR="007762E8">
        <w:rPr>
          <w:lang w:val="fr-FR"/>
        </w:rPr>
        <w:t>.</w:t>
      </w:r>
    </w:p>
    <w:p w:rsidR="006177CA" w:rsidRPr="006177CA" w:rsidRDefault="006177CA" w:rsidP="006177C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177CA" w:rsidRPr="006177CA" w:rsidSect="0022288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8F" w:rsidRDefault="00677C8F" w:rsidP="00F95C08">
      <w:pPr>
        <w:spacing w:line="240" w:lineRule="auto"/>
      </w:pPr>
    </w:p>
  </w:endnote>
  <w:endnote w:type="continuationSeparator" w:id="0">
    <w:p w:rsidR="00677C8F" w:rsidRPr="00AC3823" w:rsidRDefault="00677C8F" w:rsidP="00AC3823">
      <w:pPr>
        <w:pStyle w:val="Footer"/>
      </w:pPr>
    </w:p>
  </w:endnote>
  <w:endnote w:type="continuationNotice" w:id="1">
    <w:p w:rsidR="00677C8F" w:rsidRDefault="00677C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F" w:rsidRPr="00222887" w:rsidRDefault="00677C8F" w:rsidP="00222887">
    <w:pPr>
      <w:pStyle w:val="Footer"/>
      <w:tabs>
        <w:tab w:val="right" w:pos="9638"/>
      </w:tabs>
    </w:pPr>
    <w:r w:rsidRPr="00222887">
      <w:rPr>
        <w:b/>
        <w:sz w:val="18"/>
      </w:rPr>
      <w:fldChar w:fldCharType="begin"/>
    </w:r>
    <w:r w:rsidRPr="00222887">
      <w:rPr>
        <w:b/>
        <w:sz w:val="18"/>
      </w:rPr>
      <w:instrText xml:space="preserve"> PAGE  \* MERGEFORMAT </w:instrText>
    </w:r>
    <w:r w:rsidRPr="00222887">
      <w:rPr>
        <w:b/>
        <w:sz w:val="18"/>
      </w:rPr>
      <w:fldChar w:fldCharType="separate"/>
    </w:r>
    <w:r w:rsidR="0042576B">
      <w:rPr>
        <w:b/>
        <w:noProof/>
        <w:sz w:val="18"/>
      </w:rPr>
      <w:t>10</w:t>
    </w:r>
    <w:r w:rsidRPr="00222887">
      <w:rPr>
        <w:b/>
        <w:sz w:val="18"/>
      </w:rPr>
      <w:fldChar w:fldCharType="end"/>
    </w:r>
    <w:r>
      <w:rPr>
        <w:b/>
        <w:sz w:val="18"/>
      </w:rPr>
      <w:tab/>
    </w:r>
    <w:r>
      <w:t>GE.17-05101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F" w:rsidRPr="00222887" w:rsidRDefault="00677C8F" w:rsidP="00222887">
    <w:pPr>
      <w:pStyle w:val="Footer"/>
      <w:tabs>
        <w:tab w:val="right" w:pos="9638"/>
      </w:tabs>
      <w:rPr>
        <w:b/>
        <w:sz w:val="18"/>
      </w:rPr>
    </w:pPr>
    <w:r>
      <w:t>GE.17-05101</w:t>
    </w:r>
    <w:r>
      <w:tab/>
    </w:r>
    <w:r w:rsidRPr="00222887">
      <w:rPr>
        <w:b/>
        <w:sz w:val="18"/>
      </w:rPr>
      <w:fldChar w:fldCharType="begin"/>
    </w:r>
    <w:r w:rsidRPr="00222887">
      <w:rPr>
        <w:b/>
        <w:sz w:val="18"/>
      </w:rPr>
      <w:instrText xml:space="preserve"> PAGE  \* MERGEFORMAT </w:instrText>
    </w:r>
    <w:r w:rsidRPr="00222887">
      <w:rPr>
        <w:b/>
        <w:sz w:val="18"/>
      </w:rPr>
      <w:fldChar w:fldCharType="separate"/>
    </w:r>
    <w:r w:rsidR="0042576B">
      <w:rPr>
        <w:b/>
        <w:noProof/>
        <w:sz w:val="18"/>
      </w:rPr>
      <w:t>11</w:t>
    </w:r>
    <w:r w:rsidRPr="0022288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F" w:rsidRPr="00222887" w:rsidRDefault="00677C8F" w:rsidP="0022288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86624C7" wp14:editId="319DE7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17-05101  (F)</w:t>
    </w:r>
    <w:r w:rsidR="00536AA4">
      <w:rPr>
        <w:sz w:val="20"/>
      </w:rPr>
      <w:t xml:space="preserve">    040517    </w:t>
    </w:r>
    <w:r w:rsidR="008A4647">
      <w:rPr>
        <w:sz w:val="20"/>
      </w:rPr>
      <w:t>09</w:t>
    </w:r>
    <w:r w:rsidR="00536AA4">
      <w:rPr>
        <w:sz w:val="20"/>
      </w:rPr>
      <w:t>0517</w:t>
    </w:r>
    <w:r>
      <w:rPr>
        <w:sz w:val="20"/>
      </w:rPr>
      <w:br/>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8F" w:rsidRPr="00AC3823" w:rsidRDefault="00677C8F" w:rsidP="00AC3823">
      <w:pPr>
        <w:pStyle w:val="Footer"/>
        <w:tabs>
          <w:tab w:val="right" w:pos="2155"/>
        </w:tabs>
        <w:spacing w:after="80" w:line="240" w:lineRule="atLeast"/>
        <w:ind w:left="680"/>
        <w:rPr>
          <w:u w:val="single"/>
        </w:rPr>
      </w:pPr>
      <w:r>
        <w:rPr>
          <w:u w:val="single"/>
        </w:rPr>
        <w:tab/>
      </w:r>
    </w:p>
  </w:footnote>
  <w:footnote w:type="continuationSeparator" w:id="0">
    <w:p w:rsidR="00677C8F" w:rsidRPr="00AC3823" w:rsidRDefault="00677C8F" w:rsidP="00AC3823">
      <w:pPr>
        <w:pStyle w:val="Footer"/>
        <w:tabs>
          <w:tab w:val="right" w:pos="2155"/>
        </w:tabs>
        <w:spacing w:after="80" w:line="240" w:lineRule="atLeast"/>
        <w:ind w:left="680"/>
        <w:rPr>
          <w:u w:val="single"/>
        </w:rPr>
      </w:pPr>
      <w:r>
        <w:rPr>
          <w:u w:val="single"/>
        </w:rPr>
        <w:tab/>
      </w:r>
    </w:p>
  </w:footnote>
  <w:footnote w:type="continuationNotice" w:id="1">
    <w:p w:rsidR="00677C8F" w:rsidRPr="00AC3823" w:rsidRDefault="00677C8F">
      <w:pPr>
        <w:spacing w:line="240" w:lineRule="auto"/>
        <w:rPr>
          <w:sz w:val="2"/>
          <w:szCs w:val="2"/>
        </w:rPr>
      </w:pPr>
    </w:p>
  </w:footnote>
  <w:footnote w:id="2">
    <w:p w:rsidR="00677C8F" w:rsidRPr="00222887" w:rsidRDefault="00677C8F">
      <w:pPr>
        <w:pStyle w:val="FootnoteText"/>
      </w:pPr>
      <w:r>
        <w:rPr>
          <w:rStyle w:val="FootnoteReference"/>
        </w:rPr>
        <w:tab/>
      </w:r>
      <w:r w:rsidRPr="00222887">
        <w:rPr>
          <w:rStyle w:val="FootnoteReference"/>
          <w:sz w:val="20"/>
          <w:vertAlign w:val="baseline"/>
        </w:rPr>
        <w:t>*</w:t>
      </w:r>
      <w:r>
        <w:rPr>
          <w:rStyle w:val="FootnoteReference"/>
          <w:sz w:val="20"/>
          <w:vertAlign w:val="baseline"/>
        </w:rPr>
        <w:tab/>
      </w:r>
      <w:r>
        <w:rPr>
          <w:lang w:val="fr-FR"/>
        </w:rPr>
        <w:t>Conformément au programme de travail du Sous</w:t>
      </w:r>
      <w:r>
        <w:rPr>
          <w:lang w:val="fr-FR"/>
        </w:rPr>
        <w:noBreakHyphen/>
        <w:t>Comité pour la période 2017</w:t>
      </w:r>
      <w:r>
        <w:rPr>
          <w:lang w:val="fr-FR"/>
        </w:rPr>
        <w:noBreakHyphen/>
        <w:t xml:space="preserve">2018, approuvé par </w:t>
      </w:r>
      <w:r>
        <w:rPr>
          <w:lang w:val="fr-FR"/>
        </w:rPr>
        <w:br/>
        <w:t>le Comité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F" w:rsidRPr="00222887" w:rsidRDefault="0042576B">
    <w:pPr>
      <w:pStyle w:val="Header"/>
    </w:pPr>
    <w:r>
      <w:fldChar w:fldCharType="begin"/>
    </w:r>
    <w:r>
      <w:instrText xml:space="preserve"> TITLE  \* MERGEFORMAT </w:instrText>
    </w:r>
    <w:r>
      <w:fldChar w:fldCharType="separate"/>
    </w:r>
    <w:r>
      <w:t>ST/SG/AC.10/C.3/2017/7</w:t>
    </w:r>
    <w:r>
      <w:fldChar w:fldCharType="end"/>
    </w:r>
    <w:r w:rsidR="00677C8F">
      <w:br/>
    </w:r>
    <w:r>
      <w:fldChar w:fldCharType="begin"/>
    </w:r>
    <w:r>
      <w:instrText xml:space="preserve"> KEYWORDS  \* MERGEFORMAT </w:instrText>
    </w:r>
    <w:r>
      <w:fldChar w:fldCharType="separate"/>
    </w:r>
    <w:r>
      <w:t>ST/SG/AC.10/C.4/2017/1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F" w:rsidRPr="00222887" w:rsidRDefault="0042576B" w:rsidP="00222887">
    <w:pPr>
      <w:pStyle w:val="Header"/>
      <w:jc w:val="right"/>
    </w:pPr>
    <w:r>
      <w:fldChar w:fldCharType="begin"/>
    </w:r>
    <w:r>
      <w:instrText xml:space="preserve"> TITLE  \* MERGEFORMAT </w:instrText>
    </w:r>
    <w:r>
      <w:fldChar w:fldCharType="separate"/>
    </w:r>
    <w:r>
      <w:t>ST/SG/AC.10/C.3/2017/7</w:t>
    </w:r>
    <w:r>
      <w:fldChar w:fldCharType="end"/>
    </w:r>
    <w:r w:rsidR="00677C8F">
      <w:br/>
    </w:r>
    <w:r>
      <w:fldChar w:fldCharType="begin"/>
    </w:r>
    <w:r>
      <w:instrText xml:space="preserve"> KEYWORDS  \* MERGEFORMAT </w:instrText>
    </w:r>
    <w:r>
      <w:fldChar w:fldCharType="separate"/>
    </w:r>
    <w:r>
      <w:t>ST/SG/AC.10/C.4/2017/1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BC"/>
    <w:rsid w:val="00004FAA"/>
    <w:rsid w:val="00015ED2"/>
    <w:rsid w:val="00016E3C"/>
    <w:rsid w:val="0001797B"/>
    <w:rsid w:val="00017F94"/>
    <w:rsid w:val="000217F8"/>
    <w:rsid w:val="00022ED6"/>
    <w:rsid w:val="00023842"/>
    <w:rsid w:val="000305D3"/>
    <w:rsid w:val="000334F9"/>
    <w:rsid w:val="0007796D"/>
    <w:rsid w:val="000A2FA4"/>
    <w:rsid w:val="000B6CE9"/>
    <w:rsid w:val="000B7790"/>
    <w:rsid w:val="000C6894"/>
    <w:rsid w:val="000D273F"/>
    <w:rsid w:val="00110107"/>
    <w:rsid w:val="00111AC3"/>
    <w:rsid w:val="00111F2F"/>
    <w:rsid w:val="00112B8A"/>
    <w:rsid w:val="00132EA9"/>
    <w:rsid w:val="00136AA6"/>
    <w:rsid w:val="00140FD9"/>
    <w:rsid w:val="00143161"/>
    <w:rsid w:val="0014365E"/>
    <w:rsid w:val="00160C93"/>
    <w:rsid w:val="00160EB6"/>
    <w:rsid w:val="0016701C"/>
    <w:rsid w:val="00176178"/>
    <w:rsid w:val="0019638B"/>
    <w:rsid w:val="001D4BCD"/>
    <w:rsid w:val="001D5610"/>
    <w:rsid w:val="001E7C1E"/>
    <w:rsid w:val="001F525A"/>
    <w:rsid w:val="00201C00"/>
    <w:rsid w:val="00215C2C"/>
    <w:rsid w:val="00216B3B"/>
    <w:rsid w:val="002207FA"/>
    <w:rsid w:val="00222887"/>
    <w:rsid w:val="00223272"/>
    <w:rsid w:val="00224978"/>
    <w:rsid w:val="00225E38"/>
    <w:rsid w:val="00232AA6"/>
    <w:rsid w:val="0024779E"/>
    <w:rsid w:val="00283190"/>
    <w:rsid w:val="002832AC"/>
    <w:rsid w:val="002A0BFE"/>
    <w:rsid w:val="002A6DED"/>
    <w:rsid w:val="002B7319"/>
    <w:rsid w:val="002C0C99"/>
    <w:rsid w:val="002C2CF3"/>
    <w:rsid w:val="002D77C8"/>
    <w:rsid w:val="002D7C93"/>
    <w:rsid w:val="002E50B4"/>
    <w:rsid w:val="00304E11"/>
    <w:rsid w:val="00316E76"/>
    <w:rsid w:val="0035675C"/>
    <w:rsid w:val="00360DF7"/>
    <w:rsid w:val="0039341D"/>
    <w:rsid w:val="003A1DBE"/>
    <w:rsid w:val="003A23B4"/>
    <w:rsid w:val="003D123C"/>
    <w:rsid w:val="003D6BFC"/>
    <w:rsid w:val="003E22ED"/>
    <w:rsid w:val="003F4FF5"/>
    <w:rsid w:val="00404459"/>
    <w:rsid w:val="0042047D"/>
    <w:rsid w:val="0042576B"/>
    <w:rsid w:val="0043428E"/>
    <w:rsid w:val="00441C3B"/>
    <w:rsid w:val="00446FE5"/>
    <w:rsid w:val="00452396"/>
    <w:rsid w:val="00477510"/>
    <w:rsid w:val="0048241F"/>
    <w:rsid w:val="00483089"/>
    <w:rsid w:val="00492C9A"/>
    <w:rsid w:val="004D64DF"/>
    <w:rsid w:val="004E468C"/>
    <w:rsid w:val="00532557"/>
    <w:rsid w:val="00534088"/>
    <w:rsid w:val="00536AA4"/>
    <w:rsid w:val="005505B7"/>
    <w:rsid w:val="00551559"/>
    <w:rsid w:val="00573BE5"/>
    <w:rsid w:val="00586ED3"/>
    <w:rsid w:val="00596AA9"/>
    <w:rsid w:val="005A0AB6"/>
    <w:rsid w:val="005A2F99"/>
    <w:rsid w:val="005B638E"/>
    <w:rsid w:val="005D0B7D"/>
    <w:rsid w:val="005F32B9"/>
    <w:rsid w:val="005F5203"/>
    <w:rsid w:val="005F58DB"/>
    <w:rsid w:val="006026DE"/>
    <w:rsid w:val="00602DD1"/>
    <w:rsid w:val="00610F71"/>
    <w:rsid w:val="00614738"/>
    <w:rsid w:val="006177CA"/>
    <w:rsid w:val="006235F4"/>
    <w:rsid w:val="00633BA5"/>
    <w:rsid w:val="00671E51"/>
    <w:rsid w:val="00677C8F"/>
    <w:rsid w:val="0068456F"/>
    <w:rsid w:val="006A314C"/>
    <w:rsid w:val="006B32AC"/>
    <w:rsid w:val="006B36B7"/>
    <w:rsid w:val="006B45D6"/>
    <w:rsid w:val="006B4FC7"/>
    <w:rsid w:val="006C0176"/>
    <w:rsid w:val="006C7DA4"/>
    <w:rsid w:val="00701EBE"/>
    <w:rsid w:val="00710CD8"/>
    <w:rsid w:val="0071589C"/>
    <w:rsid w:val="0071601D"/>
    <w:rsid w:val="007244D8"/>
    <w:rsid w:val="00731D6F"/>
    <w:rsid w:val="00752572"/>
    <w:rsid w:val="00757BA8"/>
    <w:rsid w:val="007762E8"/>
    <w:rsid w:val="00783C78"/>
    <w:rsid w:val="007A02CB"/>
    <w:rsid w:val="007A62E6"/>
    <w:rsid w:val="007D2206"/>
    <w:rsid w:val="007E1DD5"/>
    <w:rsid w:val="007E3FFC"/>
    <w:rsid w:val="007E4A3D"/>
    <w:rsid w:val="008027F5"/>
    <w:rsid w:val="0080684C"/>
    <w:rsid w:val="00811509"/>
    <w:rsid w:val="0081581D"/>
    <w:rsid w:val="008579DB"/>
    <w:rsid w:val="00871C75"/>
    <w:rsid w:val="00875F34"/>
    <w:rsid w:val="00877619"/>
    <w:rsid w:val="008776DC"/>
    <w:rsid w:val="00891681"/>
    <w:rsid w:val="008A4647"/>
    <w:rsid w:val="008B40CD"/>
    <w:rsid w:val="008E01D6"/>
    <w:rsid w:val="009207D5"/>
    <w:rsid w:val="0093422E"/>
    <w:rsid w:val="00955772"/>
    <w:rsid w:val="009578B3"/>
    <w:rsid w:val="009614DB"/>
    <w:rsid w:val="009705C8"/>
    <w:rsid w:val="00975346"/>
    <w:rsid w:val="00986430"/>
    <w:rsid w:val="00996455"/>
    <w:rsid w:val="009C1CF4"/>
    <w:rsid w:val="009D42E6"/>
    <w:rsid w:val="00A172C3"/>
    <w:rsid w:val="00A30353"/>
    <w:rsid w:val="00A34476"/>
    <w:rsid w:val="00A35132"/>
    <w:rsid w:val="00A409B7"/>
    <w:rsid w:val="00A43CFF"/>
    <w:rsid w:val="00A44F4F"/>
    <w:rsid w:val="00A90EDE"/>
    <w:rsid w:val="00AC3823"/>
    <w:rsid w:val="00AD22EC"/>
    <w:rsid w:val="00AE323C"/>
    <w:rsid w:val="00B00181"/>
    <w:rsid w:val="00B00B0D"/>
    <w:rsid w:val="00B12337"/>
    <w:rsid w:val="00B51E17"/>
    <w:rsid w:val="00B74DA6"/>
    <w:rsid w:val="00B765F7"/>
    <w:rsid w:val="00B94DB6"/>
    <w:rsid w:val="00BA0CA9"/>
    <w:rsid w:val="00BB37ED"/>
    <w:rsid w:val="00BD0540"/>
    <w:rsid w:val="00BD063B"/>
    <w:rsid w:val="00BF2DBE"/>
    <w:rsid w:val="00BF7FFC"/>
    <w:rsid w:val="00C02897"/>
    <w:rsid w:val="00C22FEF"/>
    <w:rsid w:val="00C33054"/>
    <w:rsid w:val="00C73E69"/>
    <w:rsid w:val="00CA64DF"/>
    <w:rsid w:val="00CF52D0"/>
    <w:rsid w:val="00D1783F"/>
    <w:rsid w:val="00D247CB"/>
    <w:rsid w:val="00D3439C"/>
    <w:rsid w:val="00D405FB"/>
    <w:rsid w:val="00D556F3"/>
    <w:rsid w:val="00D60284"/>
    <w:rsid w:val="00D663F6"/>
    <w:rsid w:val="00D726C6"/>
    <w:rsid w:val="00DA041C"/>
    <w:rsid w:val="00DA3CDE"/>
    <w:rsid w:val="00DB1831"/>
    <w:rsid w:val="00DB34F0"/>
    <w:rsid w:val="00DD3BFD"/>
    <w:rsid w:val="00DF6678"/>
    <w:rsid w:val="00E25055"/>
    <w:rsid w:val="00E33724"/>
    <w:rsid w:val="00E65B1E"/>
    <w:rsid w:val="00E96560"/>
    <w:rsid w:val="00EB15C1"/>
    <w:rsid w:val="00EB3AD9"/>
    <w:rsid w:val="00EF06C2"/>
    <w:rsid w:val="00EF2E22"/>
    <w:rsid w:val="00EF3586"/>
    <w:rsid w:val="00F01738"/>
    <w:rsid w:val="00F07AE4"/>
    <w:rsid w:val="00F14BDF"/>
    <w:rsid w:val="00F161B6"/>
    <w:rsid w:val="00F20BFA"/>
    <w:rsid w:val="00F221BC"/>
    <w:rsid w:val="00F2632F"/>
    <w:rsid w:val="00F53E00"/>
    <w:rsid w:val="00F660DF"/>
    <w:rsid w:val="00F730C8"/>
    <w:rsid w:val="00F9520B"/>
    <w:rsid w:val="00F95C08"/>
    <w:rsid w:val="00F96E06"/>
    <w:rsid w:val="00FA1D61"/>
    <w:rsid w:val="00FB1DE3"/>
    <w:rsid w:val="00FE60FC"/>
    <w:rsid w:val="00FF0F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477510"/>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477510"/>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2932</Words>
  <Characters>16716</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ST/SG/AC.10/C.3/2017/7</vt:lpstr>
      <vt:lpstr>ST/SG/AC.10/C.3/2017/7</vt:lpstr>
    </vt:vector>
  </TitlesOfParts>
  <Company>DCM</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ST/SG/AC.10/C.3/2017/7</dc:title>
  <dc:creator>DEVOS</dc:creator>
  <cp:keywords>ST/SG/AC.10/C.4/2017/1</cp:keywords>
  <cp:lastModifiedBy>Laurence Berthet</cp:lastModifiedBy>
  <cp:revision>3</cp:revision>
  <cp:lastPrinted>2017-05-11T07:34:00Z</cp:lastPrinted>
  <dcterms:created xsi:type="dcterms:W3CDTF">2017-05-11T07:34:00Z</dcterms:created>
  <dcterms:modified xsi:type="dcterms:W3CDTF">2017-05-11T07:34:00Z</dcterms:modified>
</cp:coreProperties>
</file>