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437159">
            <w:pPr>
              <w:jc w:val="right"/>
            </w:pPr>
            <w:r>
              <w:rPr>
                <w:b/>
                <w:sz w:val="40"/>
                <w:szCs w:val="40"/>
              </w:rPr>
              <w:t>UN/SCETDG/5</w:t>
            </w:r>
            <w:r w:rsidR="00834C63">
              <w:rPr>
                <w:b/>
                <w:sz w:val="40"/>
                <w:szCs w:val="40"/>
              </w:rPr>
              <w:t>2</w:t>
            </w:r>
            <w:r w:rsidR="007E5F23" w:rsidRPr="00DB1A7F">
              <w:rPr>
                <w:b/>
                <w:sz w:val="40"/>
                <w:szCs w:val="40"/>
              </w:rPr>
              <w:t>/</w:t>
            </w:r>
            <w:r w:rsidR="007E5F23" w:rsidRPr="00951EBC">
              <w:rPr>
                <w:b/>
                <w:sz w:val="40"/>
                <w:szCs w:val="40"/>
              </w:rPr>
              <w:t>INF</w:t>
            </w:r>
            <w:r w:rsidR="00645DBA">
              <w:rPr>
                <w:b/>
                <w:sz w:val="40"/>
                <w:szCs w:val="40"/>
              </w:rPr>
              <w:t>.</w:t>
            </w:r>
            <w:r w:rsidR="00E57A64">
              <w:rPr>
                <w:b/>
                <w:sz w:val="40"/>
                <w:szCs w:val="40"/>
              </w:rPr>
              <w:t>3</w:t>
            </w:r>
            <w:r w:rsidR="00437159">
              <w:rPr>
                <w:b/>
                <w:sz w:val="40"/>
                <w:szCs w:val="40"/>
              </w:rPr>
              <w:t>3</w:t>
            </w:r>
          </w:p>
        </w:tc>
      </w:tr>
      <w:tr w:rsidR="007E5F23" w:rsidRPr="006500BA" w:rsidTr="00143437">
        <w:trPr>
          <w:trHeight w:val="2826"/>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7C1DAB" w:rsidRPr="00E57A64">
              <w:rPr>
                <w:b/>
              </w:rPr>
              <w:t xml:space="preserve">21 </w:t>
            </w:r>
            <w:r w:rsidR="008917B1" w:rsidRPr="00E57A64">
              <w:rPr>
                <w:b/>
              </w:rPr>
              <w:t>November 2017</w:t>
            </w:r>
          </w:p>
          <w:p w:rsidR="00645DBA" w:rsidRDefault="00645DBA" w:rsidP="00645DBA">
            <w:pPr>
              <w:pStyle w:val="Default"/>
            </w:pPr>
          </w:p>
          <w:p w:rsidR="00645DBA" w:rsidRDefault="00CD16F8" w:rsidP="00645DBA">
            <w:pPr>
              <w:pStyle w:val="Default"/>
              <w:rPr>
                <w:sz w:val="20"/>
                <w:szCs w:val="20"/>
              </w:rPr>
            </w:pPr>
            <w:r>
              <w:rPr>
                <w:b/>
                <w:bCs/>
                <w:sz w:val="20"/>
                <w:szCs w:val="20"/>
              </w:rPr>
              <w:t>Fifty-second</w:t>
            </w:r>
            <w:r w:rsidR="00645DBA">
              <w:rPr>
                <w:b/>
                <w:bCs/>
                <w:sz w:val="20"/>
                <w:szCs w:val="20"/>
              </w:rPr>
              <w:t xml:space="preserve"> session </w:t>
            </w:r>
          </w:p>
          <w:p w:rsidR="00645DBA" w:rsidRDefault="00645DBA" w:rsidP="00645DBA">
            <w:pPr>
              <w:pStyle w:val="Default"/>
              <w:rPr>
                <w:sz w:val="20"/>
                <w:szCs w:val="20"/>
              </w:rPr>
            </w:pPr>
            <w:r>
              <w:rPr>
                <w:sz w:val="20"/>
                <w:szCs w:val="20"/>
              </w:rPr>
              <w:t>Geneva, 2</w:t>
            </w:r>
            <w:r w:rsidR="008917B1">
              <w:rPr>
                <w:sz w:val="20"/>
                <w:szCs w:val="20"/>
              </w:rPr>
              <w:t>7</w:t>
            </w:r>
            <w:r>
              <w:rPr>
                <w:sz w:val="20"/>
                <w:szCs w:val="20"/>
              </w:rPr>
              <w:t xml:space="preserve"> November-6 December 201</w:t>
            </w:r>
            <w:r w:rsidR="008917B1">
              <w:rPr>
                <w:sz w:val="20"/>
                <w:szCs w:val="20"/>
              </w:rPr>
              <w:t>7</w:t>
            </w:r>
            <w:r>
              <w:rPr>
                <w:sz w:val="20"/>
                <w:szCs w:val="20"/>
              </w:rPr>
              <w:t xml:space="preserve"> </w:t>
            </w:r>
          </w:p>
          <w:p w:rsidR="00645DBA" w:rsidRDefault="00645DBA" w:rsidP="00645DBA">
            <w:pPr>
              <w:pStyle w:val="Default"/>
              <w:rPr>
                <w:sz w:val="20"/>
                <w:szCs w:val="20"/>
              </w:rPr>
            </w:pPr>
            <w:r>
              <w:rPr>
                <w:sz w:val="20"/>
                <w:szCs w:val="20"/>
              </w:rPr>
              <w:t xml:space="preserve">Item </w:t>
            </w:r>
            <w:r w:rsidR="00437159">
              <w:rPr>
                <w:sz w:val="20"/>
                <w:szCs w:val="20"/>
              </w:rPr>
              <w:t>2 (j)</w:t>
            </w:r>
            <w:r>
              <w:rPr>
                <w:sz w:val="20"/>
                <w:szCs w:val="20"/>
              </w:rPr>
              <w:t xml:space="preserve"> of the provisional agenda </w:t>
            </w:r>
          </w:p>
          <w:p w:rsidR="007E5F23" w:rsidRPr="00437159" w:rsidRDefault="00437159" w:rsidP="00645DBA">
            <w:pPr>
              <w:rPr>
                <w:b/>
                <w:sz w:val="40"/>
                <w:szCs w:val="40"/>
              </w:rPr>
            </w:pPr>
            <w:r w:rsidRPr="00437159">
              <w:rPr>
                <w:b/>
              </w:rPr>
              <w:t>Explosives and related matters</w:t>
            </w:r>
            <w:r w:rsidRPr="00437159">
              <w:rPr>
                <w:b/>
              </w:rPr>
              <w:t>: m</w:t>
            </w:r>
            <w:r w:rsidRPr="00437159">
              <w:rPr>
                <w:b/>
              </w:rPr>
              <w:t>iscellaneous</w:t>
            </w:r>
          </w:p>
        </w:tc>
      </w:tr>
    </w:tbl>
    <w:p w:rsidR="00437159" w:rsidRDefault="00437159" w:rsidP="00437159">
      <w:pPr>
        <w:pStyle w:val="HChG"/>
      </w:pPr>
      <w:r>
        <w:tab/>
      </w:r>
      <w:r>
        <w:tab/>
      </w:r>
      <w:r>
        <w:t xml:space="preserve">Extension of the </w:t>
      </w:r>
      <w:r w:rsidRPr="00437159">
        <w:t>default</w:t>
      </w:r>
      <w:r>
        <w:t xml:space="preserve"> fireworks classification table for classification of Articles, pyrotechnic UN0431 </w:t>
      </w:r>
    </w:p>
    <w:p w:rsidR="00437159" w:rsidRPr="003403D0" w:rsidRDefault="00437159" w:rsidP="00437159">
      <w:pPr>
        <w:pStyle w:val="H1G"/>
        <w:rPr>
          <w:lang w:val="en-US"/>
        </w:rPr>
      </w:pPr>
      <w:r>
        <w:tab/>
      </w:r>
      <w:r>
        <w:tab/>
      </w:r>
      <w:r w:rsidRPr="0005111B">
        <w:t xml:space="preserve">Transmitted by the </w:t>
      </w:r>
      <w:r>
        <w:t xml:space="preserve">expert from </w:t>
      </w:r>
      <w:r w:rsidRPr="003403D0">
        <w:rPr>
          <w:bCs/>
          <w:lang w:val="en-US"/>
        </w:rPr>
        <w:t xml:space="preserve">the United States of America </w:t>
      </w:r>
    </w:p>
    <w:p w:rsidR="00437159" w:rsidRPr="00CD3BAB" w:rsidRDefault="00437159" w:rsidP="00437159">
      <w:pPr>
        <w:pStyle w:val="HChG"/>
      </w:pPr>
      <w:r>
        <w:tab/>
      </w:r>
      <w:r>
        <w:tab/>
      </w:r>
      <w:r w:rsidRPr="00CD3BAB">
        <w:t>Introduction</w:t>
      </w:r>
    </w:p>
    <w:p w:rsidR="00437159" w:rsidRPr="00437159" w:rsidRDefault="00437159" w:rsidP="00437159">
      <w:pPr>
        <w:pStyle w:val="SingleTxtG"/>
      </w:pPr>
      <w:r>
        <w:t>1.</w:t>
      </w:r>
      <w:r>
        <w:tab/>
      </w:r>
      <w:r w:rsidRPr="00437159">
        <w:t xml:space="preserve">The UN default fireworks classification table in Section 2.1.3.5.5 is currently limited to fireworks, resulting only in assignment to UN Nos. 0333, 0334, 0335, or 0336.  </w:t>
      </w:r>
    </w:p>
    <w:p w:rsidR="00437159" w:rsidRPr="00437159" w:rsidRDefault="00437159" w:rsidP="00437159">
      <w:pPr>
        <w:pStyle w:val="SingleTxtG"/>
      </w:pPr>
      <w:r>
        <w:t>2.</w:t>
      </w:r>
      <w:r>
        <w:tab/>
      </w:r>
      <w:r w:rsidRPr="00437159">
        <w:t>While the article types listed in the default table may be designed for consumer use and transported under the “Fireworks” proper shipping name, many are also utilized for technical purposes in theatrical effects, etc., and may be transported under the “Articles, pyrotechnic for technical purposes” proper shipping name.  Examples of such articles are mines, fountains, and rockets.</w:t>
      </w:r>
    </w:p>
    <w:p w:rsidR="00437159" w:rsidRPr="00437159" w:rsidRDefault="00437159" w:rsidP="00437159">
      <w:pPr>
        <w:pStyle w:val="SingleTxtG"/>
      </w:pPr>
      <w:r>
        <w:t>3.</w:t>
      </w:r>
      <w:r>
        <w:tab/>
      </w:r>
      <w:r w:rsidRPr="00437159">
        <w:t>For articles of similar composition and construction, authorities in sectors other than transport (</w:t>
      </w:r>
      <w:proofErr w:type="spellStart"/>
      <w:r w:rsidRPr="00437159">
        <w:t>i.e</w:t>
      </w:r>
      <w:proofErr w:type="spellEnd"/>
      <w:r w:rsidRPr="00437159">
        <w:t xml:space="preserve"> storage, use, retail, fire prevention) may desire to differentiate the articles in order to provide the ability to tailor requirements accordingly.  Permitting the default table to be used to designate articles as either fireworks or articles pyrotechnic (as appropriate), would allow for such differentiation without compromising safety, since Articles, pyrotechnic would be held to the same technical criteria currently identified in the default table. </w:t>
      </w:r>
    </w:p>
    <w:p w:rsidR="00437159" w:rsidRPr="00437159" w:rsidRDefault="00437159" w:rsidP="00437159">
      <w:pPr>
        <w:pStyle w:val="SingleTxtG"/>
      </w:pPr>
      <w:r>
        <w:t>4.</w:t>
      </w:r>
      <w:r>
        <w:tab/>
      </w:r>
      <w:r w:rsidRPr="00437159">
        <w:t>The expert from the United States invites the Sub-Committee and Working Group on Explosives to review and provide input on this proposal.</w:t>
      </w:r>
    </w:p>
    <w:p w:rsidR="00437159" w:rsidRDefault="00437159" w:rsidP="00437159">
      <w:pPr>
        <w:pStyle w:val="HChG"/>
      </w:pPr>
      <w:r>
        <w:tab/>
      </w:r>
      <w:r>
        <w:tab/>
      </w:r>
      <w:r>
        <w:t>Proposal</w:t>
      </w:r>
    </w:p>
    <w:p w:rsidR="00437159" w:rsidRDefault="00437159" w:rsidP="00437159">
      <w:pPr>
        <w:pStyle w:val="SingleTxtG"/>
      </w:pPr>
      <w:r>
        <w:t>5.</w:t>
      </w:r>
      <w:r>
        <w:tab/>
      </w:r>
      <w:r>
        <w:t>Amend the first sentence of 2.1.3.5.2 to read as follows:</w:t>
      </w:r>
    </w:p>
    <w:p w:rsidR="00437159" w:rsidRDefault="00437159" w:rsidP="00437159">
      <w:pPr>
        <w:pStyle w:val="SingleTxtG"/>
        <w:ind w:left="1701"/>
      </w:pPr>
      <w:r>
        <w:t>2.1.3.5.2</w:t>
      </w:r>
      <w:r>
        <w:tab/>
      </w:r>
      <w:r w:rsidRPr="00FB6541">
        <w:t> </w:t>
      </w:r>
      <w:r w:rsidRPr="00437159">
        <w:t>Assignment</w:t>
      </w:r>
      <w:r>
        <w:t xml:space="preserve"> of fireworks to UN Nos. 0333, 0334, 0335, </w:t>
      </w:r>
      <w:r w:rsidRPr="00805E77">
        <w:rPr>
          <w:strike/>
        </w:rPr>
        <w:t>or</w:t>
      </w:r>
      <w:r>
        <w:t xml:space="preserve"> 0336, </w:t>
      </w:r>
      <w:r w:rsidRPr="00805E77">
        <w:rPr>
          <w:u w:val="single"/>
        </w:rPr>
        <w:t>or 0431</w:t>
      </w:r>
      <w:r>
        <w:t xml:space="preserve"> may be made on the basis of analogy, without the need for Test Series 6 testing, in accordance with the default fireworks classification table in 2.1.3.5.5. </w:t>
      </w:r>
    </w:p>
    <w:p w:rsidR="00437159" w:rsidRPr="00437159" w:rsidRDefault="00437159" w:rsidP="00437159">
      <w:pPr>
        <w:pStyle w:val="SingleTxtG"/>
        <w:spacing w:before="240" w:after="0"/>
        <w:jc w:val="center"/>
        <w:rPr>
          <w:u w:val="single"/>
        </w:rPr>
      </w:pPr>
      <w:r>
        <w:tab/>
      </w:r>
      <w:r>
        <w:rPr>
          <w:u w:val="single"/>
        </w:rPr>
        <w:tab/>
      </w:r>
      <w:r>
        <w:rPr>
          <w:u w:val="single"/>
        </w:rPr>
        <w:tab/>
      </w:r>
      <w:r>
        <w:rPr>
          <w:u w:val="single"/>
        </w:rPr>
        <w:tab/>
      </w:r>
    </w:p>
    <w:p w:rsidR="0055481B" w:rsidRDefault="0055481B" w:rsidP="00437159">
      <w:pPr>
        <w:pStyle w:val="HChG"/>
        <w:rPr>
          <w:lang w:val="en-US"/>
        </w:rPr>
      </w:pPr>
      <w:bookmarkStart w:id="0" w:name="_GoBack"/>
      <w:bookmarkEnd w:id="0"/>
    </w:p>
    <w:sectPr w:rsidR="0055481B"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437159">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5743F4">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E57A64">
    <w:pPr>
      <w:pStyle w:val="Header"/>
      <w:rPr>
        <w:lang w:val="fr-CH"/>
      </w:rPr>
    </w:pPr>
    <w:r>
      <w:rPr>
        <w:lang w:val="fr-CH"/>
      </w:rPr>
      <w:t>UN/SCETDG/52</w:t>
    </w:r>
    <w:r w:rsidR="004C1595">
      <w:rPr>
        <w:lang w:val="fr-CH"/>
      </w:rPr>
      <w:t>/INF.</w:t>
    </w:r>
    <w:r>
      <w:rPr>
        <w:lang w:val="fr-CH"/>
      </w:rPr>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r w:rsidR="002B7CC0">
      <w:rPr>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2801"/>
    <w:rsid w:val="000168E7"/>
    <w:rsid w:val="000229D8"/>
    <w:rsid w:val="000318D0"/>
    <w:rsid w:val="000320CF"/>
    <w:rsid w:val="00036C63"/>
    <w:rsid w:val="000434AD"/>
    <w:rsid w:val="000437CA"/>
    <w:rsid w:val="00044D9D"/>
    <w:rsid w:val="0004705E"/>
    <w:rsid w:val="00050F6B"/>
    <w:rsid w:val="00051EBB"/>
    <w:rsid w:val="00064C3D"/>
    <w:rsid w:val="000660B2"/>
    <w:rsid w:val="00072C8C"/>
    <w:rsid w:val="00080084"/>
    <w:rsid w:val="00084D27"/>
    <w:rsid w:val="00090185"/>
    <w:rsid w:val="00091419"/>
    <w:rsid w:val="000914EA"/>
    <w:rsid w:val="000931C0"/>
    <w:rsid w:val="00095F71"/>
    <w:rsid w:val="00096C8E"/>
    <w:rsid w:val="000A3D41"/>
    <w:rsid w:val="000B0EA1"/>
    <w:rsid w:val="000B175B"/>
    <w:rsid w:val="000B3942"/>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13E3"/>
    <w:rsid w:val="001236A6"/>
    <w:rsid w:val="001238CD"/>
    <w:rsid w:val="00125696"/>
    <w:rsid w:val="00125C68"/>
    <w:rsid w:val="0012761F"/>
    <w:rsid w:val="00131661"/>
    <w:rsid w:val="00131D42"/>
    <w:rsid w:val="00133010"/>
    <w:rsid w:val="00133A82"/>
    <w:rsid w:val="0013594A"/>
    <w:rsid w:val="0013630D"/>
    <w:rsid w:val="00136D3B"/>
    <w:rsid w:val="001370AF"/>
    <w:rsid w:val="0014222D"/>
    <w:rsid w:val="0014230B"/>
    <w:rsid w:val="00143437"/>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65082"/>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1AD"/>
    <w:rsid w:val="0031261E"/>
    <w:rsid w:val="00315017"/>
    <w:rsid w:val="00321D9B"/>
    <w:rsid w:val="003229D8"/>
    <w:rsid w:val="00327DCB"/>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5A97"/>
    <w:rsid w:val="003B699A"/>
    <w:rsid w:val="003B7B78"/>
    <w:rsid w:val="003C2CC4"/>
    <w:rsid w:val="003C2E9B"/>
    <w:rsid w:val="003C5566"/>
    <w:rsid w:val="003C6644"/>
    <w:rsid w:val="003C6F39"/>
    <w:rsid w:val="003C74CD"/>
    <w:rsid w:val="003C7867"/>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159"/>
    <w:rsid w:val="00437F3F"/>
    <w:rsid w:val="00442A08"/>
    <w:rsid w:val="00444F9B"/>
    <w:rsid w:val="00446300"/>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3777"/>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481B"/>
    <w:rsid w:val="00557BFE"/>
    <w:rsid w:val="00561F7C"/>
    <w:rsid w:val="0056257D"/>
    <w:rsid w:val="0056554E"/>
    <w:rsid w:val="005743F4"/>
    <w:rsid w:val="0057763D"/>
    <w:rsid w:val="005778EF"/>
    <w:rsid w:val="0058617B"/>
    <w:rsid w:val="00590144"/>
    <w:rsid w:val="00595E3F"/>
    <w:rsid w:val="00597262"/>
    <w:rsid w:val="005A2AA9"/>
    <w:rsid w:val="005A341D"/>
    <w:rsid w:val="005A53B6"/>
    <w:rsid w:val="005A7BD3"/>
    <w:rsid w:val="005B1540"/>
    <w:rsid w:val="005B2924"/>
    <w:rsid w:val="005B3DB3"/>
    <w:rsid w:val="005B491E"/>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6D31"/>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1DAB"/>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34C63"/>
    <w:rsid w:val="00844469"/>
    <w:rsid w:val="00844A8E"/>
    <w:rsid w:val="008559BB"/>
    <w:rsid w:val="00863789"/>
    <w:rsid w:val="00871FD5"/>
    <w:rsid w:val="00880FBE"/>
    <w:rsid w:val="00891706"/>
    <w:rsid w:val="008917B1"/>
    <w:rsid w:val="00893D5C"/>
    <w:rsid w:val="00897441"/>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4B7B"/>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48DA"/>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02839"/>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BF7CAC"/>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16F8"/>
    <w:rsid w:val="00CD3225"/>
    <w:rsid w:val="00CD6D47"/>
    <w:rsid w:val="00CE4A8F"/>
    <w:rsid w:val="00CE4BDC"/>
    <w:rsid w:val="00CF06AB"/>
    <w:rsid w:val="00CF419A"/>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57A64"/>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6345"/>
    <w:rsid w:val="00F91471"/>
    <w:rsid w:val="00F94091"/>
    <w:rsid w:val="00F9483C"/>
    <w:rsid w:val="00F96F9B"/>
    <w:rsid w:val="00FA4EC5"/>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170644072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15FA-1D76-4261-A7D2-BD86440D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2017-11-21T14:45:00Z</cp:lastPrinted>
  <dcterms:created xsi:type="dcterms:W3CDTF">2017-11-21T14:56:00Z</dcterms:created>
  <dcterms:modified xsi:type="dcterms:W3CDTF">2017-11-22T07:39:00Z</dcterms:modified>
</cp:coreProperties>
</file>