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14:paraId="6855EC5A" w14:textId="77777777" w:rsidTr="00BA02A0">
        <w:trPr>
          <w:cantSplit/>
          <w:trHeight w:hRule="exact" w:val="851"/>
        </w:trPr>
        <w:tc>
          <w:tcPr>
            <w:tcW w:w="9639" w:type="dxa"/>
            <w:tcBorders>
              <w:bottom w:val="single" w:sz="4" w:space="0" w:color="auto"/>
            </w:tcBorders>
            <w:vAlign w:val="bottom"/>
          </w:tcPr>
          <w:p w14:paraId="00BCDC23" w14:textId="23FFD4F9" w:rsidR="0099001C" w:rsidRPr="007E344F" w:rsidRDefault="0099001C" w:rsidP="00D55896">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AE6625">
              <w:rPr>
                <w:b/>
                <w:sz w:val="40"/>
                <w:szCs w:val="40"/>
              </w:rPr>
              <w:t>2</w:t>
            </w:r>
            <w:r w:rsidRPr="007E344F">
              <w:rPr>
                <w:b/>
                <w:sz w:val="40"/>
                <w:szCs w:val="40"/>
              </w:rPr>
              <w:t>/INF</w:t>
            </w:r>
            <w:r w:rsidR="000C2419">
              <w:rPr>
                <w:b/>
                <w:sz w:val="40"/>
                <w:szCs w:val="40"/>
              </w:rPr>
              <w:t>.</w:t>
            </w:r>
            <w:r w:rsidR="00D55896">
              <w:rPr>
                <w:b/>
                <w:sz w:val="40"/>
                <w:szCs w:val="40"/>
              </w:rPr>
              <w:t>29</w:t>
            </w:r>
          </w:p>
        </w:tc>
      </w:tr>
      <w:tr w:rsidR="0099001C" w:rsidRPr="007E344F" w14:paraId="70A51FAD" w14:textId="77777777" w:rsidTr="00D55896">
        <w:trPr>
          <w:cantSplit/>
          <w:trHeight w:hRule="exact" w:val="2563"/>
        </w:trPr>
        <w:tc>
          <w:tcPr>
            <w:tcW w:w="9639" w:type="dxa"/>
            <w:tcBorders>
              <w:top w:val="single" w:sz="4" w:space="0" w:color="auto"/>
            </w:tcBorders>
          </w:tcPr>
          <w:p w14:paraId="43591708" w14:textId="77777777"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4BD56725" w14:textId="3A2636DD" w:rsidR="00A805EB" w:rsidRPr="007E344F" w:rsidRDefault="00A805EB" w:rsidP="00564203">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D55896">
              <w:rPr>
                <w:b/>
              </w:rPr>
              <w:t>20</w:t>
            </w:r>
            <w:r w:rsidR="00B85790">
              <w:rPr>
                <w:b/>
              </w:rPr>
              <w:t xml:space="preserve"> November</w:t>
            </w:r>
            <w:r w:rsidR="00061A69">
              <w:rPr>
                <w:b/>
              </w:rPr>
              <w:t xml:space="preserve"> 2017</w:t>
            </w:r>
          </w:p>
          <w:p w14:paraId="54E2DD18" w14:textId="77777777" w:rsidR="00061A69" w:rsidRPr="007B2B1F" w:rsidRDefault="00AE6625" w:rsidP="00061A69">
            <w:pPr>
              <w:spacing w:before="120"/>
              <w:rPr>
                <w:b/>
              </w:rPr>
            </w:pPr>
            <w:r>
              <w:rPr>
                <w:b/>
              </w:rPr>
              <w:t>Fifty-second</w:t>
            </w:r>
            <w:r w:rsidR="00061A69" w:rsidRPr="007B2B1F">
              <w:rPr>
                <w:b/>
              </w:rPr>
              <w:t xml:space="preserve"> session</w:t>
            </w:r>
          </w:p>
          <w:p w14:paraId="1E48B5B7" w14:textId="77777777" w:rsidR="00061A69" w:rsidRPr="007B2B1F" w:rsidRDefault="00061A69" w:rsidP="00061A69">
            <w:r w:rsidRPr="007B2B1F">
              <w:t xml:space="preserve">Geneva, </w:t>
            </w:r>
            <w:r w:rsidR="00AE6625">
              <w:t>27 November</w:t>
            </w:r>
            <w:r>
              <w:t>-</w:t>
            </w:r>
            <w:r w:rsidR="00DF6905">
              <w:t>6</w:t>
            </w:r>
            <w:r w:rsidRPr="007B2B1F">
              <w:t xml:space="preserve"> </w:t>
            </w:r>
            <w:r w:rsidR="00AE6625">
              <w:t>December 2017</w:t>
            </w:r>
          </w:p>
          <w:p w14:paraId="666FF8B5" w14:textId="6967BD2F" w:rsidR="00154226" w:rsidRPr="00154226" w:rsidRDefault="00B92B8B" w:rsidP="00D55896">
            <w:pPr>
              <w:spacing w:line="240" w:lineRule="exact"/>
              <w:rPr>
                <w:b/>
              </w:rPr>
            </w:pPr>
            <w:proofErr w:type="gramStart"/>
            <w:r w:rsidRPr="00D55896">
              <w:rPr>
                <w:highlight w:val="yellow"/>
              </w:rPr>
              <w:t xml:space="preserve">Item </w:t>
            </w:r>
            <w:r w:rsidR="00D55896" w:rsidRPr="00D55896">
              <w:rPr>
                <w:highlight w:val="yellow"/>
              </w:rPr>
              <w:t>?????????????</w:t>
            </w:r>
            <w:proofErr w:type="gramEnd"/>
            <w:r w:rsidR="00B84DD2" w:rsidRPr="00D55896">
              <w:rPr>
                <w:highlight w:val="yellow"/>
              </w:rPr>
              <w:t xml:space="preserve"> </w:t>
            </w:r>
            <w:r w:rsidR="00D63626" w:rsidRPr="00D55896">
              <w:rPr>
                <w:highlight w:val="yellow"/>
              </w:rPr>
              <w:t>of the provisional agenda</w:t>
            </w:r>
            <w:r w:rsidR="00D63626">
              <w:br/>
            </w:r>
          </w:p>
        </w:tc>
      </w:tr>
    </w:tbl>
    <w:p w14:paraId="5D08C37A" w14:textId="2E143842" w:rsidR="00680238" w:rsidRDefault="00680238" w:rsidP="00D55896">
      <w:pPr>
        <w:pStyle w:val="HChG"/>
      </w:pPr>
      <w:r>
        <w:tab/>
      </w:r>
      <w:r>
        <w:tab/>
      </w:r>
      <w:r w:rsidR="00DC1D47">
        <w:t xml:space="preserve">Status report on </w:t>
      </w:r>
      <w:r w:rsidR="00DC1D47" w:rsidRPr="00D55896">
        <w:t>discussions</w:t>
      </w:r>
      <w:r w:rsidR="00DC1D47">
        <w:t xml:space="preserve"> on the scope of section 1.1.1.2 in the Model Regulations </w:t>
      </w:r>
    </w:p>
    <w:p w14:paraId="343FFD48" w14:textId="6D8FA619" w:rsidR="00680238" w:rsidRDefault="00680238" w:rsidP="00D55896">
      <w:pPr>
        <w:pStyle w:val="H1G"/>
      </w:pPr>
      <w:r w:rsidRPr="00E23A0C">
        <w:tab/>
      </w:r>
      <w:r w:rsidRPr="00E23A0C">
        <w:tab/>
        <w:t xml:space="preserve">Transmitted by the </w:t>
      </w:r>
      <w:r w:rsidR="00DC1D47">
        <w:t xml:space="preserve">expert of the </w:t>
      </w:r>
      <w:r w:rsidR="00DC1D47" w:rsidRPr="00D55896">
        <w:t>Netherlands</w:t>
      </w:r>
    </w:p>
    <w:p w14:paraId="15E48475" w14:textId="554797A1" w:rsidR="00680238" w:rsidRPr="00E23A0C" w:rsidRDefault="00680238" w:rsidP="00D55896">
      <w:pPr>
        <w:pStyle w:val="HChG"/>
      </w:pPr>
      <w:r>
        <w:tab/>
      </w:r>
      <w:r>
        <w:tab/>
      </w:r>
      <w:r w:rsidR="00503A81" w:rsidRPr="00D55896">
        <w:t>Background</w:t>
      </w:r>
    </w:p>
    <w:p w14:paraId="719753AE" w14:textId="6D2B35B9" w:rsidR="00082C36" w:rsidRDefault="00680238" w:rsidP="00D55896">
      <w:pPr>
        <w:pStyle w:val="SingleTxtG"/>
      </w:pPr>
      <w:r>
        <w:t>1.</w:t>
      </w:r>
      <w:r>
        <w:tab/>
      </w:r>
      <w:r w:rsidR="00503A81">
        <w:t xml:space="preserve">At the </w:t>
      </w:r>
      <w:r w:rsidR="00D55896">
        <w:t>fifty-first</w:t>
      </w:r>
      <w:r w:rsidR="00503A81">
        <w:t xml:space="preserve"> session, the Sub-</w:t>
      </w:r>
      <w:r w:rsidR="00503A81" w:rsidRPr="00503A81">
        <w:t xml:space="preserve">Committee discussed </w:t>
      </w:r>
      <w:r w:rsidR="00082C36">
        <w:t xml:space="preserve">document </w:t>
      </w:r>
      <w:r w:rsidR="00BA62DB">
        <w:rPr>
          <w:lang w:val="en-US"/>
        </w:rPr>
        <w:t>ST/SG/AC.10/C.3/2017/13</w:t>
      </w:r>
      <w:r w:rsidR="00541E77">
        <w:rPr>
          <w:lang w:val="en-US"/>
        </w:rPr>
        <w:t xml:space="preserve"> proposing exemptions for data loggers containing lithium batteries, and document </w:t>
      </w:r>
      <w:r w:rsidR="00BA62DB">
        <w:rPr>
          <w:lang w:val="en-US"/>
        </w:rPr>
        <w:t xml:space="preserve">ST/SG/AC.10/C.3/2017/22 </w:t>
      </w:r>
      <w:r w:rsidR="00541E77">
        <w:rPr>
          <w:lang w:val="en-US"/>
        </w:rPr>
        <w:t xml:space="preserve">in which </w:t>
      </w:r>
      <w:r w:rsidR="00503A81" w:rsidRPr="00186EAF">
        <w:rPr>
          <w:rFonts w:cs="Helv"/>
          <w:color w:val="000000"/>
          <w:lang w:val="en-US"/>
        </w:rPr>
        <w:t>more general exemptions for electrical energy</w:t>
      </w:r>
      <w:r w:rsidR="00BA62DB">
        <w:rPr>
          <w:rFonts w:cs="Helv"/>
          <w:color w:val="000000"/>
          <w:lang w:val="en-US"/>
        </w:rPr>
        <w:t xml:space="preserve"> storage and production systems</w:t>
      </w:r>
      <w:r w:rsidR="00541E77">
        <w:rPr>
          <w:rFonts w:cs="Helv"/>
          <w:color w:val="000000"/>
          <w:lang w:val="en-US"/>
        </w:rPr>
        <w:t xml:space="preserve"> were proposed</w:t>
      </w:r>
      <w:r w:rsidR="00082C36">
        <w:rPr>
          <w:lang w:val="en-US"/>
        </w:rPr>
        <w:t>.</w:t>
      </w:r>
      <w:r w:rsidR="009559C7">
        <w:rPr>
          <w:lang w:val="en-US"/>
        </w:rPr>
        <w:t xml:space="preserve"> </w:t>
      </w:r>
      <w:r w:rsidR="00503A81">
        <w:rPr>
          <w:lang w:val="en-US"/>
        </w:rPr>
        <w:t>Although the proposal</w:t>
      </w:r>
      <w:r w:rsidR="00082C36">
        <w:rPr>
          <w:lang w:val="en-US"/>
        </w:rPr>
        <w:t xml:space="preserve"> in document ST/SG/AC.10/C.3/2017/13 </w:t>
      </w:r>
      <w:r w:rsidR="00503A81">
        <w:rPr>
          <w:lang w:val="en-US"/>
        </w:rPr>
        <w:t>was provisionally adopted</w:t>
      </w:r>
      <w:r w:rsidR="00AF787B">
        <w:rPr>
          <w:lang w:val="en-US"/>
        </w:rPr>
        <w:t xml:space="preserve"> as amended</w:t>
      </w:r>
      <w:r w:rsidR="00503A81">
        <w:rPr>
          <w:lang w:val="en-US"/>
        </w:rPr>
        <w:t>, the Sub-Committee</w:t>
      </w:r>
      <w:r w:rsidR="00082C36">
        <w:t xml:space="preserve"> also agreed to </w:t>
      </w:r>
      <w:r w:rsidR="00082C36" w:rsidRPr="00082C36">
        <w:t>discuss the issue</w:t>
      </w:r>
      <w:r w:rsidR="00BA62DB">
        <w:t xml:space="preserve"> more broadly</w:t>
      </w:r>
      <w:r w:rsidR="00082C36" w:rsidRPr="00082C36">
        <w:t xml:space="preserve"> as suggested by the Netherlands in </w:t>
      </w:r>
      <w:r w:rsidR="00D55896">
        <w:t xml:space="preserve">informal document </w:t>
      </w:r>
      <w:r w:rsidR="00082C36" w:rsidRPr="00082C36">
        <w:t>INF.27</w:t>
      </w:r>
      <w:r w:rsidR="00A6061A">
        <w:t xml:space="preserve"> </w:t>
      </w:r>
      <w:r w:rsidR="00D55896">
        <w:t>(51</w:t>
      </w:r>
      <w:r w:rsidR="00D55896" w:rsidRPr="00D55896">
        <w:rPr>
          <w:vertAlign w:val="superscript"/>
        </w:rPr>
        <w:t>st</w:t>
      </w:r>
      <w:r w:rsidR="00D55896">
        <w:t xml:space="preserve"> session) </w:t>
      </w:r>
      <w:r w:rsidR="00A6061A">
        <w:t xml:space="preserve">and reported in </w:t>
      </w:r>
      <w:r w:rsidR="00541E77">
        <w:t>paragraph 59 of the report from the 51</w:t>
      </w:r>
      <w:r w:rsidR="00541E77" w:rsidRPr="00541E77">
        <w:rPr>
          <w:vertAlign w:val="superscript"/>
        </w:rPr>
        <w:t>st</w:t>
      </w:r>
      <w:r w:rsidR="00541E77">
        <w:t xml:space="preserve"> session (</w:t>
      </w:r>
      <w:r w:rsidR="00541E77" w:rsidRPr="00082C36">
        <w:rPr>
          <w:bCs/>
        </w:rPr>
        <w:t>ST/SG/AC.10/C.3/102</w:t>
      </w:r>
      <w:r w:rsidR="00541E77">
        <w:rPr>
          <w:bCs/>
        </w:rPr>
        <w:t xml:space="preserve">): </w:t>
      </w:r>
    </w:p>
    <w:p w14:paraId="20610DC4" w14:textId="76E77BF5" w:rsidR="00503A81" w:rsidRPr="00D55896" w:rsidRDefault="00082C36" w:rsidP="00BA62DB">
      <w:pPr>
        <w:pStyle w:val="SingleTxtG"/>
        <w:tabs>
          <w:tab w:val="left" w:pos="8222"/>
        </w:tabs>
        <w:ind w:left="1701"/>
      </w:pPr>
      <w:r w:rsidRPr="00D55896">
        <w:t>“</w:t>
      </w:r>
      <w:r w:rsidR="00503A81" w:rsidRPr="00D55896">
        <w:rPr>
          <w:i/>
          <w:lang w:val="en-US"/>
        </w:rPr>
        <w:t xml:space="preserve">The Sub-Committee agreed that the issues raised by the Netherlands in relation to the scope of 1.1.1.2 could be discussed </w:t>
      </w:r>
      <w:proofErr w:type="spellStart"/>
      <w:r w:rsidR="00503A81" w:rsidRPr="00D55896">
        <w:rPr>
          <w:i/>
          <w:lang w:val="en-US"/>
        </w:rPr>
        <w:t>intersessionally</w:t>
      </w:r>
      <w:proofErr w:type="spellEnd"/>
      <w:r w:rsidR="00503A81" w:rsidRPr="00D55896">
        <w:rPr>
          <w:i/>
          <w:lang w:val="en-US"/>
        </w:rPr>
        <w:t xml:space="preserve"> in order to broaden the approach, and the proposal made by the expert from Switzerland in ST/SG/AC.10/C.3/2017/22 could be discussed in this context. Delegations interested in participating in such work were invited to contact the expert from the Netherlands.</w:t>
      </w:r>
      <w:r w:rsidRPr="00D55896">
        <w:rPr>
          <w:i/>
          <w:lang w:val="en-US"/>
        </w:rPr>
        <w:t>”</w:t>
      </w:r>
      <w:r w:rsidRPr="00D55896">
        <w:t xml:space="preserve"> </w:t>
      </w:r>
    </w:p>
    <w:p w14:paraId="0868FBB1" w14:textId="04993EAF" w:rsidR="00680238" w:rsidRPr="00680238" w:rsidRDefault="009559C7" w:rsidP="00680238">
      <w:pPr>
        <w:pStyle w:val="SingleTxtG"/>
      </w:pPr>
      <w:r>
        <w:t>2</w:t>
      </w:r>
      <w:r w:rsidR="00AF05AD">
        <w:t>.</w:t>
      </w:r>
      <w:r w:rsidR="00AF05AD">
        <w:tab/>
      </w:r>
      <w:r w:rsidR="000C1E20">
        <w:t xml:space="preserve">A number of interested delegates contacted the representative from the Netherlands. </w:t>
      </w:r>
      <w:r w:rsidR="002E4651">
        <w:t xml:space="preserve">The representative of the Netherlands thanks all of those that have contributed to the discussions so far. </w:t>
      </w:r>
      <w:r w:rsidR="00C22A02">
        <w:t>This document</w:t>
      </w:r>
      <w:r w:rsidR="00BA62DB">
        <w:t xml:space="preserve"> su</w:t>
      </w:r>
      <w:r w:rsidR="00BA62DB" w:rsidRPr="00D46D19">
        <w:t>mmarise</w:t>
      </w:r>
      <w:r w:rsidR="00C22A02" w:rsidRPr="00D46D19">
        <w:t>s</w:t>
      </w:r>
      <w:r w:rsidR="00BA62DB" w:rsidRPr="00D46D19">
        <w:t xml:space="preserve"> the </w:t>
      </w:r>
      <w:r w:rsidR="00C22A02" w:rsidRPr="00D46D19">
        <w:t>work</w:t>
      </w:r>
      <w:r w:rsidR="00BA62DB" w:rsidRPr="00D46D19">
        <w:t xml:space="preserve"> carried out </w:t>
      </w:r>
      <w:r w:rsidR="00A6061A">
        <w:t xml:space="preserve">and </w:t>
      </w:r>
      <w:r w:rsidR="00AF787B">
        <w:t xml:space="preserve">outlines </w:t>
      </w:r>
      <w:r w:rsidR="00A6061A">
        <w:t xml:space="preserve">the next steps of the work. </w:t>
      </w:r>
    </w:p>
    <w:p w14:paraId="1D584576" w14:textId="39EA0021" w:rsidR="00680238" w:rsidRPr="00061FD4" w:rsidRDefault="00680238" w:rsidP="00680238">
      <w:pPr>
        <w:pStyle w:val="HChG"/>
      </w:pPr>
      <w:r>
        <w:tab/>
      </w:r>
      <w:r>
        <w:tab/>
      </w:r>
      <w:r w:rsidR="0066050C">
        <w:t>Status update</w:t>
      </w:r>
    </w:p>
    <w:p w14:paraId="59DC1C33" w14:textId="25437379" w:rsidR="00237F7E" w:rsidRPr="00237F7E" w:rsidRDefault="009559C7" w:rsidP="00237F7E">
      <w:pPr>
        <w:pStyle w:val="SingleTxtG"/>
        <w:rPr>
          <w:strike/>
          <w:lang w:val="en-US"/>
        </w:rPr>
      </w:pPr>
      <w:r>
        <w:t>3</w:t>
      </w:r>
      <w:r w:rsidR="00237F7E">
        <w:t>.</w:t>
      </w:r>
      <w:r w:rsidR="00237F7E">
        <w:tab/>
      </w:r>
      <w:r w:rsidR="00AF787B">
        <w:t xml:space="preserve">The group discussed the goal of the work and the proposed work plan in a written round. </w:t>
      </w:r>
      <w:r w:rsidR="00AF05AD">
        <w:t>T</w:t>
      </w:r>
      <w:r w:rsidR="00237F7E">
        <w:t>he group agreed</w:t>
      </w:r>
      <w:r w:rsidR="00057B61">
        <w:t xml:space="preserve"> </w:t>
      </w:r>
      <w:r w:rsidR="00AF05AD">
        <w:t>that the overall goal was to</w:t>
      </w:r>
      <w:r w:rsidR="00237F7E">
        <w:t xml:space="preserve"> </w:t>
      </w:r>
      <w:r w:rsidR="00D55896">
        <w:t>“</w:t>
      </w:r>
      <w:r w:rsidR="00237F7E">
        <w:t>determin</w:t>
      </w:r>
      <w:r w:rsidR="00AF05AD">
        <w:t>e</w:t>
      </w:r>
      <w:r w:rsidR="00237F7E">
        <w:t xml:space="preserve"> the applicability of the Model Regulations with regard to dangerous goods that are transport</w:t>
      </w:r>
      <w:r w:rsidR="00AF05AD">
        <w:t>ed</w:t>
      </w:r>
      <w:r w:rsidR="00237F7E">
        <w:t xml:space="preserve"> but are not the consignment </w:t>
      </w:r>
      <w:r w:rsidR="00237F7E" w:rsidRPr="00237F7E">
        <w:rPr>
          <w:lang w:val="en-US"/>
        </w:rPr>
        <w:t>(see 1.1.1.1 and 1.1.1.2)</w:t>
      </w:r>
      <w:r w:rsidR="00D55896">
        <w:rPr>
          <w:lang w:val="en-US"/>
        </w:rPr>
        <w:t>”</w:t>
      </w:r>
      <w:r w:rsidR="00DC0C80">
        <w:rPr>
          <w:lang w:val="en-US"/>
        </w:rPr>
        <w:t xml:space="preserve">. </w:t>
      </w:r>
      <w:r w:rsidR="000C1E20">
        <w:rPr>
          <w:lang w:val="en-US"/>
        </w:rPr>
        <w:t>The aim is to present a</w:t>
      </w:r>
      <w:r w:rsidR="00DC0C80">
        <w:rPr>
          <w:lang w:val="en-US"/>
        </w:rPr>
        <w:t xml:space="preserve"> formal document containing </w:t>
      </w:r>
      <w:r w:rsidR="004B2D5B">
        <w:rPr>
          <w:lang w:val="en-US"/>
        </w:rPr>
        <w:t xml:space="preserve">the conclusions of the work and </w:t>
      </w:r>
      <w:r w:rsidR="00DC0C80">
        <w:rPr>
          <w:lang w:val="en-US"/>
        </w:rPr>
        <w:t>proposals</w:t>
      </w:r>
      <w:r w:rsidR="004B2D5B">
        <w:rPr>
          <w:lang w:val="en-US"/>
        </w:rPr>
        <w:t xml:space="preserve"> for changes</w:t>
      </w:r>
      <w:r w:rsidR="00DC0C80">
        <w:rPr>
          <w:lang w:val="en-US"/>
        </w:rPr>
        <w:t xml:space="preserve"> </w:t>
      </w:r>
      <w:r w:rsidR="000C1E20">
        <w:rPr>
          <w:lang w:val="en-US"/>
        </w:rPr>
        <w:t>to</w:t>
      </w:r>
      <w:r w:rsidR="00DC0C80">
        <w:rPr>
          <w:lang w:val="en-US"/>
        </w:rPr>
        <w:t xml:space="preserve"> </w:t>
      </w:r>
      <w:r w:rsidR="004D5BB1">
        <w:rPr>
          <w:lang w:val="en-US"/>
        </w:rPr>
        <w:t xml:space="preserve">the </w:t>
      </w:r>
      <w:r w:rsidR="00D55896">
        <w:rPr>
          <w:lang w:val="en-US"/>
        </w:rPr>
        <w:t>fifty-third</w:t>
      </w:r>
      <w:r w:rsidR="004D5BB1">
        <w:rPr>
          <w:lang w:val="en-US"/>
        </w:rPr>
        <w:t xml:space="preserve"> session of the </w:t>
      </w:r>
      <w:r w:rsidR="00D55896">
        <w:rPr>
          <w:lang w:val="en-US"/>
        </w:rPr>
        <w:t>TDG Sub-Committee</w:t>
      </w:r>
      <w:r w:rsidR="004D5BB1">
        <w:rPr>
          <w:lang w:val="en-US"/>
        </w:rPr>
        <w:t xml:space="preserve">. </w:t>
      </w:r>
    </w:p>
    <w:p w14:paraId="7CF53B55" w14:textId="15334B76" w:rsidR="002E3A95" w:rsidRDefault="009559C7" w:rsidP="002E3A95">
      <w:pPr>
        <w:pStyle w:val="SingleTxtG"/>
      </w:pPr>
      <w:r>
        <w:t>4</w:t>
      </w:r>
      <w:r w:rsidR="00057B61">
        <w:t>.</w:t>
      </w:r>
      <w:r w:rsidR="00057B61">
        <w:tab/>
        <w:t xml:space="preserve">In order to have </w:t>
      </w:r>
      <w:r w:rsidR="004D5BB1">
        <w:t>better</w:t>
      </w:r>
      <w:r w:rsidR="000C1E20">
        <w:t xml:space="preserve"> overview</w:t>
      </w:r>
      <w:r w:rsidR="00AF05AD">
        <w:t xml:space="preserve"> </w:t>
      </w:r>
      <w:r w:rsidR="004D5BB1">
        <w:t xml:space="preserve">of what sort of </w:t>
      </w:r>
      <w:r w:rsidR="00AF05AD">
        <w:t xml:space="preserve">goods </w:t>
      </w:r>
      <w:r w:rsidR="004D5BB1">
        <w:t xml:space="preserve">are transported without being the consignment, </w:t>
      </w:r>
      <w:r w:rsidR="002E3A95">
        <w:t xml:space="preserve">a number of </w:t>
      </w:r>
      <w:r w:rsidR="00057B61">
        <w:t>examples of</w:t>
      </w:r>
      <w:r w:rsidR="004D5BB1">
        <w:t xml:space="preserve"> such</w:t>
      </w:r>
      <w:r w:rsidR="00057B61">
        <w:t xml:space="preserve"> </w:t>
      </w:r>
      <w:r w:rsidR="00AF05AD">
        <w:t xml:space="preserve">goods </w:t>
      </w:r>
      <w:r w:rsidR="004D5BB1">
        <w:t>were provided</w:t>
      </w:r>
      <w:r w:rsidR="002E3A95">
        <w:t>.</w:t>
      </w:r>
      <w:r w:rsidR="00AF05AD">
        <w:t xml:space="preserve"> </w:t>
      </w:r>
      <w:r w:rsidR="004D5BB1">
        <w:t xml:space="preserve">These goods </w:t>
      </w:r>
      <w:r w:rsidR="002E3A95">
        <w:t>c</w:t>
      </w:r>
      <w:r w:rsidR="00806C6B">
        <w:t>an</w:t>
      </w:r>
      <w:r w:rsidR="002E3A95">
        <w:t xml:space="preserve"> be </w:t>
      </w:r>
      <w:r w:rsidR="00C22A02">
        <w:t>clustered</w:t>
      </w:r>
      <w:r w:rsidR="004D5BB1">
        <w:t xml:space="preserve"> into few categories based on use</w:t>
      </w:r>
      <w:r w:rsidR="004B2C88">
        <w:t>, some of which are comparable to existing exemptions in the Model Regulations and/or the modal regulations</w:t>
      </w:r>
      <w:r w:rsidR="004D5BB1">
        <w:t>:</w:t>
      </w:r>
    </w:p>
    <w:p w14:paraId="453E8C93" w14:textId="013D1D54" w:rsidR="002E3A95" w:rsidRDefault="00C22A02" w:rsidP="00D55896">
      <w:pPr>
        <w:pStyle w:val="Bullet1G"/>
      </w:pPr>
      <w:r>
        <w:lastRenderedPageBreak/>
        <w:t>D</w:t>
      </w:r>
      <w:r w:rsidR="002E3A95">
        <w:t xml:space="preserve">angerous goods as a part of the means of transport and necessary for its propulsion or the operation </w:t>
      </w:r>
      <w:r w:rsidR="00806C6B">
        <w:t xml:space="preserve">of </w:t>
      </w:r>
      <w:r>
        <w:t>the</w:t>
      </w:r>
      <w:r w:rsidR="003738D2">
        <w:t xml:space="preserve"> (permanent)</w:t>
      </w:r>
      <w:r>
        <w:t xml:space="preserve"> </w:t>
      </w:r>
      <w:r w:rsidR="00806C6B">
        <w:t>equipment</w:t>
      </w:r>
      <w:r>
        <w:t xml:space="preserve"> of the means of transport</w:t>
      </w:r>
      <w:r w:rsidR="00806C6B">
        <w:t xml:space="preserve">, </w:t>
      </w:r>
      <w:r w:rsidR="002E3A95">
        <w:t>e.g. fuel, fire extinguishers, re</w:t>
      </w:r>
      <w:r w:rsidR="00806C6B">
        <w:t>frigerant gas for cooling units</w:t>
      </w:r>
      <w:r w:rsidR="002E3A95">
        <w:t>;</w:t>
      </w:r>
    </w:p>
    <w:p w14:paraId="7CB39BDD" w14:textId="3C8964F1" w:rsidR="002E3A95" w:rsidRDefault="00C22A02" w:rsidP="00D55896">
      <w:pPr>
        <w:pStyle w:val="Bullet1G"/>
      </w:pPr>
      <w:r>
        <w:t>D</w:t>
      </w:r>
      <w:r w:rsidR="002E3A95">
        <w:t xml:space="preserve">angerous goods as a part of the means of transport necessary for operations </w:t>
      </w:r>
      <w:r w:rsidR="00AF787B">
        <w:t>other</w:t>
      </w:r>
      <w:r w:rsidR="002E3A95">
        <w:t xml:space="preserve"> then propulsion or the operation of the means</w:t>
      </w:r>
      <w:r w:rsidR="00806C6B">
        <w:t xml:space="preserve"> of transport or its equipment, </w:t>
      </w:r>
      <w:r w:rsidR="002E3A95">
        <w:t>e.g. portable fridges with refrigerants, stoves with propane tanks;</w:t>
      </w:r>
    </w:p>
    <w:p w14:paraId="058A3EDF" w14:textId="19C56199" w:rsidR="002E3A95" w:rsidRPr="00806C6B" w:rsidRDefault="00C22A02" w:rsidP="00D55896">
      <w:pPr>
        <w:pStyle w:val="Bullet1G"/>
      </w:pPr>
      <w:r>
        <w:t>D</w:t>
      </w:r>
      <w:r w:rsidR="002E3A95">
        <w:t>angerous goods carried by drivers, conductors, shippers, pilots and other crew (for personal use)</w:t>
      </w:r>
      <w:r w:rsidR="00806C6B">
        <w:t>, e.g. lithium battery containing telephones and computers, medicine, first-aid kits a</w:t>
      </w:r>
      <w:r w:rsidR="00806C6B" w:rsidRPr="00806C6B">
        <w:t>nd hygiene products;</w:t>
      </w:r>
    </w:p>
    <w:p w14:paraId="7211A0BA" w14:textId="776108B5" w:rsidR="00806C6B" w:rsidRDefault="00C22A02" w:rsidP="00D55896">
      <w:pPr>
        <w:pStyle w:val="Bullet1G"/>
      </w:pPr>
      <w:r>
        <w:rPr>
          <w:rFonts w:eastAsiaTheme="minorHAnsi"/>
          <w:lang w:val="en-US"/>
        </w:rPr>
        <w:t>D</w:t>
      </w:r>
      <w:r w:rsidR="00806C6B" w:rsidRPr="00806C6B">
        <w:rPr>
          <w:rFonts w:eastAsiaTheme="minorHAnsi"/>
          <w:lang w:val="en-US"/>
        </w:rPr>
        <w:t>angerous goods carried by passengers on cars, busses, trains, airplanes and ships</w:t>
      </w:r>
      <w:r w:rsidR="00806C6B">
        <w:rPr>
          <w:rFonts w:eastAsiaTheme="minorHAnsi"/>
          <w:lang w:val="en-US"/>
        </w:rPr>
        <w:t xml:space="preserve">, e.g. </w:t>
      </w:r>
      <w:r w:rsidR="00806C6B">
        <w:t>e.g. lithium battery containing telephones</w:t>
      </w:r>
      <w:r w:rsidR="006051DB">
        <w:t>,</w:t>
      </w:r>
      <w:r w:rsidR="00806C6B">
        <w:t xml:space="preserve"> computers</w:t>
      </w:r>
      <w:r w:rsidR="006051DB">
        <w:t xml:space="preserve"> and pacemakers</w:t>
      </w:r>
      <w:r w:rsidR="00806C6B">
        <w:t>, medicine,</w:t>
      </w:r>
      <w:r w:rsidR="00F80560">
        <w:t xml:space="preserve"> </w:t>
      </w:r>
      <w:r w:rsidR="00806C6B" w:rsidRPr="00806C6B">
        <w:t>hygiene products</w:t>
      </w:r>
      <w:r w:rsidR="00806C6B">
        <w:t>, oxygen apparatus;</w:t>
      </w:r>
    </w:p>
    <w:p w14:paraId="3314ACA1" w14:textId="3FF66349" w:rsidR="00806C6B" w:rsidRDefault="00C22A02" w:rsidP="00D55896">
      <w:pPr>
        <w:pStyle w:val="Bullet1G"/>
      </w:pPr>
      <w:r>
        <w:t>D</w:t>
      </w:r>
      <w:r w:rsidR="00806C6B">
        <w:t>angerous goods carried by private persons for private use in their private vehicles;</w:t>
      </w:r>
    </w:p>
    <w:p w14:paraId="5E6D86BF" w14:textId="05D9F404" w:rsidR="00680238" w:rsidRDefault="00806C6B" w:rsidP="00D55896">
      <w:pPr>
        <w:pStyle w:val="Bullet1G"/>
      </w:pPr>
      <w:r>
        <w:t>“</w:t>
      </w:r>
      <w:r w:rsidR="00C22A02">
        <w:t>O</w:t>
      </w:r>
      <w:r>
        <w:t xml:space="preserve">ther” dangerous goods that are transported but are not the consignment, e.g. GPS tracking systems and sensors on or in a packaging, or attached to a container or a railway car, tanks fitted with integrated computers system, solar panels and sensors, dry ice in packaged or in containers used for cooling, methyl bromide used for fumigation of cargo transport units, oxygen for transport of live aquatic animals. </w:t>
      </w:r>
    </w:p>
    <w:p w14:paraId="25D50C86" w14:textId="141816D7" w:rsidR="00F53D6A" w:rsidRDefault="009559C7" w:rsidP="00575DD8">
      <w:pPr>
        <w:pStyle w:val="SingleTxtG"/>
      </w:pPr>
      <w:r>
        <w:t>5</w:t>
      </w:r>
      <w:r w:rsidR="009456C3">
        <w:t>.</w:t>
      </w:r>
      <w:r w:rsidR="009456C3">
        <w:tab/>
      </w:r>
      <w:r w:rsidR="004B2C88">
        <w:t>The group</w:t>
      </w:r>
      <w:r w:rsidR="004B2D5B">
        <w:t xml:space="preserve"> </w:t>
      </w:r>
      <w:r w:rsidR="005E305A">
        <w:t xml:space="preserve">has </w:t>
      </w:r>
      <w:r w:rsidR="00733FDB">
        <w:t>held o</w:t>
      </w:r>
      <w:r w:rsidR="00F53D6A">
        <w:t>ne</w:t>
      </w:r>
      <w:r w:rsidR="004B2D5B">
        <w:t xml:space="preserve"> </w:t>
      </w:r>
      <w:r w:rsidR="004B2C88">
        <w:t>teleconference</w:t>
      </w:r>
      <w:r w:rsidR="006051DB">
        <w:t xml:space="preserve"> </w:t>
      </w:r>
      <w:r w:rsidR="005E305A">
        <w:t>so far (</w:t>
      </w:r>
      <w:r w:rsidR="006051DB">
        <w:t>6 November</w:t>
      </w:r>
      <w:r w:rsidR="005E305A">
        <w:t>)</w:t>
      </w:r>
      <w:r w:rsidR="002556B3">
        <w:t xml:space="preserve">. Detailed minutes of the </w:t>
      </w:r>
      <w:r w:rsidR="004B2C88">
        <w:t>teleconference</w:t>
      </w:r>
      <w:r w:rsidR="002556B3">
        <w:t xml:space="preserve"> are included in </w:t>
      </w:r>
      <w:r w:rsidR="00F53D6A">
        <w:t>the Annex to this document.</w:t>
      </w:r>
      <w:r w:rsidR="004B2D5B">
        <w:t xml:space="preserve"> </w:t>
      </w:r>
      <w:r w:rsidR="002556B3">
        <w:t>In summary, t</w:t>
      </w:r>
      <w:r w:rsidR="009456C3">
        <w:t xml:space="preserve">he group </w:t>
      </w:r>
      <w:r w:rsidR="00F53D6A">
        <w:t>agreed</w:t>
      </w:r>
      <w:r w:rsidR="009456C3">
        <w:t xml:space="preserve"> that the Model Regulations </w:t>
      </w:r>
      <w:r w:rsidR="00AE2B2D">
        <w:t>are</w:t>
      </w:r>
      <w:r w:rsidR="009456C3">
        <w:t xml:space="preserve"> intended for transport </w:t>
      </w:r>
      <w:r w:rsidR="004B2C88">
        <w:t xml:space="preserve">of </w:t>
      </w:r>
      <w:r w:rsidR="009456C3">
        <w:t>dangerous goods that are carried as a consignment. This include</w:t>
      </w:r>
      <w:r w:rsidR="002556B3">
        <w:t>s</w:t>
      </w:r>
      <w:r w:rsidR="009456C3">
        <w:t xml:space="preserve"> </w:t>
      </w:r>
      <w:r w:rsidR="009456C3" w:rsidRPr="00FA0FEC">
        <w:t>goods that are being traded but also other consignments such as empty uncleaned packaging</w:t>
      </w:r>
      <w:r w:rsidR="00F53D6A">
        <w:t>,</w:t>
      </w:r>
      <w:r w:rsidR="009456C3" w:rsidRPr="00FA0FEC">
        <w:t xml:space="preserve"> and even waste.</w:t>
      </w:r>
      <w:r w:rsidR="001E38E9">
        <w:t xml:space="preserve"> The group agreed</w:t>
      </w:r>
      <w:r w:rsidR="009456C3">
        <w:t xml:space="preserve"> that goods </w:t>
      </w:r>
      <w:r w:rsidR="009456C3" w:rsidRPr="00FA0FEC">
        <w:t>such as GPS trackers with lithium batteries</w:t>
      </w:r>
      <w:r w:rsidR="00AE2B2D">
        <w:t xml:space="preserve"> </w:t>
      </w:r>
      <w:r w:rsidR="009456C3" w:rsidRPr="00FA0FEC">
        <w:t xml:space="preserve">fall within the scope of the </w:t>
      </w:r>
      <w:r w:rsidR="001E38E9">
        <w:t>Model R</w:t>
      </w:r>
      <w:r w:rsidR="009456C3" w:rsidRPr="00FA0FEC">
        <w:t>egulations when carried as a consignment</w:t>
      </w:r>
      <w:r w:rsidR="00F53D6A">
        <w:t xml:space="preserve">, but </w:t>
      </w:r>
      <w:r w:rsidR="009456C3" w:rsidRPr="00FA0FEC">
        <w:t>when placed on the frame of a rail vehicle or attached to a container, they are not considered a consignment and should therefore be excluded from the scope of the Model Regulations</w:t>
      </w:r>
      <w:r w:rsidR="00F53D6A">
        <w:t>.</w:t>
      </w:r>
    </w:p>
    <w:p w14:paraId="50DAF182" w14:textId="65272DBE" w:rsidR="002556B3" w:rsidRDefault="009559C7" w:rsidP="002556B3">
      <w:pPr>
        <w:pStyle w:val="SingleTxtG"/>
      </w:pPr>
      <w:r>
        <w:t>6</w:t>
      </w:r>
      <w:r w:rsidR="00F53D6A">
        <w:t>.</w:t>
      </w:r>
      <w:r w:rsidR="00F53D6A">
        <w:tab/>
        <w:t xml:space="preserve">The group </w:t>
      </w:r>
      <w:r w:rsidR="00575DD8">
        <w:t>agreed t</w:t>
      </w:r>
      <w:r w:rsidR="00F53D6A" w:rsidRPr="00FA0FEC">
        <w:t xml:space="preserve">hat </w:t>
      </w:r>
      <w:r w:rsidR="00575DD8">
        <w:t xml:space="preserve">when the Model Regulations do not apply </w:t>
      </w:r>
      <w:r w:rsidR="002556B3">
        <w:t>to goods</w:t>
      </w:r>
      <w:r w:rsidR="00575DD8">
        <w:t xml:space="preserve"> </w:t>
      </w:r>
      <w:r w:rsidR="002556B3">
        <w:t xml:space="preserve">because they </w:t>
      </w:r>
      <w:r w:rsidR="00575DD8">
        <w:t xml:space="preserve">are not </w:t>
      </w:r>
      <w:r w:rsidR="002556B3">
        <w:t xml:space="preserve">a </w:t>
      </w:r>
      <w:r w:rsidR="00575DD8">
        <w:t xml:space="preserve">consignment, these goods should not be subject to </w:t>
      </w:r>
      <w:r w:rsidR="00F53D6A" w:rsidRPr="00FA0FEC">
        <w:t xml:space="preserve">any of the provisions of the Model Regulations. </w:t>
      </w:r>
      <w:r w:rsidR="002E4651">
        <w:t>Excluding goods with conditions</w:t>
      </w:r>
      <w:r w:rsidR="004A22D4">
        <w:t xml:space="preserve"> </w:t>
      </w:r>
      <w:r w:rsidR="00226B8A">
        <w:t xml:space="preserve">leads to complex regulations and </w:t>
      </w:r>
      <w:r w:rsidR="004A22D4">
        <w:t xml:space="preserve">could </w:t>
      </w:r>
      <w:r w:rsidR="00226B8A">
        <w:t xml:space="preserve">in addition </w:t>
      </w:r>
      <w:r w:rsidR="004A22D4">
        <w:t>hav</w:t>
      </w:r>
      <w:r w:rsidR="002556B3">
        <w:t>e far-reaching consequences and bring under scope goods and operations for which the Model Regulations were not intended.</w:t>
      </w:r>
      <w:r w:rsidR="00575DD8" w:rsidRPr="00FA0FEC">
        <w:t xml:space="preserve"> </w:t>
      </w:r>
    </w:p>
    <w:p w14:paraId="22533B88" w14:textId="5D8197C9" w:rsidR="008F3F16" w:rsidRDefault="009559C7" w:rsidP="002556B3">
      <w:pPr>
        <w:pStyle w:val="SingleTxtG"/>
      </w:pPr>
      <w:r>
        <w:t>7</w:t>
      </w:r>
      <w:r w:rsidR="005E305A">
        <w:t>.</w:t>
      </w:r>
      <w:r w:rsidR="005E305A">
        <w:tab/>
        <w:t>It was</w:t>
      </w:r>
      <w:r w:rsidR="002556B3">
        <w:t xml:space="preserve"> acknowledged that </w:t>
      </w:r>
      <w:r w:rsidR="00A154F0">
        <w:t xml:space="preserve">in the past, </w:t>
      </w:r>
      <w:r w:rsidR="00733FDB">
        <w:t>the Model Regulations</w:t>
      </w:r>
      <w:r w:rsidR="002556B3">
        <w:t xml:space="preserve"> </w:t>
      </w:r>
      <w:r w:rsidR="00B93352">
        <w:t xml:space="preserve">had </w:t>
      </w:r>
      <w:r w:rsidR="00A154F0">
        <w:t xml:space="preserve">brought </w:t>
      </w:r>
      <w:r w:rsidR="002556B3">
        <w:t xml:space="preserve">into scope items that are not consignments, such as fumigated CTUs (section 5.5.2) and substances used for cooling (section 5.5.3). </w:t>
      </w:r>
      <w:r w:rsidR="00812639">
        <w:t xml:space="preserve">Although </w:t>
      </w:r>
      <w:r w:rsidR="008F3F16">
        <w:t xml:space="preserve">addressing safety issues, </w:t>
      </w:r>
      <w:r w:rsidR="00A23F45">
        <w:t>these provisions</w:t>
      </w:r>
      <w:r w:rsidR="008F3F16" w:rsidRPr="00FA0FEC">
        <w:t xml:space="preserve"> </w:t>
      </w:r>
      <w:r w:rsidR="004B2D5B">
        <w:t xml:space="preserve">extend </w:t>
      </w:r>
      <w:r w:rsidR="008F3F16" w:rsidRPr="00FA0FEC">
        <w:t xml:space="preserve">the </w:t>
      </w:r>
      <w:r w:rsidR="004B2D5B">
        <w:t>scope of the Model Regulations</w:t>
      </w:r>
      <w:r w:rsidR="008F3F16" w:rsidRPr="00FA0FEC">
        <w:t xml:space="preserve"> to areas that are outside the focus/scope of the Model Regulations</w:t>
      </w:r>
      <w:r w:rsidR="00B93352">
        <w:t xml:space="preserve"> since t</w:t>
      </w:r>
      <w:r w:rsidR="00B93352" w:rsidRPr="00FA0FEC">
        <w:t xml:space="preserve">hese sections are </w:t>
      </w:r>
      <w:r w:rsidR="00A548B0">
        <w:t>also applicable to non-dangerous goods</w:t>
      </w:r>
      <w:r w:rsidR="00812639">
        <w:t>.</w:t>
      </w:r>
      <w:r w:rsidR="005E305A">
        <w:t xml:space="preserve"> </w:t>
      </w:r>
    </w:p>
    <w:p w14:paraId="5851A299" w14:textId="70282B43" w:rsidR="00A23F45" w:rsidRDefault="002E4651" w:rsidP="002E4651">
      <w:pPr>
        <w:pStyle w:val="SingleTxtG"/>
      </w:pPr>
      <w:r>
        <w:t>8</w:t>
      </w:r>
      <w:r w:rsidR="009559C7">
        <w:t>.</w:t>
      </w:r>
      <w:r w:rsidR="009559C7">
        <w:tab/>
        <w:t>The group agreed to continue the discussions during the 52</w:t>
      </w:r>
      <w:r w:rsidR="009559C7" w:rsidRPr="00A23F45">
        <w:rPr>
          <w:vertAlign w:val="superscript"/>
        </w:rPr>
        <w:t>nd</w:t>
      </w:r>
      <w:r w:rsidR="009559C7">
        <w:t xml:space="preserve"> session of the UN SCE TDG, e.g. </w:t>
      </w:r>
      <w:r w:rsidR="00BE51FC">
        <w:t>in</w:t>
      </w:r>
      <w:r w:rsidR="009559C7">
        <w:t xml:space="preserve"> a lunch-time working group. The </w:t>
      </w:r>
      <w:r w:rsidR="00812639">
        <w:t xml:space="preserve">Dutch </w:t>
      </w:r>
      <w:r w:rsidR="009559C7">
        <w:t xml:space="preserve">representative </w:t>
      </w:r>
      <w:r w:rsidR="00812639">
        <w:t>suggest</w:t>
      </w:r>
      <w:r w:rsidR="009559C7">
        <w:t xml:space="preserve">s </w:t>
      </w:r>
      <w:r w:rsidR="005E305A">
        <w:t>examining</w:t>
      </w:r>
      <w:r w:rsidR="00812639">
        <w:t xml:space="preserve"> </w:t>
      </w:r>
      <w:r w:rsidR="00B53626">
        <w:t xml:space="preserve">whether and </w:t>
      </w:r>
      <w:r w:rsidR="00812639">
        <w:t>how</w:t>
      </w:r>
      <w:r w:rsidR="00BF5731">
        <w:t xml:space="preserve"> </w:t>
      </w:r>
      <w:r w:rsidR="001C73CF">
        <w:t xml:space="preserve">the </w:t>
      </w:r>
      <w:r w:rsidR="00B53626">
        <w:t>relevant parts</w:t>
      </w:r>
      <w:r w:rsidR="00BF5731">
        <w:t xml:space="preserve"> </w:t>
      </w:r>
      <w:r w:rsidR="001C73CF">
        <w:t>of the Model Regulations</w:t>
      </w:r>
      <w:r w:rsidR="00812639">
        <w:t xml:space="preserve"> </w:t>
      </w:r>
      <w:r w:rsidR="00B53626">
        <w:t xml:space="preserve">e.g. section 1.1.1 </w:t>
      </w:r>
      <w:r w:rsidR="001C73CF">
        <w:t>can</w:t>
      </w:r>
      <w:r w:rsidR="00BF5731">
        <w:t xml:space="preserve"> </w:t>
      </w:r>
      <w:r w:rsidR="00B53626">
        <w:t>be adjusted through e.g. relocations of some provisions or additional text, to clarify the status</w:t>
      </w:r>
      <w:r w:rsidR="002B5EBB">
        <w:t xml:space="preserve"> of</w:t>
      </w:r>
      <w:r w:rsidR="00B53626">
        <w:t xml:space="preserve"> </w:t>
      </w:r>
      <w:r w:rsidR="002B5EBB">
        <w:t xml:space="preserve">and provisions for </w:t>
      </w:r>
      <w:r w:rsidR="009559C7">
        <w:t>consignments, non-consignments that are excluded from scope</w:t>
      </w:r>
      <w:r w:rsidR="003738D2">
        <w:t>,</w:t>
      </w:r>
      <w:r w:rsidR="009559C7">
        <w:t xml:space="preserve"> and </w:t>
      </w:r>
      <w:r w:rsidR="009559C7" w:rsidRPr="00FA0FEC">
        <w:t xml:space="preserve">non-consignments/operational aspects/worker safety issues </w:t>
      </w:r>
      <w:r w:rsidR="003738D2">
        <w:t xml:space="preserve">that in the past were brought into scope </w:t>
      </w:r>
      <w:r w:rsidR="00A154F0">
        <w:t>(</w:t>
      </w:r>
      <w:r w:rsidR="00F67776">
        <w:t>e.g.</w:t>
      </w:r>
      <w:r w:rsidR="00A154F0">
        <w:t xml:space="preserve"> </w:t>
      </w:r>
      <w:r w:rsidR="00BF5731">
        <w:t xml:space="preserve">current </w:t>
      </w:r>
      <w:r w:rsidR="00A154F0">
        <w:t>sections 5.5.2 and 5.5.</w:t>
      </w:r>
      <w:r w:rsidR="00BF5731">
        <w:t>3</w:t>
      </w:r>
      <w:r w:rsidR="003738D2">
        <w:t>)</w:t>
      </w:r>
      <w:r w:rsidR="00B53626">
        <w:t>.</w:t>
      </w:r>
      <w:r w:rsidR="00A23F45">
        <w:br w:type="page"/>
      </w:r>
    </w:p>
    <w:p w14:paraId="2F8869FC" w14:textId="77777777" w:rsidR="00C22A02" w:rsidRPr="00F32ED6" w:rsidRDefault="00C22A02" w:rsidP="00D55896">
      <w:pPr>
        <w:pStyle w:val="HChG"/>
        <w:rPr>
          <w:rFonts w:eastAsia="Arial"/>
        </w:rPr>
      </w:pPr>
      <w:r>
        <w:rPr>
          <w:rFonts w:eastAsia="Arial"/>
        </w:rPr>
        <w:lastRenderedPageBreak/>
        <w:t xml:space="preserve">Annex </w:t>
      </w:r>
    </w:p>
    <w:p w14:paraId="5AA36D38" w14:textId="768EA0C0" w:rsidR="00C22A02" w:rsidRPr="00DB7389" w:rsidRDefault="00D55896" w:rsidP="00D55896">
      <w:pPr>
        <w:pStyle w:val="HChG"/>
        <w:rPr>
          <w:lang w:val="en-US"/>
        </w:rPr>
      </w:pPr>
      <w:r>
        <w:tab/>
      </w:r>
      <w:r>
        <w:tab/>
      </w:r>
      <w:r w:rsidR="00C22A02" w:rsidRPr="00DB7389">
        <w:t>Summary of the 1</w:t>
      </w:r>
      <w:r w:rsidR="00C22A02" w:rsidRPr="00DB7389">
        <w:rPr>
          <w:vertAlign w:val="superscript"/>
        </w:rPr>
        <w:t>st</w:t>
      </w:r>
      <w:r w:rsidR="00C22A02" w:rsidRPr="00DB7389">
        <w:t xml:space="preserve"> teleconference on the </w:t>
      </w:r>
      <w:r w:rsidR="00C22A02" w:rsidRPr="00DB7389">
        <w:rPr>
          <w:lang w:val="en-US"/>
        </w:rPr>
        <w:t>scope of sections 1.1.1.1 &amp; 1</w:t>
      </w:r>
      <w:r w:rsidR="00C22A02">
        <w:rPr>
          <w:lang w:val="en-US"/>
        </w:rPr>
        <w:t>.1.1.2 of the Model Regulations</w:t>
      </w:r>
    </w:p>
    <w:p w14:paraId="3EDFCB34" w14:textId="0E27AB59" w:rsidR="00C22A02" w:rsidRDefault="00D55896" w:rsidP="00D55896">
      <w:pPr>
        <w:pStyle w:val="SingleTxtG"/>
      </w:pPr>
      <w:r>
        <w:t>-</w:t>
      </w:r>
      <w:r>
        <w:tab/>
      </w:r>
      <w:r w:rsidR="00C22A02" w:rsidRPr="00FA0FEC">
        <w:t>The group agreed that a clear line is needed on which goods fall under the scope of the Model Regulations and to which goods the Model Regulations do not apply. This will increase the clarity of the Model Regulations. It may also increase the efficiency of the meetings as we may spend less time on issues that are on the margins of the Model Regulations.</w:t>
      </w:r>
    </w:p>
    <w:p w14:paraId="0B1A8B31" w14:textId="7DBBAB87" w:rsidR="00C22A02" w:rsidRDefault="00D55896" w:rsidP="00D55896">
      <w:pPr>
        <w:pStyle w:val="SingleTxtG"/>
      </w:pPr>
      <w:r>
        <w:t>-</w:t>
      </w:r>
      <w:r>
        <w:tab/>
      </w:r>
      <w:r w:rsidR="00C22A02" w:rsidRPr="00FA0FEC">
        <w:t>The Model Regulations do not contain a definition of dangerous goods but description in 1.1.1.1 and 1.1.1.2 give guidance on the scope.</w:t>
      </w:r>
    </w:p>
    <w:p w14:paraId="6EE80970" w14:textId="37804BEB" w:rsidR="00C22A02" w:rsidRDefault="00D55896" w:rsidP="00D55896">
      <w:pPr>
        <w:pStyle w:val="SingleTxtG"/>
      </w:pPr>
      <w:r>
        <w:t>-</w:t>
      </w:r>
      <w:r>
        <w:tab/>
      </w:r>
      <w:r w:rsidR="00C22A02" w:rsidRPr="00FA0FEC">
        <w:t>The group agreed that the Model Regulations were developed and intended for transport of dangerous goods that are carried as a consignment (payload, load, cargo…). This includes goods that are being traded but also other consignments such as empty uncleaned packaging and containers and even waste.</w:t>
      </w:r>
    </w:p>
    <w:p w14:paraId="7A0EDACD" w14:textId="6CE92B1C" w:rsidR="00C22A02" w:rsidRDefault="00D55896" w:rsidP="00D55896">
      <w:pPr>
        <w:pStyle w:val="SingleTxtG"/>
      </w:pPr>
      <w:r>
        <w:t>-</w:t>
      </w:r>
      <w:r>
        <w:tab/>
      </w:r>
      <w:r w:rsidR="00C22A02" w:rsidRPr="00FA0FEC">
        <w:t xml:space="preserve">The term ‘payload’ was suggested as a possible term to describe the dangerous goods in scope, i.e. the goods that are offered for transport and that have been properly classified, packaged, marked, labelled, </w:t>
      </w:r>
      <w:proofErr w:type="spellStart"/>
      <w:r w:rsidR="00C22A02" w:rsidRPr="00FA0FEC">
        <w:t>placarded</w:t>
      </w:r>
      <w:proofErr w:type="spellEnd"/>
      <w:r w:rsidR="00C22A02" w:rsidRPr="00FA0FEC">
        <w:t>, described and certified on a transport document and in a condition for transport (as described in 1.1.1.1). (</w:t>
      </w:r>
      <w:proofErr w:type="gramStart"/>
      <w:r w:rsidR="00C22A02" w:rsidRPr="00FA0FEC">
        <w:t>load</w:t>
      </w:r>
      <w:proofErr w:type="gramEnd"/>
      <w:r w:rsidR="00C22A02" w:rsidRPr="00FA0FEC">
        <w:t>, cargo, consignment).</w:t>
      </w:r>
    </w:p>
    <w:p w14:paraId="6675C8BD" w14:textId="69BD1928" w:rsidR="00C22A02" w:rsidRDefault="00D55896" w:rsidP="00D55896">
      <w:pPr>
        <w:pStyle w:val="SingleTxtG"/>
      </w:pPr>
      <w:r>
        <w:t>-</w:t>
      </w:r>
      <w:r>
        <w:tab/>
      </w:r>
      <w:r w:rsidR="00C22A02" w:rsidRPr="00FA0FEC">
        <w:t xml:space="preserve">The group agreed that goods such as GPS trackers with lithium batteries fall within the scope of the </w:t>
      </w:r>
      <w:r w:rsidR="001E38E9">
        <w:t xml:space="preserve">Model </w:t>
      </w:r>
      <w:r w:rsidR="00C22A02" w:rsidRPr="00FA0FEC">
        <w:t xml:space="preserve">Regulations when carried as a consignment (payload, load, cargo…). However, when such goods are placed on the frame of a rail vehicle or attached to a container, they are not considered a consignment (payload, load, cargo…) and should therefore be excluded from the scope of the Model Regulations. </w:t>
      </w:r>
    </w:p>
    <w:p w14:paraId="370689EB" w14:textId="4D5562BD" w:rsidR="00C22A02" w:rsidRDefault="00D55896" w:rsidP="00D55896">
      <w:pPr>
        <w:pStyle w:val="SingleTxtG"/>
      </w:pPr>
      <w:r>
        <w:t>-</w:t>
      </w:r>
      <w:r>
        <w:tab/>
      </w:r>
      <w:r w:rsidR="00C22A02" w:rsidRPr="00FA0FEC">
        <w:t xml:space="preserve">The Model Regulations uses the terms ‘the Regulations do not apply to’, ‘are not subject to these Regulations’, ‘exemptions’ and ‘exceptions’ when limiting the scope and providing for deviations from the general rules. The distinction between these </w:t>
      </w:r>
      <w:r w:rsidR="005E2B1C">
        <w:t>four</w:t>
      </w:r>
      <w:r w:rsidR="00C22A02" w:rsidRPr="00FA0FEC">
        <w:t xml:space="preserve"> terms is not entirely clear and there were different views whether ‘the Regulations do not apply’ means the same as ‘exemption’. A common understanding of these terms may increase the clarity of the Model Regulations.</w:t>
      </w:r>
    </w:p>
    <w:p w14:paraId="5D62FB43" w14:textId="78B871D4" w:rsidR="00C22A02" w:rsidRDefault="00D55896" w:rsidP="00D55896">
      <w:pPr>
        <w:pStyle w:val="SingleTxtG"/>
      </w:pPr>
      <w:r>
        <w:t>-</w:t>
      </w:r>
      <w:r>
        <w:tab/>
      </w:r>
      <w:r w:rsidR="00C22A02" w:rsidRPr="00FA0FEC">
        <w:t xml:space="preserve">The group agreed that goods that are outside the scope of the Model Regulations because they are not consignments (payload, load, cargo…), should not be subject to any of the provisions of the Model Regulations. The Model Regulations do not apply to these goods. By subjecting such goods to provisions of the Model Regulations, the Model Regulations would still apply and this makes 1.1.1.2 contradictory and confusing. </w:t>
      </w:r>
    </w:p>
    <w:p w14:paraId="033FBD84" w14:textId="353E75B4" w:rsidR="00C22A02" w:rsidRDefault="00D55896" w:rsidP="00D55896">
      <w:pPr>
        <w:pStyle w:val="SingleTxtG"/>
        <w:rPr>
          <w:bCs/>
        </w:rPr>
      </w:pPr>
      <w:r>
        <w:t>-</w:t>
      </w:r>
      <w:r>
        <w:tab/>
      </w:r>
      <w:r w:rsidR="00C22A02" w:rsidRPr="00FA0FEC">
        <w:t>There is a concern with excluding goods from the scope of the Model Regulations via 1.1.1.2 while still subjecting them to some provisions of the Model Regulati</w:t>
      </w:r>
      <w:r w:rsidR="00575DD8">
        <w:t>ons. If such goods do not fulfi</w:t>
      </w:r>
      <w:r w:rsidR="00C22A02" w:rsidRPr="00FA0FEC">
        <w:t xml:space="preserve">l one or more of these provisions, these goods will come into scope. In that case, all relevant provisions of the Model Regulations will apply irrespective of whether the consignment is dangerous goods or not dangerous goods. </w:t>
      </w:r>
      <w:r w:rsidR="00C22A02" w:rsidRPr="00FA0FEC">
        <w:rPr>
          <w:bCs/>
        </w:rPr>
        <w:t>A</w:t>
      </w:r>
      <w:r w:rsidR="00C22A02" w:rsidRPr="00FA0FEC">
        <w:t xml:space="preserve"> single GPS tracker on a container that does not meet the specified exclusion criteria could cause a whole containership carrying only non-dangerous goods to fall under the scope of all of the relevant provisions of the IMDG code even if the GPS tracker is not the goods being consigned. (See e.g. amendments to 1.1.1.2 provisionally adopted at the 51</w:t>
      </w:r>
      <w:r w:rsidR="00C22A02" w:rsidRPr="00FA0FEC">
        <w:rPr>
          <w:vertAlign w:val="superscript"/>
        </w:rPr>
        <w:t>st</w:t>
      </w:r>
      <w:r w:rsidR="00C22A02" w:rsidRPr="00FA0FEC">
        <w:t xml:space="preserve"> UN SCE TG as reported in</w:t>
      </w:r>
      <w:r w:rsidR="00C22A02" w:rsidRPr="00FA0FEC">
        <w:rPr>
          <w:bCs/>
        </w:rPr>
        <w:t xml:space="preserve"> ST/SG/AC.10/C.3/102/Add.1 Annex II, Chapter 1.1). </w:t>
      </w:r>
    </w:p>
    <w:p w14:paraId="3F56281A" w14:textId="77777777" w:rsidR="00C22A02" w:rsidRDefault="00C22A02" w:rsidP="00C22A02">
      <w:pPr>
        <w:ind w:left="567" w:right="567"/>
        <w:jc w:val="both"/>
        <w:rPr>
          <w:bCs/>
        </w:rPr>
      </w:pPr>
    </w:p>
    <w:p w14:paraId="674D3B4C" w14:textId="09FE2133" w:rsidR="00C22A02" w:rsidRDefault="00C22A02" w:rsidP="00D55896">
      <w:pPr>
        <w:pStyle w:val="SingleTxtG"/>
        <w:numPr>
          <w:ilvl w:val="0"/>
          <w:numId w:val="24"/>
        </w:numPr>
        <w:ind w:left="1134" w:firstLine="0"/>
      </w:pPr>
      <w:r w:rsidRPr="00FA0FEC">
        <w:lastRenderedPageBreak/>
        <w:t>Bringing non-consignments (non-load, non-payload, non-cargo) under the scope of the Model Regulations would therefore greatly extend the scope. It was questioned whether the Model Regulations were the appropriate place for such provisions. It was also questioned whether those involved in transport of non-dangerous goods were aware of the relevant regulations on the transport of dangerous goods and whether they could be complied with. If not, then the safety benefit of these provisions will be limited.</w:t>
      </w:r>
    </w:p>
    <w:p w14:paraId="3309B3FB" w14:textId="40B18497" w:rsidR="00C22A02" w:rsidRDefault="00C22A02" w:rsidP="00B8268E">
      <w:pPr>
        <w:pStyle w:val="SingleTxtG"/>
        <w:numPr>
          <w:ilvl w:val="0"/>
          <w:numId w:val="24"/>
        </w:numPr>
        <w:ind w:left="1134" w:firstLine="0"/>
      </w:pPr>
      <w:r>
        <w:t>I</w:t>
      </w:r>
      <w:r w:rsidRPr="00FA0FEC">
        <w:t>t was discussed whether the primary reason GPS trackers (as an example) should be excluded from scope was because of the low hazard or because of a more fundamental demarcation as a non-consignment (non-load, non-payload, non-cargo). Most agreed that these GPS trackers were not a consignment (payload, load, cargo…) and therefore not in scope.</w:t>
      </w:r>
    </w:p>
    <w:p w14:paraId="43B77381" w14:textId="0D438079" w:rsidR="00C22A02" w:rsidRDefault="00C22A02" w:rsidP="00B8268E">
      <w:pPr>
        <w:pStyle w:val="SingleTxtG"/>
        <w:numPr>
          <w:ilvl w:val="0"/>
          <w:numId w:val="24"/>
        </w:numPr>
        <w:ind w:left="1134" w:firstLine="0"/>
      </w:pPr>
      <w:r w:rsidRPr="00FA0FEC">
        <w:t>However, the current Model Regulations contain provisions that explicitly bring items that are not consignments (load, payload, cargo) into scope. The most notable ones are sections 5.5.2 and 5.5.3 on fumigated CTUs and substances used for cooling and conditioning, respectively. These sections are applicable irrespective of whether the consignment is dangerous goods or any other goods. It is not clear whether those involved with transport of non-dangerous goods are aware of the existence of these provisions in the relevant dangerous goods regulation. How effective are these provisions?</w:t>
      </w:r>
    </w:p>
    <w:p w14:paraId="26E171F1" w14:textId="0D30CCDE" w:rsidR="00C22A02" w:rsidRDefault="00C22A02" w:rsidP="00B8268E">
      <w:pPr>
        <w:pStyle w:val="SingleTxtG"/>
        <w:numPr>
          <w:ilvl w:val="0"/>
          <w:numId w:val="24"/>
        </w:numPr>
        <w:ind w:left="1134" w:firstLine="0"/>
      </w:pPr>
      <w:r w:rsidRPr="00FA0FEC">
        <w:t>Are the fumigants a consignment or a part of the transport operation? These provisions relate to routine activities of opening the doors of a fumigated transport unit that can lead to a hazardous situation for the worker.</w:t>
      </w:r>
    </w:p>
    <w:p w14:paraId="02E7F114" w14:textId="663CDF3B" w:rsidR="00C22A02" w:rsidRDefault="00B8268E" w:rsidP="00B8268E">
      <w:pPr>
        <w:pStyle w:val="SingleTxtG"/>
      </w:pPr>
      <w:r>
        <w:t>-</w:t>
      </w:r>
      <w:r>
        <w:tab/>
      </w:r>
      <w:r w:rsidR="00C22A02" w:rsidRPr="00FA0FEC">
        <w:t xml:space="preserve">Section 5.5.2 on fumigants has been a part of the Model Regulations since before 1999. The group did not know the exact justification for including these provisions in the Model Regulations at the time but it is possible that no other suitable piece of legislation could be identified to host these provisions. It may be worth looking into the origin of these provisions to better understand them and the rational for their inclusion. </w:t>
      </w:r>
    </w:p>
    <w:p w14:paraId="18D667C0" w14:textId="7531EAF9" w:rsidR="00C22A02" w:rsidRDefault="00B8268E" w:rsidP="00B8268E">
      <w:pPr>
        <w:pStyle w:val="SingleTxtG"/>
      </w:pPr>
      <w:r>
        <w:t>-</w:t>
      </w:r>
      <w:r>
        <w:tab/>
      </w:r>
      <w:r w:rsidR="00C22A02" w:rsidRPr="00FA0FEC">
        <w:t xml:space="preserve">While the provisions in 5.5.2 and 5.5.3 address important safety issues, the downside of their inclusion is that the scope of the Model Regulations has been extended to areas that are on the border of or outside the focus/scope of the Model Regulations. During recent discussion on security, similar concerns about extending the scope to areas which were not the focus of the Model Regulations were brought up. We hesitate to make the Model Regulations a home to all provisions that would otherwise be homeless. </w:t>
      </w:r>
    </w:p>
    <w:p w14:paraId="4835CBEF" w14:textId="4AECB522" w:rsidR="00C22A02" w:rsidRDefault="00B8268E" w:rsidP="00D55896">
      <w:pPr>
        <w:pStyle w:val="SingleTxtG"/>
      </w:pPr>
      <w:r>
        <w:t>-</w:t>
      </w:r>
      <w:r>
        <w:tab/>
      </w:r>
      <w:bookmarkStart w:id="0" w:name="_GoBack"/>
      <w:bookmarkEnd w:id="0"/>
      <w:r w:rsidR="00C22A02" w:rsidRPr="00FA0FEC">
        <w:t xml:space="preserve">It was discussed whether the provisions in 5.5.2 and 5.5.3 were located in the most appropriate place in the Model Regulations. Some restructuring of the Model Regulations might help clarify the status of these provisions and help distinguish between consignments (load, payload, cargo) that are the focus of the Model Regulations, non-consignments that are excluded from scope and non-consignments/operational aspects/worker safety issues that in the past have been explicitly brought into scope. Going through this exercise can help determine which provisions are applicable and to what. </w:t>
      </w:r>
    </w:p>
    <w:p w14:paraId="2AD74726" w14:textId="12F24FA5" w:rsidR="00680238" w:rsidRPr="00680238" w:rsidRDefault="00680238" w:rsidP="00680238">
      <w:pPr>
        <w:pStyle w:val="SingleTxtG"/>
        <w:spacing w:before="240" w:after="0"/>
        <w:jc w:val="center"/>
        <w:rPr>
          <w:u w:val="single"/>
        </w:rPr>
      </w:pPr>
      <w:r>
        <w:rPr>
          <w:u w:val="single"/>
        </w:rPr>
        <w:tab/>
      </w:r>
      <w:r>
        <w:rPr>
          <w:u w:val="single"/>
        </w:rPr>
        <w:tab/>
      </w:r>
      <w:r>
        <w:rPr>
          <w:u w:val="single"/>
        </w:rPr>
        <w:tab/>
      </w:r>
    </w:p>
    <w:p w14:paraId="2E37FEF4" w14:textId="77777777" w:rsidR="00680238" w:rsidRPr="00680238" w:rsidRDefault="00680238" w:rsidP="00680238">
      <w:pPr>
        <w:rPr>
          <w:rFonts w:eastAsia="SimSun"/>
          <w:lang w:eastAsia="en-GB"/>
        </w:rPr>
      </w:pPr>
    </w:p>
    <w:sectPr w:rsidR="00680238" w:rsidRPr="00680238"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3E3CB" w14:textId="77777777" w:rsidR="002A3FFA" w:rsidRDefault="002A3FFA"/>
  </w:endnote>
  <w:endnote w:type="continuationSeparator" w:id="0">
    <w:p w14:paraId="574E9712" w14:textId="77777777" w:rsidR="002A3FFA" w:rsidRDefault="002A3FFA"/>
  </w:endnote>
  <w:endnote w:type="continuationNotice" w:id="1">
    <w:p w14:paraId="7D873A11" w14:textId="77777777" w:rsidR="002A3FFA" w:rsidRDefault="002A3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F3A4" w14:textId="77777777" w:rsidR="00BA02A0" w:rsidRPr="0099001C" w:rsidRDefault="00BA02A0"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8268E">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5CA9" w14:textId="77777777" w:rsidR="00BA02A0" w:rsidRPr="0099001C" w:rsidRDefault="00BA02A0"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8268E">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6BB6F" w14:textId="77777777" w:rsidR="002A3FFA" w:rsidRPr="000B175B" w:rsidRDefault="002A3FFA" w:rsidP="000B175B">
      <w:pPr>
        <w:tabs>
          <w:tab w:val="right" w:pos="2155"/>
        </w:tabs>
        <w:spacing w:after="80"/>
        <w:ind w:left="680"/>
        <w:rPr>
          <w:u w:val="single"/>
        </w:rPr>
      </w:pPr>
      <w:r>
        <w:rPr>
          <w:u w:val="single"/>
        </w:rPr>
        <w:tab/>
      </w:r>
    </w:p>
  </w:footnote>
  <w:footnote w:type="continuationSeparator" w:id="0">
    <w:p w14:paraId="5A34C807" w14:textId="77777777" w:rsidR="002A3FFA" w:rsidRPr="00FC68B7" w:rsidRDefault="002A3FFA" w:rsidP="00FC68B7">
      <w:pPr>
        <w:tabs>
          <w:tab w:val="left" w:pos="2155"/>
        </w:tabs>
        <w:spacing w:after="80"/>
        <w:ind w:left="680"/>
        <w:rPr>
          <w:u w:val="single"/>
        </w:rPr>
      </w:pPr>
      <w:r>
        <w:rPr>
          <w:u w:val="single"/>
        </w:rPr>
        <w:tab/>
      </w:r>
    </w:p>
  </w:footnote>
  <w:footnote w:type="continuationNotice" w:id="1">
    <w:p w14:paraId="05F44E48" w14:textId="77777777" w:rsidR="002A3FFA" w:rsidRDefault="002A3F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AB0D" w14:textId="559A10A4" w:rsidR="00BA02A0" w:rsidRPr="0099001C" w:rsidRDefault="002F0E3D" w:rsidP="00DE3A0C">
    <w:pPr>
      <w:pStyle w:val="Header"/>
    </w:pPr>
    <w:r>
      <w:t>UN/SCETDG/52/INF.</w:t>
    </w:r>
    <w:r w:rsidR="00D55896">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B03D" w14:textId="18C94023" w:rsidR="00BA02A0" w:rsidRPr="0099001C" w:rsidRDefault="00C0162F" w:rsidP="00DE3A0C">
    <w:pPr>
      <w:pStyle w:val="Header"/>
      <w:jc w:val="right"/>
    </w:pPr>
    <w:r>
      <w:t>UN/SCETDG/52</w:t>
    </w:r>
    <w:r w:rsidR="00BA02A0" w:rsidRPr="007E344F">
      <w:t>/</w:t>
    </w:r>
    <w:proofErr w:type="spellStart"/>
    <w:r w:rsidR="00BA02A0" w:rsidRPr="007E344F">
      <w:t>INF.</w:t>
    </w:r>
    <w:r w:rsidR="00AA022C" w:rsidRPr="00AA022C">
      <w:rPr>
        <w:highlight w:val="yellow"/>
      </w:rPr>
      <w:t>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F84762"/>
    <w:multiLevelType w:val="hybridMultilevel"/>
    <w:tmpl w:val="B3185488"/>
    <w:lvl w:ilvl="0" w:tplc="D97271B6">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4">
    <w:nsid w:val="170606A3"/>
    <w:multiLevelType w:val="hybridMultilevel"/>
    <w:tmpl w:val="8A123A7A"/>
    <w:lvl w:ilvl="0" w:tplc="08090017">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7C47E42"/>
    <w:multiLevelType w:val="hybridMultilevel"/>
    <w:tmpl w:val="126297D6"/>
    <w:lvl w:ilvl="0" w:tplc="114E5CF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2148B7"/>
    <w:multiLevelType w:val="hybridMultilevel"/>
    <w:tmpl w:val="CF26854A"/>
    <w:lvl w:ilvl="0" w:tplc="5050777A">
      <w:start w:val="1"/>
      <w:numFmt w:val="decimal"/>
      <w:lvlText w:val="%1."/>
      <w:lvlJc w:val="left"/>
      <w:pPr>
        <w:ind w:left="555" w:hanging="555"/>
      </w:pPr>
      <w:rPr>
        <w:rFonts w:hint="default"/>
      </w:rPr>
    </w:lvl>
    <w:lvl w:ilvl="1" w:tplc="08090017">
      <w:start w:val="1"/>
      <w:numFmt w:val="lowerLetter"/>
      <w:lvlText w:val="%2)"/>
      <w:lvlJc w:val="left"/>
      <w:pPr>
        <w:ind w:left="927"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2A7509C4"/>
    <w:multiLevelType w:val="hybridMultilevel"/>
    <w:tmpl w:val="5AC00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B12EA9"/>
    <w:multiLevelType w:val="hybridMultilevel"/>
    <w:tmpl w:val="002608C0"/>
    <w:lvl w:ilvl="0" w:tplc="1D3E389C">
      <w:start w:val="1"/>
      <w:numFmt w:val="decimal"/>
      <w:lvlText w:val="%1."/>
      <w:lvlJc w:val="left"/>
      <w:pPr>
        <w:ind w:left="927" w:hanging="360"/>
      </w:pPr>
      <w:rPr>
        <w:rFonts w:cs="Times New Roman" w:hint="default"/>
        <w:strike w:val="0"/>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3214593B"/>
    <w:multiLevelType w:val="hybridMultilevel"/>
    <w:tmpl w:val="DD12A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FC1A6A"/>
    <w:multiLevelType w:val="hybridMultilevel"/>
    <w:tmpl w:val="24A6668E"/>
    <w:lvl w:ilvl="0" w:tplc="895C2D40">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B84293"/>
    <w:multiLevelType w:val="hybridMultilevel"/>
    <w:tmpl w:val="8422883C"/>
    <w:lvl w:ilvl="0" w:tplc="3C1A2E6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AC408D2"/>
    <w:multiLevelType w:val="hybridMultilevel"/>
    <w:tmpl w:val="571E9B40"/>
    <w:lvl w:ilvl="0" w:tplc="8A00C9F8">
      <w:start w:val="1"/>
      <w:numFmt w:val="decimal"/>
      <w:lvlText w:val="%1."/>
      <w:lvlJc w:val="left"/>
      <w:pPr>
        <w:ind w:left="1641" w:hanging="555"/>
      </w:pPr>
      <w:rPr>
        <w:rFonts w:hint="default"/>
        <w:b w:val="0"/>
      </w:rPr>
    </w:lvl>
    <w:lvl w:ilvl="1" w:tplc="0A001B32">
      <w:start w:val="1"/>
      <w:numFmt w:val="lowerLetter"/>
      <w:lvlText w:val="(%2)"/>
      <w:lvlJc w:val="left"/>
      <w:pPr>
        <w:ind w:left="2345" w:hanging="360"/>
      </w:pPr>
      <w:rPr>
        <w:rFonts w:hint="default"/>
      </w:rPr>
    </w:lvl>
    <w:lvl w:ilvl="2" w:tplc="0809001B">
      <w:start w:val="1"/>
      <w:numFmt w:val="lowerRoman"/>
      <w:lvlText w:val="%3."/>
      <w:lvlJc w:val="right"/>
      <w:pPr>
        <w:ind w:left="4020" w:hanging="180"/>
      </w:pPr>
    </w:lvl>
    <w:lvl w:ilvl="3" w:tplc="0809000F">
      <w:start w:val="1"/>
      <w:numFmt w:val="decimal"/>
      <w:lvlText w:val="%4."/>
      <w:lvlJc w:val="left"/>
      <w:pPr>
        <w:ind w:left="4740" w:hanging="360"/>
      </w:pPr>
    </w:lvl>
    <w:lvl w:ilvl="4" w:tplc="08090019">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17">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4B0B29"/>
    <w:multiLevelType w:val="hybridMultilevel"/>
    <w:tmpl w:val="6FEABCF4"/>
    <w:lvl w:ilvl="0" w:tplc="F2B6DE5E">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21"/>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15"/>
  </w:num>
  <w:num w:numId="10">
    <w:abstractNumId w:val="7"/>
  </w:num>
  <w:num w:numId="11">
    <w:abstractNumId w:val="3"/>
  </w:num>
  <w:num w:numId="12">
    <w:abstractNumId w:val="20"/>
  </w:num>
  <w:num w:numId="13">
    <w:abstractNumId w:val="0"/>
  </w:num>
  <w:num w:numId="14">
    <w:abstractNumId w:val="8"/>
  </w:num>
  <w:num w:numId="15">
    <w:abstractNumId w:val="16"/>
  </w:num>
  <w:num w:numId="16">
    <w:abstractNumId w:val="4"/>
  </w:num>
  <w:num w:numId="17">
    <w:abstractNumId w:val="6"/>
  </w:num>
  <w:num w:numId="18">
    <w:abstractNumId w:val="12"/>
  </w:num>
  <w:num w:numId="19">
    <w:abstractNumId w:val="5"/>
  </w:num>
  <w:num w:numId="20">
    <w:abstractNumId w:val="9"/>
  </w:num>
  <w:num w:numId="21">
    <w:abstractNumId w:val="2"/>
  </w:num>
  <w:num w:numId="22">
    <w:abstractNumId w:val="13"/>
  </w:num>
  <w:num w:numId="23">
    <w:abstractNumId w:val="11"/>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41C4B"/>
    <w:rsid w:val="00050F6B"/>
    <w:rsid w:val="00057B61"/>
    <w:rsid w:val="00061A69"/>
    <w:rsid w:val="00072C8C"/>
    <w:rsid w:val="00082C36"/>
    <w:rsid w:val="000931C0"/>
    <w:rsid w:val="0009555B"/>
    <w:rsid w:val="000A55E4"/>
    <w:rsid w:val="000B175B"/>
    <w:rsid w:val="000B3A0F"/>
    <w:rsid w:val="000C1E20"/>
    <w:rsid w:val="000C2419"/>
    <w:rsid w:val="000C6041"/>
    <w:rsid w:val="000E0415"/>
    <w:rsid w:val="000F0A1B"/>
    <w:rsid w:val="00104206"/>
    <w:rsid w:val="0010462E"/>
    <w:rsid w:val="00111DF0"/>
    <w:rsid w:val="001220B8"/>
    <w:rsid w:val="001450D5"/>
    <w:rsid w:val="00150F95"/>
    <w:rsid w:val="00154226"/>
    <w:rsid w:val="00161D70"/>
    <w:rsid w:val="001809C0"/>
    <w:rsid w:val="00180C41"/>
    <w:rsid w:val="00183DC8"/>
    <w:rsid w:val="00193B7D"/>
    <w:rsid w:val="001A0FC9"/>
    <w:rsid w:val="001B2357"/>
    <w:rsid w:val="001B4B04"/>
    <w:rsid w:val="001B5ACD"/>
    <w:rsid w:val="001C6663"/>
    <w:rsid w:val="001C73CF"/>
    <w:rsid w:val="001C7895"/>
    <w:rsid w:val="001D26DF"/>
    <w:rsid w:val="001D3183"/>
    <w:rsid w:val="001D55D4"/>
    <w:rsid w:val="001E0674"/>
    <w:rsid w:val="001E1AED"/>
    <w:rsid w:val="001E38E9"/>
    <w:rsid w:val="002101F1"/>
    <w:rsid w:val="00211E0B"/>
    <w:rsid w:val="0022014D"/>
    <w:rsid w:val="00226B8A"/>
    <w:rsid w:val="00237F7E"/>
    <w:rsid w:val="002405A7"/>
    <w:rsid w:val="002556B3"/>
    <w:rsid w:val="00267D09"/>
    <w:rsid w:val="00274D48"/>
    <w:rsid w:val="002837BD"/>
    <w:rsid w:val="00284DC3"/>
    <w:rsid w:val="002A3FFA"/>
    <w:rsid w:val="002B5EBB"/>
    <w:rsid w:val="002C5CF3"/>
    <w:rsid w:val="002E21F0"/>
    <w:rsid w:val="002E3A95"/>
    <w:rsid w:val="002E42C4"/>
    <w:rsid w:val="002E4651"/>
    <w:rsid w:val="002F0E3D"/>
    <w:rsid w:val="00307FFE"/>
    <w:rsid w:val="003107FA"/>
    <w:rsid w:val="00314A63"/>
    <w:rsid w:val="00316878"/>
    <w:rsid w:val="00317F1A"/>
    <w:rsid w:val="003229D8"/>
    <w:rsid w:val="0033745A"/>
    <w:rsid w:val="003452D6"/>
    <w:rsid w:val="003503B1"/>
    <w:rsid w:val="00365EA9"/>
    <w:rsid w:val="003660FF"/>
    <w:rsid w:val="003738D2"/>
    <w:rsid w:val="00391D76"/>
    <w:rsid w:val="0039277A"/>
    <w:rsid w:val="003972E0"/>
    <w:rsid w:val="0039784F"/>
    <w:rsid w:val="003A7BD5"/>
    <w:rsid w:val="003B0606"/>
    <w:rsid w:val="003B7450"/>
    <w:rsid w:val="003C2CC4"/>
    <w:rsid w:val="003C3936"/>
    <w:rsid w:val="003C6B13"/>
    <w:rsid w:val="003D338E"/>
    <w:rsid w:val="003D4B23"/>
    <w:rsid w:val="003F1ED3"/>
    <w:rsid w:val="003F3A45"/>
    <w:rsid w:val="00403098"/>
    <w:rsid w:val="00404E53"/>
    <w:rsid w:val="004140B5"/>
    <w:rsid w:val="00417B26"/>
    <w:rsid w:val="004270F6"/>
    <w:rsid w:val="004325CB"/>
    <w:rsid w:val="00436DA4"/>
    <w:rsid w:val="00437DB4"/>
    <w:rsid w:val="00445A66"/>
    <w:rsid w:val="00446DE4"/>
    <w:rsid w:val="0045190E"/>
    <w:rsid w:val="00451982"/>
    <w:rsid w:val="00453178"/>
    <w:rsid w:val="00464AA2"/>
    <w:rsid w:val="004A22D4"/>
    <w:rsid w:val="004A41CA"/>
    <w:rsid w:val="004B2C88"/>
    <w:rsid w:val="004B2D5B"/>
    <w:rsid w:val="004D5BB1"/>
    <w:rsid w:val="004E302A"/>
    <w:rsid w:val="004F15A6"/>
    <w:rsid w:val="004F537F"/>
    <w:rsid w:val="00503228"/>
    <w:rsid w:val="00503A81"/>
    <w:rsid w:val="00504608"/>
    <w:rsid w:val="00505384"/>
    <w:rsid w:val="0050789C"/>
    <w:rsid w:val="00510C3B"/>
    <w:rsid w:val="005208A2"/>
    <w:rsid w:val="00541E77"/>
    <w:rsid w:val="005420F2"/>
    <w:rsid w:val="0054603C"/>
    <w:rsid w:val="005627B5"/>
    <w:rsid w:val="00564203"/>
    <w:rsid w:val="00564A8C"/>
    <w:rsid w:val="00575DD8"/>
    <w:rsid w:val="0058072A"/>
    <w:rsid w:val="005A3220"/>
    <w:rsid w:val="005B3DB3"/>
    <w:rsid w:val="005D1C32"/>
    <w:rsid w:val="005E2B1C"/>
    <w:rsid w:val="005E305A"/>
    <w:rsid w:val="005F0DD1"/>
    <w:rsid w:val="005F72E1"/>
    <w:rsid w:val="00600B19"/>
    <w:rsid w:val="00602B95"/>
    <w:rsid w:val="00604535"/>
    <w:rsid w:val="006051DB"/>
    <w:rsid w:val="00611FC4"/>
    <w:rsid w:val="006176FB"/>
    <w:rsid w:val="00625E5F"/>
    <w:rsid w:val="00627ED0"/>
    <w:rsid w:val="0063050A"/>
    <w:rsid w:val="00640434"/>
    <w:rsid w:val="00640B26"/>
    <w:rsid w:val="00655879"/>
    <w:rsid w:val="0066050C"/>
    <w:rsid w:val="0066387E"/>
    <w:rsid w:val="00665595"/>
    <w:rsid w:val="0067063D"/>
    <w:rsid w:val="00680238"/>
    <w:rsid w:val="00685B23"/>
    <w:rsid w:val="006A7392"/>
    <w:rsid w:val="006B7086"/>
    <w:rsid w:val="006E32FA"/>
    <w:rsid w:val="006E3B52"/>
    <w:rsid w:val="006E535C"/>
    <w:rsid w:val="006E564B"/>
    <w:rsid w:val="006E7DDC"/>
    <w:rsid w:val="006F73EE"/>
    <w:rsid w:val="00701292"/>
    <w:rsid w:val="007017DA"/>
    <w:rsid w:val="0072632A"/>
    <w:rsid w:val="007303B2"/>
    <w:rsid w:val="00730810"/>
    <w:rsid w:val="00732639"/>
    <w:rsid w:val="00733AAE"/>
    <w:rsid w:val="00733FDB"/>
    <w:rsid w:val="00752AE2"/>
    <w:rsid w:val="0075509D"/>
    <w:rsid w:val="0075558F"/>
    <w:rsid w:val="00773BE6"/>
    <w:rsid w:val="00776534"/>
    <w:rsid w:val="0079511F"/>
    <w:rsid w:val="00797762"/>
    <w:rsid w:val="007A73B5"/>
    <w:rsid w:val="007B4BEC"/>
    <w:rsid w:val="007B6BA5"/>
    <w:rsid w:val="007B7918"/>
    <w:rsid w:val="007C3390"/>
    <w:rsid w:val="007C4F4B"/>
    <w:rsid w:val="007C56DC"/>
    <w:rsid w:val="007D22FD"/>
    <w:rsid w:val="007E344F"/>
    <w:rsid w:val="007F0B83"/>
    <w:rsid w:val="007F4FCD"/>
    <w:rsid w:val="007F6611"/>
    <w:rsid w:val="008010DD"/>
    <w:rsid w:val="00802579"/>
    <w:rsid w:val="008056BE"/>
    <w:rsid w:val="00805D23"/>
    <w:rsid w:val="00806C6B"/>
    <w:rsid w:val="00812639"/>
    <w:rsid w:val="008175E9"/>
    <w:rsid w:val="00817F27"/>
    <w:rsid w:val="00822414"/>
    <w:rsid w:val="008242D7"/>
    <w:rsid w:val="00827E05"/>
    <w:rsid w:val="0083079F"/>
    <w:rsid w:val="008311A3"/>
    <w:rsid w:val="00835EB6"/>
    <w:rsid w:val="008467BE"/>
    <w:rsid w:val="00871FD5"/>
    <w:rsid w:val="00872A29"/>
    <w:rsid w:val="00881489"/>
    <w:rsid w:val="00886119"/>
    <w:rsid w:val="00895C06"/>
    <w:rsid w:val="008979B1"/>
    <w:rsid w:val="008A6B25"/>
    <w:rsid w:val="008A6C4F"/>
    <w:rsid w:val="008C6669"/>
    <w:rsid w:val="008D0F3F"/>
    <w:rsid w:val="008E0675"/>
    <w:rsid w:val="008E0E46"/>
    <w:rsid w:val="008E35B1"/>
    <w:rsid w:val="008E3A43"/>
    <w:rsid w:val="008F02A0"/>
    <w:rsid w:val="008F321A"/>
    <w:rsid w:val="008F3F16"/>
    <w:rsid w:val="00906526"/>
    <w:rsid w:val="00907AD2"/>
    <w:rsid w:val="009111C7"/>
    <w:rsid w:val="00915D65"/>
    <w:rsid w:val="0092654D"/>
    <w:rsid w:val="00930E34"/>
    <w:rsid w:val="009456C3"/>
    <w:rsid w:val="009559C7"/>
    <w:rsid w:val="00963CBA"/>
    <w:rsid w:val="00974A8D"/>
    <w:rsid w:val="00987171"/>
    <w:rsid w:val="0099001C"/>
    <w:rsid w:val="00991261"/>
    <w:rsid w:val="009A00F2"/>
    <w:rsid w:val="009A1A51"/>
    <w:rsid w:val="009D04D9"/>
    <w:rsid w:val="009D2BF9"/>
    <w:rsid w:val="009F277A"/>
    <w:rsid w:val="009F3A17"/>
    <w:rsid w:val="009F3AEC"/>
    <w:rsid w:val="00A11117"/>
    <w:rsid w:val="00A1427D"/>
    <w:rsid w:val="00A154F0"/>
    <w:rsid w:val="00A178D3"/>
    <w:rsid w:val="00A23F45"/>
    <w:rsid w:val="00A36006"/>
    <w:rsid w:val="00A50936"/>
    <w:rsid w:val="00A548B0"/>
    <w:rsid w:val="00A6061A"/>
    <w:rsid w:val="00A72F22"/>
    <w:rsid w:val="00A748A6"/>
    <w:rsid w:val="00A74999"/>
    <w:rsid w:val="00A805EB"/>
    <w:rsid w:val="00A80961"/>
    <w:rsid w:val="00A879A4"/>
    <w:rsid w:val="00AA022C"/>
    <w:rsid w:val="00AA426C"/>
    <w:rsid w:val="00AA617C"/>
    <w:rsid w:val="00AC0B48"/>
    <w:rsid w:val="00AD741B"/>
    <w:rsid w:val="00AE1A34"/>
    <w:rsid w:val="00AE2B2D"/>
    <w:rsid w:val="00AE6625"/>
    <w:rsid w:val="00AF05AD"/>
    <w:rsid w:val="00AF787B"/>
    <w:rsid w:val="00B16124"/>
    <w:rsid w:val="00B16223"/>
    <w:rsid w:val="00B30179"/>
    <w:rsid w:val="00B33EC0"/>
    <w:rsid w:val="00B53626"/>
    <w:rsid w:val="00B81E12"/>
    <w:rsid w:val="00B82575"/>
    <w:rsid w:val="00B8268E"/>
    <w:rsid w:val="00B84573"/>
    <w:rsid w:val="00B84DD2"/>
    <w:rsid w:val="00B85790"/>
    <w:rsid w:val="00B902A6"/>
    <w:rsid w:val="00B92B8B"/>
    <w:rsid w:val="00B93352"/>
    <w:rsid w:val="00BA02A0"/>
    <w:rsid w:val="00BA177E"/>
    <w:rsid w:val="00BA1781"/>
    <w:rsid w:val="00BA3E6E"/>
    <w:rsid w:val="00BA5217"/>
    <w:rsid w:val="00BA62DB"/>
    <w:rsid w:val="00BB2C95"/>
    <w:rsid w:val="00BC74E9"/>
    <w:rsid w:val="00BD2146"/>
    <w:rsid w:val="00BE4F74"/>
    <w:rsid w:val="00BE51FC"/>
    <w:rsid w:val="00BE52DC"/>
    <w:rsid w:val="00BE618E"/>
    <w:rsid w:val="00BF4485"/>
    <w:rsid w:val="00BF4F5D"/>
    <w:rsid w:val="00BF5731"/>
    <w:rsid w:val="00C00341"/>
    <w:rsid w:val="00C0162F"/>
    <w:rsid w:val="00C14072"/>
    <w:rsid w:val="00C17699"/>
    <w:rsid w:val="00C22A02"/>
    <w:rsid w:val="00C36701"/>
    <w:rsid w:val="00C41A28"/>
    <w:rsid w:val="00C463DD"/>
    <w:rsid w:val="00C5381F"/>
    <w:rsid w:val="00C6513A"/>
    <w:rsid w:val="00C745C3"/>
    <w:rsid w:val="00CC3B13"/>
    <w:rsid w:val="00CE4A8F"/>
    <w:rsid w:val="00D104D0"/>
    <w:rsid w:val="00D2031B"/>
    <w:rsid w:val="00D25FE2"/>
    <w:rsid w:val="00D317BB"/>
    <w:rsid w:val="00D33331"/>
    <w:rsid w:val="00D36BEB"/>
    <w:rsid w:val="00D43252"/>
    <w:rsid w:val="00D46D19"/>
    <w:rsid w:val="00D55896"/>
    <w:rsid w:val="00D56172"/>
    <w:rsid w:val="00D63626"/>
    <w:rsid w:val="00D7433B"/>
    <w:rsid w:val="00D83BF0"/>
    <w:rsid w:val="00D83CD1"/>
    <w:rsid w:val="00D87B56"/>
    <w:rsid w:val="00D978C6"/>
    <w:rsid w:val="00DA67AD"/>
    <w:rsid w:val="00DB5D0F"/>
    <w:rsid w:val="00DB5E48"/>
    <w:rsid w:val="00DC0C80"/>
    <w:rsid w:val="00DC1D47"/>
    <w:rsid w:val="00DC3242"/>
    <w:rsid w:val="00DD6A25"/>
    <w:rsid w:val="00DE3A0C"/>
    <w:rsid w:val="00DF12F7"/>
    <w:rsid w:val="00DF20EE"/>
    <w:rsid w:val="00DF6905"/>
    <w:rsid w:val="00E02C81"/>
    <w:rsid w:val="00E130AB"/>
    <w:rsid w:val="00E459FF"/>
    <w:rsid w:val="00E56114"/>
    <w:rsid w:val="00E5770E"/>
    <w:rsid w:val="00E61967"/>
    <w:rsid w:val="00E66A1A"/>
    <w:rsid w:val="00E702D7"/>
    <w:rsid w:val="00E7260F"/>
    <w:rsid w:val="00E87921"/>
    <w:rsid w:val="00E903CF"/>
    <w:rsid w:val="00E96630"/>
    <w:rsid w:val="00EA264E"/>
    <w:rsid w:val="00EA750B"/>
    <w:rsid w:val="00ED7A2A"/>
    <w:rsid w:val="00EE20B2"/>
    <w:rsid w:val="00EF1D7F"/>
    <w:rsid w:val="00F033C8"/>
    <w:rsid w:val="00F10CCD"/>
    <w:rsid w:val="00F16F22"/>
    <w:rsid w:val="00F220F5"/>
    <w:rsid w:val="00F4144D"/>
    <w:rsid w:val="00F43682"/>
    <w:rsid w:val="00F43D35"/>
    <w:rsid w:val="00F51F06"/>
    <w:rsid w:val="00F53544"/>
    <w:rsid w:val="00F53D6A"/>
    <w:rsid w:val="00F53EDA"/>
    <w:rsid w:val="00F67776"/>
    <w:rsid w:val="00F7753D"/>
    <w:rsid w:val="00F80560"/>
    <w:rsid w:val="00F830AD"/>
    <w:rsid w:val="00F842C1"/>
    <w:rsid w:val="00F85F34"/>
    <w:rsid w:val="00F938F6"/>
    <w:rsid w:val="00FA06F7"/>
    <w:rsid w:val="00FA6BA2"/>
    <w:rsid w:val="00FB0AC4"/>
    <w:rsid w:val="00FB0AC7"/>
    <w:rsid w:val="00FB171A"/>
    <w:rsid w:val="00FC68B7"/>
    <w:rsid w:val="00FD7BF6"/>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E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uiPriority w:val="99"/>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uiPriority w:val="99"/>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uiPriority w:val="99"/>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paragraph" w:styleId="BalloonText">
    <w:name w:val="Balloon Text"/>
    <w:basedOn w:val="Normal"/>
    <w:link w:val="BalloonTextChar"/>
    <w:semiHidden/>
    <w:unhideWhenUsed/>
    <w:rsid w:val="00B92B8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2B8B"/>
    <w:rPr>
      <w:rFonts w:ascii="Tahoma" w:hAnsi="Tahoma" w:cs="Tahoma"/>
      <w:sz w:val="16"/>
      <w:szCs w:val="16"/>
      <w:lang w:eastAsia="en-US"/>
    </w:rPr>
  </w:style>
  <w:style w:type="paragraph" w:styleId="ListParagraph">
    <w:name w:val="List Paragraph"/>
    <w:basedOn w:val="Normal"/>
    <w:uiPriority w:val="34"/>
    <w:qFormat/>
    <w:rsid w:val="00237F7E"/>
    <w:pPr>
      <w:suppressAutoHyphens w:val="0"/>
      <w:spacing w:line="240" w:lineRule="auto"/>
      <w:ind w:left="720"/>
      <w:contextualSpacing/>
    </w:pPr>
    <w:rPr>
      <w:rFonts w:asciiTheme="minorHAnsi" w:eastAsiaTheme="minorHAnsi" w:hAnsiTheme="minorHAnsi" w:cstheme="minorBidi"/>
      <w:sz w:val="22"/>
      <w:szCs w:val="22"/>
      <w:lang w:val="nl-NL"/>
    </w:rPr>
  </w:style>
  <w:style w:type="character" w:styleId="CommentReference">
    <w:name w:val="annotation reference"/>
    <w:basedOn w:val="DefaultParagraphFont"/>
    <w:semiHidden/>
    <w:unhideWhenUsed/>
    <w:rsid w:val="00F80560"/>
    <w:rPr>
      <w:sz w:val="16"/>
      <w:szCs w:val="16"/>
    </w:rPr>
  </w:style>
  <w:style w:type="paragraph" w:styleId="CommentText">
    <w:name w:val="annotation text"/>
    <w:basedOn w:val="Normal"/>
    <w:link w:val="CommentTextChar"/>
    <w:semiHidden/>
    <w:unhideWhenUsed/>
    <w:rsid w:val="00F80560"/>
    <w:pPr>
      <w:spacing w:line="240" w:lineRule="auto"/>
    </w:pPr>
  </w:style>
  <w:style w:type="character" w:customStyle="1" w:styleId="CommentTextChar">
    <w:name w:val="Comment Text Char"/>
    <w:basedOn w:val="DefaultParagraphFont"/>
    <w:link w:val="CommentText"/>
    <w:semiHidden/>
    <w:rsid w:val="00F80560"/>
    <w:rPr>
      <w:lang w:eastAsia="en-US"/>
    </w:rPr>
  </w:style>
  <w:style w:type="paragraph" w:styleId="CommentSubject">
    <w:name w:val="annotation subject"/>
    <w:basedOn w:val="CommentText"/>
    <w:next w:val="CommentText"/>
    <w:link w:val="CommentSubjectChar"/>
    <w:semiHidden/>
    <w:unhideWhenUsed/>
    <w:rsid w:val="00F80560"/>
    <w:rPr>
      <w:b/>
      <w:bCs/>
    </w:rPr>
  </w:style>
  <w:style w:type="character" w:customStyle="1" w:styleId="CommentSubjectChar">
    <w:name w:val="Comment Subject Char"/>
    <w:basedOn w:val="CommentTextChar"/>
    <w:link w:val="CommentSubject"/>
    <w:semiHidden/>
    <w:rsid w:val="00F8056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uiPriority w:val="99"/>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uiPriority w:val="99"/>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uiPriority w:val="99"/>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paragraph" w:styleId="BalloonText">
    <w:name w:val="Balloon Text"/>
    <w:basedOn w:val="Normal"/>
    <w:link w:val="BalloonTextChar"/>
    <w:semiHidden/>
    <w:unhideWhenUsed/>
    <w:rsid w:val="00B92B8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2B8B"/>
    <w:rPr>
      <w:rFonts w:ascii="Tahoma" w:hAnsi="Tahoma" w:cs="Tahoma"/>
      <w:sz w:val="16"/>
      <w:szCs w:val="16"/>
      <w:lang w:eastAsia="en-US"/>
    </w:rPr>
  </w:style>
  <w:style w:type="paragraph" w:styleId="ListParagraph">
    <w:name w:val="List Paragraph"/>
    <w:basedOn w:val="Normal"/>
    <w:uiPriority w:val="34"/>
    <w:qFormat/>
    <w:rsid w:val="00237F7E"/>
    <w:pPr>
      <w:suppressAutoHyphens w:val="0"/>
      <w:spacing w:line="240" w:lineRule="auto"/>
      <w:ind w:left="720"/>
      <w:contextualSpacing/>
    </w:pPr>
    <w:rPr>
      <w:rFonts w:asciiTheme="minorHAnsi" w:eastAsiaTheme="minorHAnsi" w:hAnsiTheme="minorHAnsi" w:cstheme="minorBidi"/>
      <w:sz w:val="22"/>
      <w:szCs w:val="22"/>
      <w:lang w:val="nl-NL"/>
    </w:rPr>
  </w:style>
  <w:style w:type="character" w:styleId="CommentReference">
    <w:name w:val="annotation reference"/>
    <w:basedOn w:val="DefaultParagraphFont"/>
    <w:semiHidden/>
    <w:unhideWhenUsed/>
    <w:rsid w:val="00F80560"/>
    <w:rPr>
      <w:sz w:val="16"/>
      <w:szCs w:val="16"/>
    </w:rPr>
  </w:style>
  <w:style w:type="paragraph" w:styleId="CommentText">
    <w:name w:val="annotation text"/>
    <w:basedOn w:val="Normal"/>
    <w:link w:val="CommentTextChar"/>
    <w:semiHidden/>
    <w:unhideWhenUsed/>
    <w:rsid w:val="00F80560"/>
    <w:pPr>
      <w:spacing w:line="240" w:lineRule="auto"/>
    </w:pPr>
  </w:style>
  <w:style w:type="character" w:customStyle="1" w:styleId="CommentTextChar">
    <w:name w:val="Comment Text Char"/>
    <w:basedOn w:val="DefaultParagraphFont"/>
    <w:link w:val="CommentText"/>
    <w:semiHidden/>
    <w:rsid w:val="00F80560"/>
    <w:rPr>
      <w:lang w:eastAsia="en-US"/>
    </w:rPr>
  </w:style>
  <w:style w:type="paragraph" w:styleId="CommentSubject">
    <w:name w:val="annotation subject"/>
    <w:basedOn w:val="CommentText"/>
    <w:next w:val="CommentText"/>
    <w:link w:val="CommentSubjectChar"/>
    <w:semiHidden/>
    <w:unhideWhenUsed/>
    <w:rsid w:val="00F80560"/>
    <w:rPr>
      <w:b/>
      <w:bCs/>
    </w:rPr>
  </w:style>
  <w:style w:type="character" w:customStyle="1" w:styleId="CommentSubjectChar">
    <w:name w:val="Comment Subject Char"/>
    <w:basedOn w:val="CommentTextChar"/>
    <w:link w:val="CommentSubject"/>
    <w:semiHidden/>
    <w:rsid w:val="00F805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806511978">
      <w:bodyDiv w:val="1"/>
      <w:marLeft w:val="0"/>
      <w:marRight w:val="0"/>
      <w:marTop w:val="0"/>
      <w:marBottom w:val="0"/>
      <w:divBdr>
        <w:top w:val="none" w:sz="0" w:space="0" w:color="auto"/>
        <w:left w:val="none" w:sz="0" w:space="0" w:color="auto"/>
        <w:bottom w:val="none" w:sz="0" w:space="0" w:color="auto"/>
        <w:right w:val="none" w:sz="0" w:space="0" w:color="auto"/>
      </w:divBdr>
    </w:div>
    <w:div w:id="991256225">
      <w:bodyDiv w:val="1"/>
      <w:marLeft w:val="0"/>
      <w:marRight w:val="0"/>
      <w:marTop w:val="0"/>
      <w:marBottom w:val="0"/>
      <w:divBdr>
        <w:top w:val="none" w:sz="0" w:space="0" w:color="auto"/>
        <w:left w:val="none" w:sz="0" w:space="0" w:color="auto"/>
        <w:bottom w:val="none" w:sz="0" w:space="0" w:color="auto"/>
        <w:right w:val="none" w:sz="0" w:space="0" w:color="auto"/>
      </w:divBdr>
    </w:div>
    <w:div w:id="1898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E1AD-AC08-467C-A5B6-8F68F28E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11</TotalTime>
  <Pages>4</Pages>
  <Words>1904</Words>
  <Characters>10854</Characters>
  <Application>Microsoft Office Word</Application>
  <DocSecurity>0</DocSecurity>
  <Lines>90</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UN/SCEGHS/19/INF</vt:lpstr>
      <vt:lpstr>UN/SCEGHS/19/INF</vt:lpstr>
    </vt:vector>
  </TitlesOfParts>
  <Company>CSD</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6</cp:revision>
  <cp:lastPrinted>2017-11-20T14:12:00Z</cp:lastPrinted>
  <dcterms:created xsi:type="dcterms:W3CDTF">2017-11-20T14:04:00Z</dcterms:created>
  <dcterms:modified xsi:type="dcterms:W3CDTF">2017-11-20T14:14:00Z</dcterms:modified>
</cp:coreProperties>
</file>