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7E5F23" w:rsidRPr="00AA7D29" w:rsidTr="00FB232E">
        <w:trPr>
          <w:trHeight w:val="851"/>
        </w:trPr>
        <w:tc>
          <w:tcPr>
            <w:tcW w:w="1259" w:type="dxa"/>
            <w:tcBorders>
              <w:top w:val="nil"/>
              <w:left w:val="nil"/>
              <w:bottom w:val="single" w:sz="4" w:space="0" w:color="auto"/>
              <w:right w:val="nil"/>
            </w:tcBorders>
            <w:shd w:val="clear" w:color="auto" w:fill="auto"/>
          </w:tcPr>
          <w:p w:rsidR="007E5F23" w:rsidRPr="00AA7D29" w:rsidRDefault="007E5F23" w:rsidP="00FB232E">
            <w:pPr>
              <w:spacing w:after="80" w:line="340" w:lineRule="exact"/>
            </w:pPr>
          </w:p>
        </w:tc>
        <w:tc>
          <w:tcPr>
            <w:tcW w:w="2236" w:type="dxa"/>
            <w:tcBorders>
              <w:top w:val="nil"/>
              <w:left w:val="nil"/>
              <w:bottom w:val="single" w:sz="4" w:space="0" w:color="auto"/>
              <w:right w:val="nil"/>
            </w:tcBorders>
            <w:shd w:val="clear" w:color="auto" w:fill="auto"/>
            <w:vAlign w:val="bottom"/>
          </w:tcPr>
          <w:p w:rsidR="007E5F23" w:rsidRPr="00AA7D29" w:rsidRDefault="007E5F23" w:rsidP="00FB232E">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7E5F23" w:rsidRPr="00AA7D29" w:rsidRDefault="001E11AD" w:rsidP="00E61340">
            <w:pPr>
              <w:jc w:val="right"/>
            </w:pPr>
            <w:r w:rsidRPr="00AA7D29">
              <w:rPr>
                <w:b/>
                <w:sz w:val="40"/>
                <w:szCs w:val="40"/>
              </w:rPr>
              <w:t>UN/SCETDG/5</w:t>
            </w:r>
            <w:r w:rsidR="0043639C" w:rsidRPr="00AA7D29">
              <w:rPr>
                <w:b/>
                <w:sz w:val="40"/>
                <w:szCs w:val="40"/>
              </w:rPr>
              <w:t>1</w:t>
            </w:r>
            <w:r w:rsidR="007E5F23" w:rsidRPr="00AA7D29">
              <w:rPr>
                <w:b/>
                <w:sz w:val="40"/>
                <w:szCs w:val="40"/>
              </w:rPr>
              <w:t>/INF.</w:t>
            </w:r>
            <w:r w:rsidR="00E61340">
              <w:rPr>
                <w:b/>
                <w:sz w:val="40"/>
                <w:szCs w:val="40"/>
              </w:rPr>
              <w:t>28</w:t>
            </w:r>
          </w:p>
        </w:tc>
      </w:tr>
      <w:tr w:rsidR="007E5F23" w:rsidRPr="00AA7D29" w:rsidTr="00FB232E">
        <w:trPr>
          <w:trHeight w:val="851"/>
        </w:trPr>
        <w:tc>
          <w:tcPr>
            <w:tcW w:w="9639" w:type="dxa"/>
            <w:gridSpan w:val="3"/>
            <w:tcBorders>
              <w:top w:val="nil"/>
              <w:left w:val="nil"/>
              <w:bottom w:val="nil"/>
              <w:right w:val="nil"/>
            </w:tcBorders>
            <w:shd w:val="clear" w:color="auto" w:fill="auto"/>
          </w:tcPr>
          <w:p w:rsidR="007E5F23" w:rsidRPr="00AA7D29" w:rsidRDefault="007E5F23" w:rsidP="00FB232E">
            <w:pPr>
              <w:spacing w:before="120"/>
              <w:rPr>
                <w:b/>
                <w:sz w:val="24"/>
                <w:szCs w:val="24"/>
              </w:rPr>
            </w:pPr>
            <w:r w:rsidRPr="00AA7D29">
              <w:rPr>
                <w:b/>
                <w:sz w:val="24"/>
                <w:szCs w:val="24"/>
              </w:rPr>
              <w:t>Committee of Experts on the Transport of Dangerous Goods</w:t>
            </w:r>
            <w:r w:rsidRPr="00AA7D29">
              <w:rPr>
                <w:b/>
                <w:sz w:val="24"/>
                <w:szCs w:val="24"/>
              </w:rPr>
              <w:br/>
              <w:t>and on the Globally Harmonized System of Classification</w:t>
            </w:r>
            <w:r w:rsidRPr="00AA7D29">
              <w:rPr>
                <w:b/>
                <w:sz w:val="24"/>
                <w:szCs w:val="24"/>
              </w:rPr>
              <w:br/>
              <w:t>and Labelling of Chemicals</w:t>
            </w:r>
          </w:p>
          <w:p w:rsidR="007E5F23" w:rsidRPr="00AA7D29" w:rsidRDefault="007E5F23" w:rsidP="00FB232E">
            <w:pPr>
              <w:tabs>
                <w:tab w:val="left" w:pos="8000"/>
              </w:tabs>
              <w:spacing w:before="120"/>
            </w:pPr>
            <w:r w:rsidRPr="00AA7D29">
              <w:rPr>
                <w:b/>
              </w:rPr>
              <w:t>Sub-Committee of Experts on the Transport of Dangerous Goods</w:t>
            </w:r>
            <w:r w:rsidRPr="00AA7D29">
              <w:tab/>
            </w:r>
            <w:r w:rsidR="00E61340" w:rsidRPr="00E61340">
              <w:rPr>
                <w:b/>
              </w:rPr>
              <w:t>27 June 2017</w:t>
            </w:r>
          </w:p>
          <w:p w:rsidR="006759EB" w:rsidRPr="00AA7D29" w:rsidRDefault="006759EB" w:rsidP="006759EB">
            <w:pPr>
              <w:spacing w:before="120"/>
              <w:rPr>
                <w:b/>
              </w:rPr>
            </w:pPr>
            <w:r w:rsidRPr="00AA7D29">
              <w:rPr>
                <w:b/>
              </w:rPr>
              <w:t>Fifty-first session</w:t>
            </w:r>
          </w:p>
          <w:p w:rsidR="006759EB" w:rsidRPr="00AA7D29" w:rsidRDefault="006759EB" w:rsidP="006759EB">
            <w:r w:rsidRPr="00AA7D29">
              <w:t>Geneva, 3-7 July 2016</w:t>
            </w:r>
          </w:p>
          <w:p w:rsidR="007E5F23" w:rsidRPr="00AA7D29" w:rsidRDefault="006759EB" w:rsidP="006759EB">
            <w:pPr>
              <w:spacing w:after="240"/>
              <w:rPr>
                <w:b/>
                <w:sz w:val="40"/>
                <w:szCs w:val="40"/>
              </w:rPr>
            </w:pPr>
            <w:r w:rsidRPr="00AA7D29">
              <w:t xml:space="preserve">Item </w:t>
            </w:r>
            <w:r w:rsidR="00692810" w:rsidRPr="00AA7D29">
              <w:t>2</w:t>
            </w:r>
            <w:r w:rsidR="00E61340">
              <w:t xml:space="preserve"> </w:t>
            </w:r>
            <w:r w:rsidR="00692810" w:rsidRPr="00AA7D29">
              <w:t>(b)</w:t>
            </w:r>
            <w:r w:rsidRPr="00AA7D29">
              <w:t xml:space="preserve"> of the provisional agenda</w:t>
            </w:r>
            <w:r w:rsidRPr="00AA7D29">
              <w:rPr>
                <w:b/>
              </w:rPr>
              <w:t xml:space="preserve"> </w:t>
            </w:r>
            <w:r w:rsidRPr="00AA7D29">
              <w:rPr>
                <w:b/>
              </w:rPr>
              <w:br/>
            </w:r>
            <w:r w:rsidR="00692810" w:rsidRPr="00AA7D29">
              <w:rPr>
                <w:b/>
              </w:rPr>
              <w:t xml:space="preserve">Explosives and related matters </w:t>
            </w:r>
            <w:r w:rsidRPr="00AA7D29">
              <w:rPr>
                <w:b/>
              </w:rPr>
              <w:t xml:space="preserve"> </w:t>
            </w:r>
            <w:r w:rsidRPr="00AA7D29">
              <w:rPr>
                <w:b/>
              </w:rPr>
              <w:br/>
            </w:r>
            <w:r w:rsidR="00692810" w:rsidRPr="00AA7D29">
              <w:rPr>
                <w:b/>
              </w:rPr>
              <w:t>Review of Tests in parts I, II and III of the Manual of Tests and Criteria</w:t>
            </w:r>
          </w:p>
        </w:tc>
      </w:tr>
    </w:tbl>
    <w:p w:rsidR="002E2484" w:rsidRPr="00AA7D29" w:rsidRDefault="002E2484" w:rsidP="006759EB">
      <w:pPr>
        <w:pStyle w:val="HChG"/>
      </w:pPr>
      <w:r w:rsidRPr="00AA7D29">
        <w:tab/>
      </w:r>
      <w:r w:rsidRPr="00AA7D29">
        <w:tab/>
      </w:r>
      <w:r w:rsidR="00692810" w:rsidRPr="00AA7D29">
        <w:t>Comparison of standard detonators</w:t>
      </w:r>
    </w:p>
    <w:p w:rsidR="00692810" w:rsidRPr="00AA7D29" w:rsidRDefault="00893D5C" w:rsidP="00692810">
      <w:pPr>
        <w:pStyle w:val="H1G"/>
      </w:pPr>
      <w:r w:rsidRPr="00AA7D29">
        <w:tab/>
      </w:r>
      <w:r w:rsidRPr="00AA7D29">
        <w:tab/>
      </w:r>
      <w:r w:rsidR="009D4A9C">
        <w:t>Transmitted by the expert</w:t>
      </w:r>
      <w:bookmarkStart w:id="0" w:name="_GoBack"/>
      <w:bookmarkEnd w:id="0"/>
      <w:r w:rsidR="00692810" w:rsidRPr="00AA7D29">
        <w:t xml:space="preserve"> from the Netherlands</w:t>
      </w:r>
    </w:p>
    <w:p w:rsidR="00692810" w:rsidRPr="00AA7D29" w:rsidRDefault="00692810" w:rsidP="00692810">
      <w:pPr>
        <w:pStyle w:val="HChG"/>
        <w:rPr>
          <w:color w:val="000000"/>
        </w:rPr>
      </w:pPr>
      <w:r w:rsidRPr="00AA7D29">
        <w:rPr>
          <w:color w:val="000000"/>
        </w:rPr>
        <w:tab/>
      </w:r>
      <w:r w:rsidRPr="00AA7D29">
        <w:rPr>
          <w:color w:val="000000"/>
        </w:rPr>
        <w:tab/>
        <w:t>Introduction</w:t>
      </w:r>
    </w:p>
    <w:p w:rsidR="00692810" w:rsidRPr="00AA7D29" w:rsidRDefault="00E61340" w:rsidP="00E61340">
      <w:pPr>
        <w:pStyle w:val="SingleTxtG"/>
        <w:rPr>
          <w:b/>
          <w:lang w:eastAsia="ru-RU"/>
        </w:rPr>
      </w:pPr>
      <w:r>
        <w:rPr>
          <w:lang w:eastAsia="ru-RU"/>
        </w:rPr>
        <w:t>1.</w:t>
      </w:r>
      <w:r>
        <w:rPr>
          <w:lang w:eastAsia="ru-RU"/>
        </w:rPr>
        <w:tab/>
      </w:r>
      <w:r w:rsidR="00736612" w:rsidRPr="00AA7D29">
        <w:rPr>
          <w:lang w:eastAsia="ru-RU"/>
        </w:rPr>
        <w:t>At the 47</w:t>
      </w:r>
      <w:r w:rsidR="00736612" w:rsidRPr="00AA7D29">
        <w:rPr>
          <w:vertAlign w:val="superscript"/>
          <w:lang w:eastAsia="ru-RU"/>
        </w:rPr>
        <w:t>th</w:t>
      </w:r>
      <w:r w:rsidR="008A4C8B" w:rsidRPr="00AA7D29">
        <w:rPr>
          <w:lang w:eastAsia="ru-RU"/>
        </w:rPr>
        <w:t xml:space="preserve"> </w:t>
      </w:r>
      <w:r w:rsidR="00736612" w:rsidRPr="00AA7D29">
        <w:rPr>
          <w:lang w:eastAsia="ru-RU"/>
        </w:rPr>
        <w:t xml:space="preserve">session </w:t>
      </w:r>
      <w:r w:rsidR="008A4C8B" w:rsidRPr="00AA7D29">
        <w:rPr>
          <w:lang w:eastAsia="ru-RU"/>
        </w:rPr>
        <w:t xml:space="preserve">of the SCETDG </w:t>
      </w:r>
      <w:r w:rsidR="00736612" w:rsidRPr="00AA7D29">
        <w:rPr>
          <w:lang w:eastAsia="ru-RU"/>
        </w:rPr>
        <w:t xml:space="preserve">the expert from Germany submitted proposal ST/SG/AC.10/C.3/2015/26 and …/47/INF.37 containing information on issues with the current European standard detonator and a possible way forward. </w:t>
      </w:r>
      <w:r w:rsidR="008A4C8B" w:rsidRPr="00AA7D29">
        <w:rPr>
          <w:lang w:eastAsia="ru-RU"/>
        </w:rPr>
        <w:t>Earlier, at the 45</w:t>
      </w:r>
      <w:r w:rsidR="008A4C8B" w:rsidRPr="00AA7D29">
        <w:rPr>
          <w:vertAlign w:val="superscript"/>
          <w:lang w:eastAsia="ru-RU"/>
        </w:rPr>
        <w:t>th</w:t>
      </w:r>
      <w:r w:rsidR="008A4C8B" w:rsidRPr="00AA7D29">
        <w:rPr>
          <w:lang w:eastAsia="ru-RU"/>
        </w:rPr>
        <w:t xml:space="preserve"> session</w:t>
      </w:r>
      <w:r w:rsidR="00C265A4">
        <w:rPr>
          <w:lang w:eastAsia="ru-RU"/>
        </w:rPr>
        <w:t>,</w:t>
      </w:r>
      <w:r w:rsidR="008A4C8B" w:rsidRPr="00AA7D29">
        <w:rPr>
          <w:lang w:eastAsia="ru-RU"/>
        </w:rPr>
        <w:t xml:space="preserve"> IME had identified, as a result of a survey on experiences with using the tests in the Manual, that there was lack of availability of detonators meeting the specifications of the standard detonator that is described in Appendix 1. Given the fact that there were issues with both versions of the standard detonator, the working group on explosives generally agreed that it would be desirable to have a single UN standard detonator that could be used worldwide.</w:t>
      </w:r>
    </w:p>
    <w:p w:rsidR="008A4C8B" w:rsidRPr="00AA7D29" w:rsidRDefault="00E61340" w:rsidP="00E61340">
      <w:pPr>
        <w:pStyle w:val="SingleTxtG"/>
        <w:rPr>
          <w:lang w:eastAsia="ru-RU"/>
        </w:rPr>
      </w:pPr>
      <w:r>
        <w:rPr>
          <w:lang w:eastAsia="ru-RU"/>
        </w:rPr>
        <w:t>2.</w:t>
      </w:r>
      <w:r>
        <w:rPr>
          <w:lang w:eastAsia="ru-RU"/>
        </w:rPr>
        <w:tab/>
      </w:r>
      <w:r w:rsidR="008A4C8B" w:rsidRPr="00AA7D29">
        <w:rPr>
          <w:lang w:eastAsia="ru-RU"/>
        </w:rPr>
        <w:t>At the 49</w:t>
      </w:r>
      <w:r w:rsidR="008A4C8B" w:rsidRPr="00AA7D29">
        <w:rPr>
          <w:vertAlign w:val="superscript"/>
          <w:lang w:eastAsia="ru-RU"/>
        </w:rPr>
        <w:t>th</w:t>
      </w:r>
      <w:r w:rsidR="008A4C8B" w:rsidRPr="00AA7D29">
        <w:rPr>
          <w:lang w:eastAsia="ru-RU"/>
        </w:rPr>
        <w:t xml:space="preserve"> session Germany presented </w:t>
      </w:r>
      <w:r w:rsidR="00040F27" w:rsidRPr="00AA7D29">
        <w:rPr>
          <w:lang w:eastAsia="ru-RU"/>
        </w:rPr>
        <w:t xml:space="preserve">in document …/C.3/2016/10 </w:t>
      </w:r>
      <w:r w:rsidR="008A4C8B" w:rsidRPr="00AA7D29">
        <w:rPr>
          <w:lang w:eastAsia="ru-RU"/>
        </w:rPr>
        <w:t>results of a comparison of the European standard detonator with a possible alternative. The comparison was made with the co-called ‘underwater test’</w:t>
      </w:r>
      <w:r w:rsidR="00040F27" w:rsidRPr="00AA7D29">
        <w:rPr>
          <w:lang w:eastAsia="ru-RU"/>
        </w:rPr>
        <w:t xml:space="preserve"> and based on peak pressure and bubble collapse time</w:t>
      </w:r>
      <w:r w:rsidR="008A4C8B" w:rsidRPr="00AA7D29">
        <w:rPr>
          <w:lang w:eastAsia="ru-RU"/>
        </w:rPr>
        <w:t xml:space="preserve"> </w:t>
      </w:r>
      <w:r w:rsidR="00040F27" w:rsidRPr="00AA7D29">
        <w:rPr>
          <w:lang w:eastAsia="ru-RU"/>
        </w:rPr>
        <w:t>there was good agreement between both detonators.</w:t>
      </w:r>
    </w:p>
    <w:p w:rsidR="00040F27" w:rsidRPr="00AA7D29" w:rsidRDefault="00E61340" w:rsidP="00E61340">
      <w:pPr>
        <w:pStyle w:val="SingleTxtG"/>
        <w:rPr>
          <w:lang w:eastAsia="ru-RU"/>
        </w:rPr>
      </w:pPr>
      <w:r>
        <w:rPr>
          <w:lang w:eastAsia="ru-RU"/>
        </w:rPr>
        <w:t>3.</w:t>
      </w:r>
      <w:r>
        <w:rPr>
          <w:lang w:eastAsia="ru-RU"/>
        </w:rPr>
        <w:tab/>
      </w:r>
      <w:proofErr w:type="gramStart"/>
      <w:r w:rsidR="00040F27" w:rsidRPr="00AA7D29">
        <w:rPr>
          <w:lang w:eastAsia="ru-RU"/>
        </w:rPr>
        <w:t>At</w:t>
      </w:r>
      <w:proofErr w:type="gramEnd"/>
      <w:r w:rsidR="00040F27" w:rsidRPr="00AA7D29">
        <w:rPr>
          <w:lang w:eastAsia="ru-RU"/>
        </w:rPr>
        <w:t xml:space="preserve"> the same session IME submitted informal document …/49/INF.36 commenting on the German paper and proposing amendments to make the description of the detonator more general. </w:t>
      </w:r>
    </w:p>
    <w:p w:rsidR="00040F27" w:rsidRPr="00AA7D29" w:rsidRDefault="00E61340" w:rsidP="00E61340">
      <w:pPr>
        <w:pStyle w:val="SingleTxtG"/>
        <w:rPr>
          <w:lang w:eastAsia="ru-RU"/>
        </w:rPr>
      </w:pPr>
      <w:r>
        <w:rPr>
          <w:lang w:eastAsia="ru-RU"/>
        </w:rPr>
        <w:t>4.</w:t>
      </w:r>
      <w:r>
        <w:rPr>
          <w:lang w:eastAsia="ru-RU"/>
        </w:rPr>
        <w:tab/>
      </w:r>
      <w:r w:rsidR="00040F27" w:rsidRPr="00AA7D29">
        <w:rPr>
          <w:lang w:eastAsia="ru-RU"/>
        </w:rPr>
        <w:t xml:space="preserve">The working group concluded that </w:t>
      </w:r>
      <w:r w:rsidR="00040F27" w:rsidRPr="00AA7D29">
        <w:t>not enough actual data exists to perform a thorough comparison of the two current versions, specifically in regards to net explosive weight, content, pressing pressure of the base load, material of construction (aluminium vs. copper), and bottom shape for the detonator shell.</w:t>
      </w:r>
    </w:p>
    <w:p w:rsidR="00040F27" w:rsidRPr="00AA7D29" w:rsidRDefault="00E61340" w:rsidP="00E61340">
      <w:pPr>
        <w:pStyle w:val="SingleTxtG"/>
        <w:rPr>
          <w:lang w:eastAsia="ru-RU"/>
        </w:rPr>
      </w:pPr>
      <w:r>
        <w:rPr>
          <w:lang w:eastAsia="ru-RU"/>
        </w:rPr>
        <w:t>5.</w:t>
      </w:r>
      <w:r>
        <w:rPr>
          <w:lang w:eastAsia="ru-RU"/>
        </w:rPr>
        <w:tab/>
      </w:r>
      <w:r w:rsidR="00AA7D29" w:rsidRPr="00AA7D29">
        <w:rPr>
          <w:lang w:eastAsia="ru-RU"/>
        </w:rPr>
        <w:t>In the informal discussions in the working group during the 50</w:t>
      </w:r>
      <w:r w:rsidR="00AA7D29" w:rsidRPr="00AA7D29">
        <w:rPr>
          <w:vertAlign w:val="superscript"/>
          <w:lang w:eastAsia="ru-RU"/>
        </w:rPr>
        <w:t>th</w:t>
      </w:r>
      <w:r w:rsidR="00AA7D29" w:rsidRPr="00AA7D29">
        <w:rPr>
          <w:lang w:eastAsia="ru-RU"/>
        </w:rPr>
        <w:t xml:space="preserve"> session it was agreed that the Netherlands would ship a number of USA standard detonators from the stock of TNO to Germany (BAM) to allow direct comparison in the ‘underwater test’ with the European standard detonator and possible alternatives. </w:t>
      </w:r>
      <w:r w:rsidR="00300892">
        <w:rPr>
          <w:lang w:eastAsia="ru-RU"/>
        </w:rPr>
        <w:t xml:space="preserve">Germany would send an equal number of the alternative detonator to TNO. </w:t>
      </w:r>
      <w:r w:rsidR="00AA7D29" w:rsidRPr="00AA7D29">
        <w:rPr>
          <w:lang w:eastAsia="ru-RU"/>
        </w:rPr>
        <w:t>Parallel to th</w:t>
      </w:r>
      <w:r w:rsidR="00300892">
        <w:rPr>
          <w:lang w:eastAsia="ru-RU"/>
        </w:rPr>
        <w:t>is,</w:t>
      </w:r>
      <w:r w:rsidR="00AA7D29" w:rsidRPr="00AA7D29">
        <w:rPr>
          <w:lang w:eastAsia="ru-RU"/>
        </w:rPr>
        <w:t xml:space="preserve"> TNO and a member of the CEFIC delegation (i.e. AkzoNobel) </w:t>
      </w:r>
      <w:r w:rsidR="00490640">
        <w:rPr>
          <w:lang w:eastAsia="ru-RU"/>
        </w:rPr>
        <w:t>agreed to</w:t>
      </w:r>
      <w:r w:rsidR="00AA7D29" w:rsidRPr="00AA7D29">
        <w:rPr>
          <w:lang w:eastAsia="ru-RU"/>
        </w:rPr>
        <w:t xml:space="preserve"> perform </w:t>
      </w:r>
      <w:proofErr w:type="gramStart"/>
      <w:r w:rsidR="00AA7D29" w:rsidRPr="00AA7D29">
        <w:rPr>
          <w:lang w:eastAsia="ru-RU"/>
        </w:rPr>
        <w:t>a  comparison</w:t>
      </w:r>
      <w:proofErr w:type="gramEnd"/>
      <w:r w:rsidR="00AA7D29" w:rsidRPr="00AA7D29">
        <w:rPr>
          <w:lang w:eastAsia="ru-RU"/>
        </w:rPr>
        <w:t xml:space="preserve"> of several detonators using test F.4 of the Manual, the Modified Trauzl test. The results of the latter comparison are given in this paper.</w:t>
      </w:r>
    </w:p>
    <w:p w:rsidR="00AA7D29" w:rsidRPr="00AA7D29" w:rsidRDefault="00AA7D29" w:rsidP="00E61340">
      <w:pPr>
        <w:pStyle w:val="HChG"/>
      </w:pPr>
      <w:r w:rsidRPr="00AA7D29">
        <w:tab/>
      </w:r>
      <w:r w:rsidRPr="00AA7D29">
        <w:tab/>
        <w:t xml:space="preserve">Test </w:t>
      </w:r>
      <w:r w:rsidRPr="00E61340">
        <w:t>set</w:t>
      </w:r>
      <w:r w:rsidRPr="00AA7D29">
        <w:t>-up</w:t>
      </w:r>
    </w:p>
    <w:p w:rsidR="006759EB" w:rsidRDefault="00E61340" w:rsidP="00E61340">
      <w:pPr>
        <w:pStyle w:val="SingleTxtG"/>
        <w:rPr>
          <w:lang w:eastAsia="ru-RU"/>
        </w:rPr>
      </w:pPr>
      <w:r>
        <w:rPr>
          <w:lang w:eastAsia="ru-RU"/>
        </w:rPr>
        <w:t>6.</w:t>
      </w:r>
      <w:r>
        <w:rPr>
          <w:lang w:eastAsia="ru-RU"/>
        </w:rPr>
        <w:tab/>
      </w:r>
      <w:r w:rsidR="00AA7D29" w:rsidRPr="00AA7D29">
        <w:rPr>
          <w:lang w:eastAsia="ru-RU"/>
        </w:rPr>
        <w:t xml:space="preserve">The Modified </w:t>
      </w:r>
      <w:proofErr w:type="spellStart"/>
      <w:r w:rsidR="00AA7D29" w:rsidRPr="00AA7D29">
        <w:rPr>
          <w:lang w:eastAsia="ru-RU"/>
        </w:rPr>
        <w:t>Trauzl</w:t>
      </w:r>
      <w:proofErr w:type="spellEnd"/>
      <w:r w:rsidR="00AA7D29" w:rsidRPr="00AA7D29">
        <w:rPr>
          <w:lang w:eastAsia="ru-RU"/>
        </w:rPr>
        <w:t xml:space="preserve"> test was chosen </w:t>
      </w:r>
      <w:r w:rsidR="00AA7D29">
        <w:rPr>
          <w:lang w:eastAsia="ru-RU"/>
        </w:rPr>
        <w:t>since it is believed that the influence of the strength of the detonator on the r</w:t>
      </w:r>
      <w:r w:rsidR="00C265A4">
        <w:rPr>
          <w:lang w:eastAsia="ru-RU"/>
        </w:rPr>
        <w:t>esults of the tests is the lar</w:t>
      </w:r>
      <w:r w:rsidR="00AA7D29">
        <w:rPr>
          <w:lang w:eastAsia="ru-RU"/>
        </w:rPr>
        <w:t>gest.</w:t>
      </w:r>
    </w:p>
    <w:p w:rsidR="00502EAA" w:rsidRDefault="00502EAA">
      <w:pPr>
        <w:suppressAutoHyphens w:val="0"/>
        <w:spacing w:line="240" w:lineRule="auto"/>
        <w:rPr>
          <w:lang w:eastAsia="ru-RU"/>
        </w:rPr>
      </w:pPr>
      <w:r>
        <w:rPr>
          <w:lang w:eastAsia="ru-RU"/>
        </w:rPr>
        <w:br w:type="page"/>
      </w:r>
    </w:p>
    <w:p w:rsidR="00490640" w:rsidRDefault="00E61340" w:rsidP="00E61340">
      <w:pPr>
        <w:pStyle w:val="SingleTxtG"/>
        <w:rPr>
          <w:lang w:eastAsia="ru-RU"/>
        </w:rPr>
      </w:pPr>
      <w:r>
        <w:rPr>
          <w:lang w:eastAsia="ru-RU"/>
        </w:rPr>
        <w:lastRenderedPageBreak/>
        <w:t>7.</w:t>
      </w:r>
      <w:r>
        <w:rPr>
          <w:lang w:eastAsia="ru-RU"/>
        </w:rPr>
        <w:tab/>
      </w:r>
      <w:r w:rsidR="00490640">
        <w:rPr>
          <w:lang w:eastAsia="ru-RU"/>
        </w:rPr>
        <w:t xml:space="preserve">Four detonators were used in the </w:t>
      </w:r>
      <w:r w:rsidR="00490640" w:rsidRPr="00E61340">
        <w:t>comparison</w:t>
      </w:r>
      <w:r w:rsidR="00490640">
        <w:rPr>
          <w:lang w:eastAsia="ru-RU"/>
        </w:rPr>
        <w:t>:</w:t>
      </w:r>
    </w:p>
    <w:p w:rsidR="00490640" w:rsidRDefault="00490640" w:rsidP="00E61340">
      <w:pPr>
        <w:pStyle w:val="Bullet1G"/>
        <w:rPr>
          <w:lang w:eastAsia="ru-RU"/>
        </w:rPr>
      </w:pPr>
      <w:r>
        <w:rPr>
          <w:lang w:eastAsia="ru-RU"/>
        </w:rPr>
        <w:t>the USA standard detonator;</w:t>
      </w:r>
    </w:p>
    <w:p w:rsidR="00490640" w:rsidRDefault="00490640" w:rsidP="00E61340">
      <w:pPr>
        <w:pStyle w:val="Bullet1G"/>
        <w:rPr>
          <w:lang w:eastAsia="ru-RU"/>
        </w:rPr>
      </w:pPr>
      <w:r>
        <w:rPr>
          <w:lang w:eastAsia="ru-RU"/>
        </w:rPr>
        <w:t xml:space="preserve">the detonators received from BAM, here called ‘Alternative </w:t>
      </w:r>
      <w:r w:rsidR="00555DAD">
        <w:rPr>
          <w:lang w:eastAsia="ru-RU"/>
        </w:rPr>
        <w:t>#</w:t>
      </w:r>
      <w:r>
        <w:rPr>
          <w:lang w:eastAsia="ru-RU"/>
        </w:rPr>
        <w:t>1’;</w:t>
      </w:r>
    </w:p>
    <w:p w:rsidR="00490640" w:rsidRDefault="00490640" w:rsidP="00E61340">
      <w:pPr>
        <w:pStyle w:val="Bullet1G"/>
        <w:rPr>
          <w:lang w:eastAsia="ru-RU"/>
        </w:rPr>
      </w:pPr>
      <w:r>
        <w:rPr>
          <w:lang w:eastAsia="ru-RU"/>
        </w:rPr>
        <w:t xml:space="preserve">the detonator that AkzoNobel had chosen to replace the standard European detonator, here called ‘Alternative </w:t>
      </w:r>
      <w:r w:rsidR="00555DAD">
        <w:rPr>
          <w:lang w:eastAsia="ru-RU"/>
        </w:rPr>
        <w:t>#</w:t>
      </w:r>
      <w:r>
        <w:rPr>
          <w:lang w:eastAsia="ru-RU"/>
        </w:rPr>
        <w:t xml:space="preserve">2’; and </w:t>
      </w:r>
    </w:p>
    <w:p w:rsidR="00490640" w:rsidRDefault="00490640" w:rsidP="00E61340">
      <w:pPr>
        <w:pStyle w:val="Bullet1G"/>
        <w:rPr>
          <w:lang w:eastAsia="ru-RU"/>
        </w:rPr>
      </w:pPr>
      <w:proofErr w:type="gramStart"/>
      <w:r>
        <w:rPr>
          <w:lang w:eastAsia="ru-RU"/>
        </w:rPr>
        <w:t>the</w:t>
      </w:r>
      <w:proofErr w:type="gramEnd"/>
      <w:r>
        <w:rPr>
          <w:lang w:eastAsia="ru-RU"/>
        </w:rPr>
        <w:t xml:space="preserve"> European Standard detonator.</w:t>
      </w:r>
    </w:p>
    <w:p w:rsidR="00555DAD" w:rsidRPr="00E61340" w:rsidRDefault="00E61340" w:rsidP="00E61340">
      <w:pPr>
        <w:pStyle w:val="SingleTxtG"/>
      </w:pPr>
      <w:r>
        <w:t>8.</w:t>
      </w:r>
      <w:r>
        <w:tab/>
      </w:r>
      <w:r w:rsidR="00555DAD" w:rsidRPr="00E61340">
        <w:t>The lead blocks were made from extruded lead from one batch. The sample vials were also from one source.</w:t>
      </w:r>
    </w:p>
    <w:p w:rsidR="00490640" w:rsidRPr="00E61340" w:rsidRDefault="00E61340" w:rsidP="00E61340">
      <w:pPr>
        <w:pStyle w:val="SingleTxtG"/>
      </w:pPr>
      <w:r>
        <w:t>9.</w:t>
      </w:r>
      <w:r>
        <w:tab/>
      </w:r>
      <w:r w:rsidR="00490640" w:rsidRPr="00E61340">
        <w:t>The test samples were all organic peroxides, two solid and two liquid samples, and were selected for being borderline cases between “No” / “Low” and “Low” / “Not low”</w:t>
      </w:r>
      <w:r w:rsidR="00555DAD" w:rsidRPr="00E61340">
        <w:t xml:space="preserve">. The </w:t>
      </w:r>
      <w:proofErr w:type="gramStart"/>
      <w:r w:rsidR="00555DAD" w:rsidRPr="00E61340">
        <w:t>sample used are</w:t>
      </w:r>
      <w:proofErr w:type="gramEnd"/>
      <w:r w:rsidR="00555DAD" w:rsidRPr="00E61340">
        <w:t>:</w:t>
      </w:r>
    </w:p>
    <w:p w:rsidR="00555DAD" w:rsidRPr="00555DAD" w:rsidRDefault="00555DAD" w:rsidP="00E61340">
      <w:pPr>
        <w:pStyle w:val="Bullet1G"/>
        <w:rPr>
          <w:lang w:val="fr-FR" w:eastAsia="ru-RU"/>
        </w:rPr>
      </w:pPr>
      <w:r w:rsidRPr="00555DAD">
        <w:rPr>
          <w:lang w:val="fr-FR" w:eastAsia="ru-RU"/>
        </w:rPr>
        <w:t>Di-</w:t>
      </w:r>
      <w:proofErr w:type="spellStart"/>
      <w:r w:rsidRPr="00555DAD">
        <w:rPr>
          <w:lang w:val="fr-FR" w:eastAsia="ru-RU"/>
        </w:rPr>
        <w:t>tert</w:t>
      </w:r>
      <w:proofErr w:type="spellEnd"/>
      <w:r w:rsidRPr="00555DAD">
        <w:rPr>
          <w:lang w:val="fr-FR" w:eastAsia="ru-RU"/>
        </w:rPr>
        <w:t>-</w:t>
      </w:r>
      <w:proofErr w:type="spellStart"/>
      <w:r w:rsidRPr="00555DAD">
        <w:rPr>
          <w:lang w:val="fr-FR" w:eastAsia="ru-RU"/>
        </w:rPr>
        <w:t>Butyl</w:t>
      </w:r>
      <w:proofErr w:type="spellEnd"/>
      <w:r w:rsidRPr="00555DAD">
        <w:rPr>
          <w:lang w:val="fr-FR" w:eastAsia="ru-RU"/>
        </w:rPr>
        <w:t xml:space="preserve"> </w:t>
      </w:r>
      <w:proofErr w:type="spellStart"/>
      <w:r w:rsidRPr="00555DAD">
        <w:rPr>
          <w:lang w:val="fr-FR" w:eastAsia="ru-RU"/>
        </w:rPr>
        <w:t>Peroxide</w:t>
      </w:r>
      <w:proofErr w:type="spellEnd"/>
      <w:r w:rsidRPr="00555DAD">
        <w:rPr>
          <w:lang w:val="fr-FR" w:eastAsia="ru-RU"/>
        </w:rPr>
        <w:t xml:space="preserve"> (</w:t>
      </w:r>
      <w:proofErr w:type="spellStart"/>
      <w:r w:rsidRPr="00555DAD">
        <w:rPr>
          <w:lang w:val="fr-FR" w:eastAsia="ru-RU"/>
        </w:rPr>
        <w:t>liquid</w:t>
      </w:r>
      <w:proofErr w:type="spellEnd"/>
      <w:r>
        <w:rPr>
          <w:lang w:val="fr-FR" w:eastAsia="ru-RU"/>
        </w:rPr>
        <w:t xml:space="preserve"> A</w:t>
      </w:r>
      <w:r w:rsidRPr="00555DAD">
        <w:rPr>
          <w:lang w:val="fr-FR" w:eastAsia="ru-RU"/>
        </w:rPr>
        <w:t>)</w:t>
      </w:r>
    </w:p>
    <w:p w:rsidR="00C265A4" w:rsidRDefault="00C265A4" w:rsidP="00E61340">
      <w:pPr>
        <w:pStyle w:val="Bullet1G"/>
        <w:rPr>
          <w:lang w:val="fr-FR" w:eastAsia="ru-RU"/>
        </w:rPr>
      </w:pPr>
      <w:proofErr w:type="spellStart"/>
      <w:r w:rsidRPr="00555DAD">
        <w:rPr>
          <w:lang w:val="fr-FR" w:eastAsia="ru-RU"/>
        </w:rPr>
        <w:t>Tert-Butyl</w:t>
      </w:r>
      <w:proofErr w:type="spellEnd"/>
      <w:r w:rsidRPr="00555DAD">
        <w:rPr>
          <w:lang w:val="fr-FR" w:eastAsia="ru-RU"/>
        </w:rPr>
        <w:t xml:space="preserve"> </w:t>
      </w:r>
      <w:proofErr w:type="spellStart"/>
      <w:r w:rsidRPr="00555DAD">
        <w:rPr>
          <w:lang w:val="fr-FR" w:eastAsia="ru-RU"/>
        </w:rPr>
        <w:t>peroxybenzoate</w:t>
      </w:r>
      <w:proofErr w:type="spellEnd"/>
      <w:r>
        <w:rPr>
          <w:lang w:val="fr-FR" w:eastAsia="ru-RU"/>
        </w:rPr>
        <w:t xml:space="preserve"> (</w:t>
      </w:r>
      <w:proofErr w:type="spellStart"/>
      <w:r>
        <w:rPr>
          <w:lang w:val="fr-FR" w:eastAsia="ru-RU"/>
        </w:rPr>
        <w:t>liquid</w:t>
      </w:r>
      <w:proofErr w:type="spellEnd"/>
      <w:r>
        <w:rPr>
          <w:lang w:val="fr-FR" w:eastAsia="ru-RU"/>
        </w:rPr>
        <w:t xml:space="preserve"> B)</w:t>
      </w:r>
    </w:p>
    <w:p w:rsidR="00555DAD" w:rsidRDefault="00555DAD" w:rsidP="00E61340">
      <w:pPr>
        <w:pStyle w:val="Bullet1G"/>
        <w:rPr>
          <w:lang w:val="fr-FR" w:eastAsia="ru-RU"/>
        </w:rPr>
      </w:pPr>
      <w:proofErr w:type="gramStart"/>
      <w:r w:rsidRPr="00555DAD">
        <w:rPr>
          <w:lang w:val="fr-FR" w:eastAsia="ru-RU"/>
        </w:rPr>
        <w:t>Di(</w:t>
      </w:r>
      <w:proofErr w:type="gramEnd"/>
      <w:r w:rsidRPr="00555DAD">
        <w:rPr>
          <w:lang w:val="fr-FR" w:eastAsia="ru-RU"/>
        </w:rPr>
        <w:t xml:space="preserve">4-tert-butylcyclohexyl) </w:t>
      </w:r>
      <w:proofErr w:type="spellStart"/>
      <w:r w:rsidRPr="00555DAD">
        <w:rPr>
          <w:lang w:val="fr-FR" w:eastAsia="ru-RU"/>
        </w:rPr>
        <w:t>peroxydicarbonate</w:t>
      </w:r>
      <w:proofErr w:type="spellEnd"/>
      <w:r>
        <w:rPr>
          <w:lang w:val="fr-FR" w:eastAsia="ru-RU"/>
        </w:rPr>
        <w:t xml:space="preserve"> (</w:t>
      </w:r>
      <w:proofErr w:type="spellStart"/>
      <w:r>
        <w:rPr>
          <w:lang w:val="fr-FR" w:eastAsia="ru-RU"/>
        </w:rPr>
        <w:t>solid</w:t>
      </w:r>
      <w:proofErr w:type="spellEnd"/>
      <w:r>
        <w:rPr>
          <w:lang w:val="fr-FR" w:eastAsia="ru-RU"/>
        </w:rPr>
        <w:t xml:space="preserve"> A)</w:t>
      </w:r>
    </w:p>
    <w:p w:rsidR="00555DAD" w:rsidRPr="00555DAD" w:rsidRDefault="00555DAD" w:rsidP="00E61340">
      <w:pPr>
        <w:pStyle w:val="Bullet1G"/>
        <w:rPr>
          <w:lang w:eastAsia="ru-RU"/>
        </w:rPr>
      </w:pPr>
      <w:r w:rsidRPr="00555DAD">
        <w:rPr>
          <w:lang w:eastAsia="ru-RU"/>
        </w:rPr>
        <w:t>Dibenzoyl peroxide (75% with water) (solid B)</w:t>
      </w:r>
    </w:p>
    <w:p w:rsidR="00490640" w:rsidRDefault="00E61340" w:rsidP="00E61340">
      <w:pPr>
        <w:pStyle w:val="SingleTxtG"/>
        <w:rPr>
          <w:lang w:eastAsia="ru-RU"/>
        </w:rPr>
      </w:pPr>
      <w:r>
        <w:rPr>
          <w:lang w:eastAsia="ru-RU"/>
        </w:rPr>
        <w:t>10.</w:t>
      </w:r>
      <w:r>
        <w:rPr>
          <w:lang w:eastAsia="ru-RU"/>
        </w:rPr>
        <w:tab/>
      </w:r>
      <w:r w:rsidR="00555DAD">
        <w:rPr>
          <w:lang w:eastAsia="ru-RU"/>
        </w:rPr>
        <w:t xml:space="preserve">As </w:t>
      </w:r>
      <w:r w:rsidR="00555DAD" w:rsidRPr="00E61340">
        <w:t>inert</w:t>
      </w:r>
      <w:r w:rsidR="00555DAD">
        <w:rPr>
          <w:lang w:eastAsia="ru-RU"/>
        </w:rPr>
        <w:t xml:space="preserve"> reference substances water and calcium carbonate are used.</w:t>
      </w:r>
    </w:p>
    <w:p w:rsidR="00AE66B3" w:rsidRDefault="00E61340" w:rsidP="00E61340">
      <w:pPr>
        <w:pStyle w:val="SingleTxtG"/>
        <w:rPr>
          <w:lang w:eastAsia="ru-RU"/>
        </w:rPr>
      </w:pPr>
      <w:r>
        <w:rPr>
          <w:lang w:eastAsia="ru-RU"/>
        </w:rPr>
        <w:t>11.</w:t>
      </w:r>
      <w:r>
        <w:rPr>
          <w:lang w:eastAsia="ru-RU"/>
        </w:rPr>
        <w:tab/>
      </w:r>
      <w:r w:rsidR="00AE66B3">
        <w:rPr>
          <w:lang w:eastAsia="ru-RU"/>
        </w:rPr>
        <w:t xml:space="preserve">Since for some of the detonators only a limited number was available duplicate tests were performed instead of </w:t>
      </w:r>
      <w:r w:rsidR="00AE66B3" w:rsidRPr="00E61340">
        <w:t>the</w:t>
      </w:r>
      <w:r w:rsidR="00AE66B3">
        <w:rPr>
          <w:lang w:eastAsia="ru-RU"/>
        </w:rPr>
        <w:t xml:space="preserve"> prescribed three tests. Since the tests are intended for comparison and not </w:t>
      </w:r>
      <w:r w:rsidR="00611214">
        <w:rPr>
          <w:lang w:eastAsia="ru-RU"/>
        </w:rPr>
        <w:t>for</w:t>
      </w:r>
      <w:r w:rsidR="00AE66B3">
        <w:rPr>
          <w:lang w:eastAsia="ru-RU"/>
        </w:rPr>
        <w:t xml:space="preserve"> classification this was considered acceptable.</w:t>
      </w:r>
    </w:p>
    <w:p w:rsidR="00AE66B3" w:rsidRPr="00AE66B3" w:rsidRDefault="00AE66B3" w:rsidP="00E61340">
      <w:pPr>
        <w:pStyle w:val="HChG"/>
      </w:pPr>
      <w:r>
        <w:tab/>
      </w:r>
      <w:r>
        <w:tab/>
      </w:r>
      <w:r w:rsidRPr="00E61340">
        <w:t>Results</w:t>
      </w:r>
    </w:p>
    <w:p w:rsidR="00AE66B3" w:rsidRDefault="00E61340" w:rsidP="00E61340">
      <w:pPr>
        <w:pStyle w:val="SingleTxtG"/>
        <w:rPr>
          <w:lang w:eastAsia="ru-RU"/>
        </w:rPr>
      </w:pPr>
      <w:r>
        <w:rPr>
          <w:lang w:eastAsia="ru-RU"/>
        </w:rPr>
        <w:t>12.</w:t>
      </w:r>
      <w:r>
        <w:rPr>
          <w:lang w:eastAsia="ru-RU"/>
        </w:rPr>
        <w:tab/>
      </w:r>
      <w:r w:rsidR="00AE66B3">
        <w:rPr>
          <w:lang w:eastAsia="ru-RU"/>
        </w:rPr>
        <w:t xml:space="preserve">The results are given below in Table 1 and are expressed as net expansion, i.e. the increase of the volume </w:t>
      </w:r>
      <w:r w:rsidR="00611214">
        <w:rPr>
          <w:lang w:eastAsia="ru-RU"/>
        </w:rPr>
        <w:t>of the cavity in the block over</w:t>
      </w:r>
      <w:r w:rsidR="00AE66B3">
        <w:rPr>
          <w:lang w:eastAsia="ru-RU"/>
        </w:rPr>
        <w:t xml:space="preserve"> that given by the inert reference substance.</w:t>
      </w:r>
    </w:p>
    <w:p w:rsidR="0033513E" w:rsidRPr="00E61340" w:rsidRDefault="0033513E" w:rsidP="00E61340">
      <w:pPr>
        <w:pStyle w:val="SingleTxtG"/>
        <w:spacing w:line="240" w:lineRule="auto"/>
        <w:ind w:left="1276" w:hanging="1276"/>
        <w:jc w:val="center"/>
        <w:rPr>
          <w:b/>
          <w:sz w:val="18"/>
          <w:lang w:eastAsia="ru-RU"/>
        </w:rPr>
      </w:pPr>
      <w:bookmarkStart w:id="1" w:name="_Hlk482798910"/>
      <w:r w:rsidRPr="00E61340">
        <w:rPr>
          <w:b/>
          <w:sz w:val="18"/>
          <w:lang w:eastAsia="ru-RU"/>
        </w:rPr>
        <w:t>T</w:t>
      </w:r>
      <w:r w:rsidR="00E61340">
        <w:rPr>
          <w:b/>
          <w:sz w:val="18"/>
          <w:lang w:eastAsia="ru-RU"/>
        </w:rPr>
        <w:t xml:space="preserve">able 1: </w:t>
      </w:r>
      <w:r w:rsidRPr="00E61340">
        <w:rPr>
          <w:b/>
          <w:sz w:val="18"/>
          <w:lang w:eastAsia="ru-RU"/>
        </w:rPr>
        <w:t xml:space="preserve">Overview of the test results of the comparison of four detonators </w:t>
      </w:r>
      <w:r w:rsidR="00E61340">
        <w:rPr>
          <w:b/>
          <w:sz w:val="18"/>
          <w:lang w:eastAsia="ru-RU"/>
        </w:rPr>
        <w:br/>
      </w:r>
      <w:r w:rsidRPr="00E61340">
        <w:rPr>
          <w:b/>
          <w:sz w:val="18"/>
          <w:lang w:eastAsia="ru-RU"/>
        </w:rPr>
        <w:t>with several organic peroxides</w:t>
      </w:r>
    </w:p>
    <w:tbl>
      <w:tblPr>
        <w:tblStyle w:val="TableGrid"/>
        <w:tblW w:w="0" w:type="auto"/>
        <w:tblLayout w:type="fixed"/>
        <w:tblLook w:val="04A0" w:firstRow="1" w:lastRow="0" w:firstColumn="1" w:lastColumn="0" w:noHBand="0" w:noVBand="1"/>
      </w:tblPr>
      <w:tblGrid>
        <w:gridCol w:w="1608"/>
        <w:gridCol w:w="807"/>
        <w:gridCol w:w="1808"/>
        <w:gridCol w:w="1809"/>
        <w:gridCol w:w="1808"/>
        <w:gridCol w:w="1809"/>
      </w:tblGrid>
      <w:tr w:rsidR="0033513E" w:rsidRPr="00E61340" w:rsidTr="0033513E">
        <w:tc>
          <w:tcPr>
            <w:tcW w:w="1608" w:type="dxa"/>
            <w:vMerge w:val="restart"/>
            <w:vAlign w:val="bottom"/>
          </w:tcPr>
          <w:p w:rsidR="0033513E" w:rsidRPr="00E61340" w:rsidRDefault="0033513E" w:rsidP="00BC0449">
            <w:pPr>
              <w:pStyle w:val="SingleTxtG"/>
              <w:spacing w:after="0" w:line="240" w:lineRule="auto"/>
              <w:ind w:left="0" w:right="40"/>
              <w:rPr>
                <w:b/>
                <w:sz w:val="18"/>
                <w:szCs w:val="18"/>
                <w:lang w:eastAsia="ru-RU"/>
              </w:rPr>
            </w:pPr>
            <w:r w:rsidRPr="00E61340">
              <w:rPr>
                <w:b/>
                <w:sz w:val="18"/>
                <w:szCs w:val="18"/>
                <w:lang w:eastAsia="ru-RU"/>
              </w:rPr>
              <w:t>Sample</w:t>
            </w:r>
          </w:p>
        </w:tc>
        <w:tc>
          <w:tcPr>
            <w:tcW w:w="807" w:type="dxa"/>
            <w:vMerge w:val="restart"/>
          </w:tcPr>
          <w:p w:rsidR="0033513E" w:rsidRPr="00E61340" w:rsidRDefault="0033513E" w:rsidP="00BC0449">
            <w:pPr>
              <w:pStyle w:val="SingleTxtG"/>
              <w:spacing w:after="0" w:line="240" w:lineRule="auto"/>
              <w:ind w:left="0" w:right="88"/>
              <w:rPr>
                <w:b/>
                <w:sz w:val="18"/>
                <w:szCs w:val="18"/>
                <w:lang w:eastAsia="ru-RU"/>
              </w:rPr>
            </w:pPr>
          </w:p>
        </w:tc>
        <w:tc>
          <w:tcPr>
            <w:tcW w:w="7234" w:type="dxa"/>
            <w:gridSpan w:val="4"/>
          </w:tcPr>
          <w:p w:rsidR="0033513E" w:rsidRPr="00E61340" w:rsidRDefault="0033513E" w:rsidP="0033513E">
            <w:pPr>
              <w:pStyle w:val="SingleTxtG"/>
              <w:spacing w:after="0" w:line="240" w:lineRule="auto"/>
              <w:ind w:left="0" w:right="0"/>
              <w:jc w:val="center"/>
              <w:rPr>
                <w:b/>
                <w:sz w:val="18"/>
                <w:szCs w:val="18"/>
                <w:lang w:eastAsia="ru-RU"/>
              </w:rPr>
            </w:pPr>
            <w:r w:rsidRPr="00E61340">
              <w:rPr>
                <w:b/>
                <w:sz w:val="18"/>
                <w:szCs w:val="18"/>
                <w:lang w:eastAsia="ru-RU"/>
              </w:rPr>
              <w:t>Net expansion (ml)</w:t>
            </w:r>
          </w:p>
        </w:tc>
      </w:tr>
      <w:bookmarkEnd w:id="1"/>
      <w:tr w:rsidR="0033513E" w:rsidRPr="00E61340" w:rsidTr="00BC0449">
        <w:tc>
          <w:tcPr>
            <w:tcW w:w="1608" w:type="dxa"/>
            <w:vMerge/>
          </w:tcPr>
          <w:p w:rsidR="0033513E" w:rsidRPr="00E61340" w:rsidRDefault="0033513E" w:rsidP="00BC0449">
            <w:pPr>
              <w:pStyle w:val="SingleTxtG"/>
              <w:spacing w:after="0" w:line="240" w:lineRule="auto"/>
              <w:ind w:left="0" w:right="40"/>
              <w:rPr>
                <w:b/>
                <w:sz w:val="18"/>
                <w:szCs w:val="18"/>
                <w:lang w:eastAsia="ru-RU"/>
              </w:rPr>
            </w:pPr>
          </w:p>
        </w:tc>
        <w:tc>
          <w:tcPr>
            <w:tcW w:w="807" w:type="dxa"/>
            <w:vMerge/>
          </w:tcPr>
          <w:p w:rsidR="0033513E" w:rsidRPr="00E61340" w:rsidRDefault="0033513E" w:rsidP="00BC0449">
            <w:pPr>
              <w:pStyle w:val="SingleTxtG"/>
              <w:spacing w:after="0" w:line="240" w:lineRule="auto"/>
              <w:ind w:left="0" w:right="88"/>
              <w:rPr>
                <w:b/>
                <w:sz w:val="18"/>
                <w:szCs w:val="18"/>
                <w:lang w:eastAsia="ru-RU"/>
              </w:rPr>
            </w:pPr>
          </w:p>
        </w:tc>
        <w:tc>
          <w:tcPr>
            <w:tcW w:w="1808" w:type="dxa"/>
          </w:tcPr>
          <w:p w:rsidR="0033513E" w:rsidRPr="00E61340" w:rsidRDefault="0033513E" w:rsidP="00BC0449">
            <w:pPr>
              <w:pStyle w:val="SingleTxtG"/>
              <w:spacing w:after="0" w:line="240" w:lineRule="auto"/>
              <w:ind w:left="0" w:right="135"/>
              <w:rPr>
                <w:b/>
                <w:sz w:val="18"/>
                <w:szCs w:val="18"/>
                <w:lang w:eastAsia="ru-RU"/>
              </w:rPr>
            </w:pPr>
            <w:r w:rsidRPr="00E61340">
              <w:rPr>
                <w:b/>
                <w:sz w:val="18"/>
                <w:szCs w:val="18"/>
                <w:lang w:eastAsia="ru-RU"/>
              </w:rPr>
              <w:t>USA detonator</w:t>
            </w:r>
          </w:p>
        </w:tc>
        <w:tc>
          <w:tcPr>
            <w:tcW w:w="1809" w:type="dxa"/>
          </w:tcPr>
          <w:p w:rsidR="0033513E" w:rsidRPr="00E61340" w:rsidRDefault="0033513E" w:rsidP="00BC0449">
            <w:pPr>
              <w:pStyle w:val="SingleTxtG"/>
              <w:spacing w:after="0" w:line="240" w:lineRule="auto"/>
              <w:ind w:left="0" w:right="41"/>
              <w:rPr>
                <w:b/>
                <w:sz w:val="18"/>
                <w:szCs w:val="18"/>
                <w:lang w:eastAsia="ru-RU"/>
              </w:rPr>
            </w:pPr>
            <w:r w:rsidRPr="00E61340">
              <w:rPr>
                <w:b/>
                <w:sz w:val="18"/>
                <w:szCs w:val="18"/>
                <w:lang w:eastAsia="ru-RU"/>
              </w:rPr>
              <w:t>Alternative #1</w:t>
            </w:r>
          </w:p>
        </w:tc>
        <w:tc>
          <w:tcPr>
            <w:tcW w:w="1808" w:type="dxa"/>
          </w:tcPr>
          <w:p w:rsidR="0033513E" w:rsidRPr="00E61340" w:rsidRDefault="0033513E" w:rsidP="00BC0449">
            <w:pPr>
              <w:pStyle w:val="SingleTxtG"/>
              <w:spacing w:after="0" w:line="240" w:lineRule="auto"/>
              <w:ind w:left="0" w:right="95"/>
              <w:rPr>
                <w:b/>
                <w:sz w:val="18"/>
                <w:szCs w:val="18"/>
                <w:lang w:eastAsia="ru-RU"/>
              </w:rPr>
            </w:pPr>
            <w:r w:rsidRPr="00E61340">
              <w:rPr>
                <w:b/>
                <w:sz w:val="18"/>
                <w:szCs w:val="18"/>
                <w:lang w:eastAsia="ru-RU"/>
              </w:rPr>
              <w:t>Alternative #2</w:t>
            </w:r>
          </w:p>
        </w:tc>
        <w:tc>
          <w:tcPr>
            <w:tcW w:w="1809" w:type="dxa"/>
          </w:tcPr>
          <w:p w:rsidR="0033513E" w:rsidRPr="00E61340" w:rsidRDefault="0033513E" w:rsidP="00BC0449">
            <w:pPr>
              <w:pStyle w:val="SingleTxtG"/>
              <w:spacing w:after="0" w:line="240" w:lineRule="auto"/>
              <w:ind w:left="0" w:right="0"/>
              <w:rPr>
                <w:b/>
                <w:sz w:val="18"/>
                <w:szCs w:val="18"/>
                <w:lang w:eastAsia="ru-RU"/>
              </w:rPr>
            </w:pPr>
            <w:r w:rsidRPr="00E61340">
              <w:rPr>
                <w:b/>
                <w:sz w:val="18"/>
                <w:szCs w:val="18"/>
                <w:lang w:eastAsia="ru-RU"/>
              </w:rPr>
              <w:t>European detonator</w:t>
            </w:r>
          </w:p>
        </w:tc>
      </w:tr>
      <w:tr w:rsidR="003D2494" w:rsidRPr="00E61340" w:rsidTr="00BC0449">
        <w:tc>
          <w:tcPr>
            <w:tcW w:w="1608" w:type="dxa"/>
            <w:vMerge w:val="restart"/>
          </w:tcPr>
          <w:p w:rsidR="003D2494" w:rsidRPr="00E61340" w:rsidRDefault="003D2494" w:rsidP="003D2494">
            <w:pPr>
              <w:pStyle w:val="SingleTxtG"/>
              <w:spacing w:after="0" w:line="240" w:lineRule="auto"/>
              <w:ind w:left="0" w:right="40"/>
              <w:rPr>
                <w:sz w:val="18"/>
                <w:szCs w:val="18"/>
                <w:lang w:eastAsia="ru-RU"/>
              </w:rPr>
            </w:pPr>
            <w:r w:rsidRPr="00E61340">
              <w:rPr>
                <w:sz w:val="18"/>
                <w:szCs w:val="18"/>
                <w:lang w:eastAsia="ru-RU"/>
              </w:rPr>
              <w:t>Liquid A</w:t>
            </w:r>
          </w:p>
        </w:tc>
        <w:tc>
          <w:tcPr>
            <w:tcW w:w="807" w:type="dxa"/>
          </w:tcPr>
          <w:p w:rsidR="003D2494" w:rsidRPr="00E61340" w:rsidRDefault="003D2494" w:rsidP="003D2494">
            <w:pPr>
              <w:pStyle w:val="SingleTxtG"/>
              <w:spacing w:after="0" w:line="240" w:lineRule="auto"/>
              <w:ind w:left="0" w:right="88"/>
              <w:rPr>
                <w:sz w:val="18"/>
                <w:szCs w:val="18"/>
                <w:lang w:eastAsia="ru-RU"/>
              </w:rPr>
            </w:pPr>
            <w:r w:rsidRPr="00E61340">
              <w:rPr>
                <w:sz w:val="18"/>
                <w:szCs w:val="18"/>
                <w:lang w:eastAsia="ru-RU"/>
              </w:rPr>
              <w:t>1</w:t>
            </w:r>
          </w:p>
        </w:tc>
        <w:tc>
          <w:tcPr>
            <w:tcW w:w="1808" w:type="dxa"/>
          </w:tcPr>
          <w:p w:rsidR="003D2494" w:rsidRPr="00E61340" w:rsidRDefault="003D2494" w:rsidP="003D2494">
            <w:pPr>
              <w:jc w:val="center"/>
              <w:rPr>
                <w:sz w:val="18"/>
                <w:szCs w:val="18"/>
              </w:rPr>
            </w:pPr>
            <w:r w:rsidRPr="00E61340">
              <w:rPr>
                <w:sz w:val="18"/>
                <w:szCs w:val="18"/>
              </w:rPr>
              <w:t>9.5</w:t>
            </w:r>
          </w:p>
        </w:tc>
        <w:tc>
          <w:tcPr>
            <w:tcW w:w="1809" w:type="dxa"/>
          </w:tcPr>
          <w:p w:rsidR="003D2494" w:rsidRPr="00E61340" w:rsidRDefault="003D2494" w:rsidP="003D2494">
            <w:pPr>
              <w:jc w:val="center"/>
              <w:rPr>
                <w:sz w:val="18"/>
                <w:szCs w:val="18"/>
              </w:rPr>
            </w:pPr>
            <w:r w:rsidRPr="00E61340">
              <w:rPr>
                <w:sz w:val="18"/>
                <w:szCs w:val="18"/>
              </w:rPr>
              <w:t>10.2</w:t>
            </w:r>
          </w:p>
        </w:tc>
        <w:tc>
          <w:tcPr>
            <w:tcW w:w="1808" w:type="dxa"/>
          </w:tcPr>
          <w:p w:rsidR="003D2494" w:rsidRPr="00E61340" w:rsidRDefault="003D2494" w:rsidP="003D2494">
            <w:pPr>
              <w:jc w:val="center"/>
              <w:rPr>
                <w:sz w:val="18"/>
                <w:szCs w:val="18"/>
              </w:rPr>
            </w:pPr>
            <w:r w:rsidRPr="00E61340">
              <w:rPr>
                <w:sz w:val="18"/>
                <w:szCs w:val="18"/>
              </w:rPr>
              <w:t>10.8</w:t>
            </w:r>
          </w:p>
        </w:tc>
        <w:tc>
          <w:tcPr>
            <w:tcW w:w="1809" w:type="dxa"/>
          </w:tcPr>
          <w:p w:rsidR="003D2494" w:rsidRPr="00E61340" w:rsidRDefault="003D2494" w:rsidP="003D2494">
            <w:pPr>
              <w:jc w:val="center"/>
              <w:rPr>
                <w:sz w:val="18"/>
                <w:szCs w:val="18"/>
              </w:rPr>
            </w:pPr>
            <w:r w:rsidRPr="00E61340">
              <w:rPr>
                <w:sz w:val="18"/>
                <w:szCs w:val="18"/>
              </w:rPr>
              <w:t>9.7</w:t>
            </w:r>
          </w:p>
        </w:tc>
      </w:tr>
      <w:tr w:rsidR="003D2494" w:rsidRPr="00E61340" w:rsidTr="00BC0449">
        <w:tc>
          <w:tcPr>
            <w:tcW w:w="1608" w:type="dxa"/>
            <w:vMerge/>
          </w:tcPr>
          <w:p w:rsidR="003D2494" w:rsidRPr="00E61340" w:rsidRDefault="003D2494" w:rsidP="003D2494">
            <w:pPr>
              <w:pStyle w:val="SingleTxtG"/>
              <w:spacing w:after="0" w:line="240" w:lineRule="auto"/>
              <w:ind w:left="0" w:right="40"/>
              <w:rPr>
                <w:sz w:val="18"/>
                <w:szCs w:val="18"/>
                <w:lang w:eastAsia="ru-RU"/>
              </w:rPr>
            </w:pPr>
          </w:p>
        </w:tc>
        <w:tc>
          <w:tcPr>
            <w:tcW w:w="807" w:type="dxa"/>
          </w:tcPr>
          <w:p w:rsidR="003D2494" w:rsidRPr="00E61340" w:rsidRDefault="003D2494" w:rsidP="003D2494">
            <w:pPr>
              <w:pStyle w:val="SingleTxtG"/>
              <w:spacing w:after="0" w:line="240" w:lineRule="auto"/>
              <w:ind w:left="0" w:right="88"/>
              <w:rPr>
                <w:sz w:val="18"/>
                <w:szCs w:val="18"/>
                <w:lang w:eastAsia="ru-RU"/>
              </w:rPr>
            </w:pPr>
            <w:r w:rsidRPr="00E61340">
              <w:rPr>
                <w:sz w:val="18"/>
                <w:szCs w:val="18"/>
                <w:lang w:eastAsia="ru-RU"/>
              </w:rPr>
              <w:t>2</w:t>
            </w:r>
          </w:p>
        </w:tc>
        <w:tc>
          <w:tcPr>
            <w:tcW w:w="1808" w:type="dxa"/>
          </w:tcPr>
          <w:p w:rsidR="003D2494" w:rsidRPr="00E61340" w:rsidRDefault="003D2494" w:rsidP="003D2494">
            <w:pPr>
              <w:jc w:val="center"/>
              <w:rPr>
                <w:sz w:val="18"/>
                <w:szCs w:val="18"/>
              </w:rPr>
            </w:pPr>
            <w:r w:rsidRPr="00E61340">
              <w:rPr>
                <w:sz w:val="18"/>
                <w:szCs w:val="18"/>
              </w:rPr>
              <w:t>8.8</w:t>
            </w:r>
          </w:p>
        </w:tc>
        <w:tc>
          <w:tcPr>
            <w:tcW w:w="1809" w:type="dxa"/>
          </w:tcPr>
          <w:p w:rsidR="003D2494" w:rsidRPr="00E61340" w:rsidRDefault="003D2494" w:rsidP="003D2494">
            <w:pPr>
              <w:jc w:val="center"/>
              <w:rPr>
                <w:sz w:val="18"/>
                <w:szCs w:val="18"/>
              </w:rPr>
            </w:pPr>
            <w:r w:rsidRPr="00E61340">
              <w:rPr>
                <w:sz w:val="18"/>
                <w:szCs w:val="18"/>
              </w:rPr>
              <w:t>11.5</w:t>
            </w:r>
          </w:p>
        </w:tc>
        <w:tc>
          <w:tcPr>
            <w:tcW w:w="1808" w:type="dxa"/>
          </w:tcPr>
          <w:p w:rsidR="003D2494" w:rsidRPr="00E61340" w:rsidRDefault="003D2494" w:rsidP="003D2494">
            <w:pPr>
              <w:jc w:val="center"/>
              <w:rPr>
                <w:sz w:val="18"/>
                <w:szCs w:val="18"/>
              </w:rPr>
            </w:pPr>
            <w:r w:rsidRPr="00E61340">
              <w:rPr>
                <w:sz w:val="18"/>
                <w:szCs w:val="18"/>
              </w:rPr>
              <w:t>9.9</w:t>
            </w:r>
          </w:p>
        </w:tc>
        <w:tc>
          <w:tcPr>
            <w:tcW w:w="1809" w:type="dxa"/>
          </w:tcPr>
          <w:p w:rsidR="003D2494" w:rsidRPr="00E61340" w:rsidRDefault="003D2494" w:rsidP="003D2494">
            <w:pPr>
              <w:jc w:val="center"/>
              <w:rPr>
                <w:sz w:val="18"/>
                <w:szCs w:val="18"/>
              </w:rPr>
            </w:pPr>
            <w:r w:rsidRPr="00E61340">
              <w:rPr>
                <w:sz w:val="18"/>
                <w:szCs w:val="18"/>
              </w:rPr>
              <w:t>10.8</w:t>
            </w:r>
          </w:p>
        </w:tc>
      </w:tr>
      <w:tr w:rsidR="003D2494" w:rsidRPr="00E61340" w:rsidTr="00611214">
        <w:tc>
          <w:tcPr>
            <w:tcW w:w="1608" w:type="dxa"/>
            <w:vMerge/>
          </w:tcPr>
          <w:p w:rsidR="003D2494" w:rsidRPr="00E61340" w:rsidRDefault="003D2494" w:rsidP="003D2494">
            <w:pPr>
              <w:pStyle w:val="SingleTxtG"/>
              <w:spacing w:after="0" w:line="240" w:lineRule="auto"/>
              <w:ind w:left="0" w:right="40"/>
              <w:rPr>
                <w:sz w:val="18"/>
                <w:szCs w:val="18"/>
                <w:lang w:eastAsia="ru-RU"/>
              </w:rPr>
            </w:pPr>
          </w:p>
        </w:tc>
        <w:tc>
          <w:tcPr>
            <w:tcW w:w="807" w:type="dxa"/>
            <w:shd w:val="clear" w:color="auto" w:fill="D9D9D9" w:themeFill="background1" w:themeFillShade="D9"/>
          </w:tcPr>
          <w:p w:rsidR="003D2494" w:rsidRPr="00E61340" w:rsidRDefault="003D2494" w:rsidP="003D2494">
            <w:pPr>
              <w:pStyle w:val="SingleTxtG"/>
              <w:spacing w:after="0" w:line="240" w:lineRule="auto"/>
              <w:ind w:left="0" w:right="88"/>
              <w:rPr>
                <w:sz w:val="18"/>
                <w:szCs w:val="18"/>
                <w:lang w:eastAsia="ru-RU"/>
              </w:rPr>
            </w:pPr>
            <w:r w:rsidRPr="00E61340">
              <w:rPr>
                <w:sz w:val="18"/>
                <w:szCs w:val="18"/>
                <w:lang w:eastAsia="ru-RU"/>
              </w:rPr>
              <w:t>average</w:t>
            </w:r>
          </w:p>
        </w:tc>
        <w:tc>
          <w:tcPr>
            <w:tcW w:w="1808" w:type="dxa"/>
            <w:shd w:val="clear" w:color="auto" w:fill="D9D9D9" w:themeFill="background1" w:themeFillShade="D9"/>
          </w:tcPr>
          <w:p w:rsidR="003D2494" w:rsidRPr="00E61340" w:rsidRDefault="003D2494" w:rsidP="003D2494">
            <w:pPr>
              <w:jc w:val="center"/>
              <w:rPr>
                <w:sz w:val="18"/>
                <w:szCs w:val="18"/>
              </w:rPr>
            </w:pPr>
            <w:r w:rsidRPr="00E61340">
              <w:rPr>
                <w:sz w:val="18"/>
                <w:szCs w:val="18"/>
              </w:rPr>
              <w:t>9.2</w:t>
            </w:r>
          </w:p>
        </w:tc>
        <w:tc>
          <w:tcPr>
            <w:tcW w:w="1809" w:type="dxa"/>
            <w:shd w:val="clear" w:color="auto" w:fill="D9D9D9" w:themeFill="background1" w:themeFillShade="D9"/>
          </w:tcPr>
          <w:p w:rsidR="003D2494" w:rsidRPr="00E61340" w:rsidRDefault="003D2494" w:rsidP="003D2494">
            <w:pPr>
              <w:jc w:val="center"/>
              <w:rPr>
                <w:sz w:val="18"/>
                <w:szCs w:val="18"/>
              </w:rPr>
            </w:pPr>
            <w:r w:rsidRPr="00E61340">
              <w:rPr>
                <w:sz w:val="18"/>
                <w:szCs w:val="18"/>
              </w:rPr>
              <w:t>10.9</w:t>
            </w:r>
          </w:p>
        </w:tc>
        <w:tc>
          <w:tcPr>
            <w:tcW w:w="1808" w:type="dxa"/>
            <w:shd w:val="clear" w:color="auto" w:fill="D9D9D9" w:themeFill="background1" w:themeFillShade="D9"/>
          </w:tcPr>
          <w:p w:rsidR="003D2494" w:rsidRPr="00E61340" w:rsidRDefault="003D2494" w:rsidP="003D2494">
            <w:pPr>
              <w:jc w:val="center"/>
              <w:rPr>
                <w:sz w:val="18"/>
                <w:szCs w:val="18"/>
              </w:rPr>
            </w:pPr>
            <w:r w:rsidRPr="00E61340">
              <w:rPr>
                <w:sz w:val="18"/>
                <w:szCs w:val="18"/>
              </w:rPr>
              <w:t>10.4</w:t>
            </w:r>
          </w:p>
        </w:tc>
        <w:tc>
          <w:tcPr>
            <w:tcW w:w="1809" w:type="dxa"/>
            <w:shd w:val="clear" w:color="auto" w:fill="D9D9D9" w:themeFill="background1" w:themeFillShade="D9"/>
          </w:tcPr>
          <w:p w:rsidR="003D2494" w:rsidRPr="00E61340" w:rsidRDefault="003D2494" w:rsidP="003D2494">
            <w:pPr>
              <w:jc w:val="center"/>
              <w:rPr>
                <w:sz w:val="18"/>
                <w:szCs w:val="18"/>
              </w:rPr>
            </w:pPr>
            <w:r w:rsidRPr="00E61340">
              <w:rPr>
                <w:sz w:val="18"/>
                <w:szCs w:val="18"/>
              </w:rPr>
              <w:t>10.3</w:t>
            </w:r>
          </w:p>
        </w:tc>
      </w:tr>
      <w:tr w:rsidR="003D2494" w:rsidRPr="00E61340" w:rsidTr="00BC0449">
        <w:tc>
          <w:tcPr>
            <w:tcW w:w="1608" w:type="dxa"/>
            <w:vMerge w:val="restart"/>
          </w:tcPr>
          <w:p w:rsidR="003D2494" w:rsidRPr="00E61340" w:rsidRDefault="003D2494" w:rsidP="003D2494">
            <w:pPr>
              <w:pStyle w:val="SingleTxtG"/>
              <w:spacing w:after="0" w:line="240" w:lineRule="auto"/>
              <w:ind w:left="0" w:right="40"/>
              <w:rPr>
                <w:sz w:val="18"/>
                <w:szCs w:val="18"/>
                <w:lang w:eastAsia="ru-RU"/>
              </w:rPr>
            </w:pPr>
            <w:r w:rsidRPr="00E61340">
              <w:rPr>
                <w:sz w:val="18"/>
                <w:szCs w:val="18"/>
                <w:lang w:eastAsia="ru-RU"/>
              </w:rPr>
              <w:t>Liquid B</w:t>
            </w:r>
          </w:p>
        </w:tc>
        <w:tc>
          <w:tcPr>
            <w:tcW w:w="807" w:type="dxa"/>
          </w:tcPr>
          <w:p w:rsidR="003D2494" w:rsidRPr="00E61340" w:rsidRDefault="003D2494" w:rsidP="003D2494">
            <w:pPr>
              <w:pStyle w:val="SingleTxtG"/>
              <w:spacing w:after="0" w:line="240" w:lineRule="auto"/>
              <w:ind w:left="0" w:right="88"/>
              <w:rPr>
                <w:sz w:val="18"/>
                <w:szCs w:val="18"/>
                <w:lang w:eastAsia="ru-RU"/>
              </w:rPr>
            </w:pPr>
            <w:r w:rsidRPr="00E61340">
              <w:rPr>
                <w:sz w:val="18"/>
                <w:szCs w:val="18"/>
                <w:lang w:eastAsia="ru-RU"/>
              </w:rPr>
              <w:t>1</w:t>
            </w:r>
          </w:p>
        </w:tc>
        <w:tc>
          <w:tcPr>
            <w:tcW w:w="1808" w:type="dxa"/>
          </w:tcPr>
          <w:p w:rsidR="003D2494" w:rsidRPr="00E61340" w:rsidRDefault="003D2494" w:rsidP="003D2494">
            <w:pPr>
              <w:jc w:val="center"/>
              <w:rPr>
                <w:sz w:val="18"/>
                <w:szCs w:val="18"/>
              </w:rPr>
            </w:pPr>
            <w:r w:rsidRPr="00E61340">
              <w:rPr>
                <w:sz w:val="18"/>
                <w:szCs w:val="18"/>
              </w:rPr>
              <w:t>15.3</w:t>
            </w:r>
          </w:p>
        </w:tc>
        <w:tc>
          <w:tcPr>
            <w:tcW w:w="1809" w:type="dxa"/>
          </w:tcPr>
          <w:p w:rsidR="003D2494" w:rsidRPr="00E61340" w:rsidRDefault="003D2494" w:rsidP="003D2494">
            <w:pPr>
              <w:jc w:val="center"/>
              <w:rPr>
                <w:sz w:val="18"/>
                <w:szCs w:val="18"/>
              </w:rPr>
            </w:pPr>
            <w:r w:rsidRPr="00E61340">
              <w:rPr>
                <w:sz w:val="18"/>
                <w:szCs w:val="18"/>
              </w:rPr>
              <w:t>18.7</w:t>
            </w:r>
          </w:p>
        </w:tc>
        <w:tc>
          <w:tcPr>
            <w:tcW w:w="1808" w:type="dxa"/>
          </w:tcPr>
          <w:p w:rsidR="003D2494" w:rsidRPr="00E61340" w:rsidRDefault="003D2494" w:rsidP="003D2494">
            <w:pPr>
              <w:jc w:val="center"/>
              <w:rPr>
                <w:sz w:val="18"/>
                <w:szCs w:val="18"/>
              </w:rPr>
            </w:pPr>
            <w:r w:rsidRPr="00E61340">
              <w:rPr>
                <w:sz w:val="18"/>
                <w:szCs w:val="18"/>
              </w:rPr>
              <w:t>17.8</w:t>
            </w:r>
          </w:p>
        </w:tc>
        <w:tc>
          <w:tcPr>
            <w:tcW w:w="1809" w:type="dxa"/>
          </w:tcPr>
          <w:p w:rsidR="003D2494" w:rsidRPr="00E61340" w:rsidRDefault="003D2494" w:rsidP="003D2494">
            <w:pPr>
              <w:jc w:val="center"/>
              <w:rPr>
                <w:sz w:val="18"/>
                <w:szCs w:val="18"/>
              </w:rPr>
            </w:pPr>
            <w:r w:rsidRPr="00E61340">
              <w:rPr>
                <w:sz w:val="18"/>
                <w:szCs w:val="18"/>
              </w:rPr>
              <w:t>16.8</w:t>
            </w:r>
          </w:p>
        </w:tc>
      </w:tr>
      <w:tr w:rsidR="003D2494" w:rsidRPr="00E61340" w:rsidTr="00BC0449">
        <w:tc>
          <w:tcPr>
            <w:tcW w:w="1608" w:type="dxa"/>
            <w:vMerge/>
          </w:tcPr>
          <w:p w:rsidR="003D2494" w:rsidRPr="00E61340" w:rsidRDefault="003D2494" w:rsidP="003D2494">
            <w:pPr>
              <w:pStyle w:val="SingleTxtG"/>
              <w:spacing w:after="0" w:line="240" w:lineRule="auto"/>
              <w:ind w:left="0" w:right="40"/>
              <w:rPr>
                <w:sz w:val="18"/>
                <w:szCs w:val="18"/>
                <w:lang w:eastAsia="ru-RU"/>
              </w:rPr>
            </w:pPr>
          </w:p>
        </w:tc>
        <w:tc>
          <w:tcPr>
            <w:tcW w:w="807" w:type="dxa"/>
          </w:tcPr>
          <w:p w:rsidR="003D2494" w:rsidRPr="00E61340" w:rsidRDefault="003D2494" w:rsidP="003D2494">
            <w:pPr>
              <w:pStyle w:val="SingleTxtG"/>
              <w:spacing w:after="0" w:line="240" w:lineRule="auto"/>
              <w:ind w:left="0" w:right="88"/>
              <w:rPr>
                <w:sz w:val="18"/>
                <w:szCs w:val="18"/>
                <w:lang w:eastAsia="ru-RU"/>
              </w:rPr>
            </w:pPr>
            <w:r w:rsidRPr="00E61340">
              <w:rPr>
                <w:sz w:val="18"/>
                <w:szCs w:val="18"/>
                <w:lang w:eastAsia="ru-RU"/>
              </w:rPr>
              <w:t>2</w:t>
            </w:r>
          </w:p>
        </w:tc>
        <w:tc>
          <w:tcPr>
            <w:tcW w:w="1808" w:type="dxa"/>
          </w:tcPr>
          <w:p w:rsidR="003D2494" w:rsidRPr="00E61340" w:rsidRDefault="003D2494" w:rsidP="003D2494">
            <w:pPr>
              <w:jc w:val="center"/>
              <w:rPr>
                <w:sz w:val="18"/>
                <w:szCs w:val="18"/>
              </w:rPr>
            </w:pPr>
            <w:r w:rsidRPr="00E61340">
              <w:rPr>
                <w:sz w:val="18"/>
                <w:szCs w:val="18"/>
              </w:rPr>
              <w:t>16.2</w:t>
            </w:r>
          </w:p>
        </w:tc>
        <w:tc>
          <w:tcPr>
            <w:tcW w:w="1809" w:type="dxa"/>
          </w:tcPr>
          <w:p w:rsidR="003D2494" w:rsidRPr="00E61340" w:rsidRDefault="003D2494" w:rsidP="003D2494">
            <w:pPr>
              <w:jc w:val="center"/>
              <w:rPr>
                <w:sz w:val="18"/>
                <w:szCs w:val="18"/>
              </w:rPr>
            </w:pPr>
            <w:r w:rsidRPr="00E61340">
              <w:rPr>
                <w:sz w:val="18"/>
                <w:szCs w:val="18"/>
              </w:rPr>
              <w:t>19.5</w:t>
            </w:r>
          </w:p>
        </w:tc>
        <w:tc>
          <w:tcPr>
            <w:tcW w:w="1808" w:type="dxa"/>
          </w:tcPr>
          <w:p w:rsidR="003D2494" w:rsidRPr="00E61340" w:rsidRDefault="003D2494" w:rsidP="003D2494">
            <w:pPr>
              <w:jc w:val="center"/>
              <w:rPr>
                <w:sz w:val="18"/>
                <w:szCs w:val="18"/>
              </w:rPr>
            </w:pPr>
            <w:r w:rsidRPr="00E61340">
              <w:rPr>
                <w:sz w:val="18"/>
                <w:szCs w:val="18"/>
              </w:rPr>
              <w:t>16.6</w:t>
            </w:r>
          </w:p>
        </w:tc>
        <w:tc>
          <w:tcPr>
            <w:tcW w:w="1809" w:type="dxa"/>
          </w:tcPr>
          <w:p w:rsidR="003D2494" w:rsidRPr="00E61340" w:rsidRDefault="003D2494" w:rsidP="003D2494">
            <w:pPr>
              <w:jc w:val="center"/>
              <w:rPr>
                <w:sz w:val="18"/>
                <w:szCs w:val="18"/>
              </w:rPr>
            </w:pPr>
            <w:r w:rsidRPr="00E61340">
              <w:rPr>
                <w:sz w:val="18"/>
                <w:szCs w:val="18"/>
              </w:rPr>
              <w:t>15.6</w:t>
            </w:r>
          </w:p>
        </w:tc>
      </w:tr>
      <w:tr w:rsidR="003D2494" w:rsidRPr="00E61340" w:rsidTr="00611214">
        <w:tc>
          <w:tcPr>
            <w:tcW w:w="1608" w:type="dxa"/>
            <w:vMerge/>
          </w:tcPr>
          <w:p w:rsidR="003D2494" w:rsidRPr="00E61340" w:rsidRDefault="003D2494" w:rsidP="003D2494">
            <w:pPr>
              <w:pStyle w:val="SingleTxtG"/>
              <w:spacing w:after="0" w:line="240" w:lineRule="auto"/>
              <w:ind w:left="0" w:right="40"/>
              <w:rPr>
                <w:sz w:val="18"/>
                <w:szCs w:val="18"/>
                <w:lang w:eastAsia="ru-RU"/>
              </w:rPr>
            </w:pPr>
          </w:p>
        </w:tc>
        <w:tc>
          <w:tcPr>
            <w:tcW w:w="807" w:type="dxa"/>
            <w:shd w:val="clear" w:color="auto" w:fill="D9D9D9" w:themeFill="background1" w:themeFillShade="D9"/>
          </w:tcPr>
          <w:p w:rsidR="003D2494" w:rsidRPr="00E61340" w:rsidRDefault="003D2494" w:rsidP="003D2494">
            <w:pPr>
              <w:pStyle w:val="SingleTxtG"/>
              <w:spacing w:after="0" w:line="240" w:lineRule="auto"/>
              <w:ind w:left="0" w:right="88"/>
              <w:rPr>
                <w:sz w:val="18"/>
                <w:szCs w:val="18"/>
                <w:lang w:eastAsia="ru-RU"/>
              </w:rPr>
            </w:pPr>
            <w:r w:rsidRPr="00E61340">
              <w:rPr>
                <w:sz w:val="18"/>
                <w:szCs w:val="18"/>
                <w:lang w:eastAsia="ru-RU"/>
              </w:rPr>
              <w:t>average</w:t>
            </w:r>
          </w:p>
        </w:tc>
        <w:tc>
          <w:tcPr>
            <w:tcW w:w="1808" w:type="dxa"/>
            <w:shd w:val="clear" w:color="auto" w:fill="D9D9D9" w:themeFill="background1" w:themeFillShade="D9"/>
          </w:tcPr>
          <w:p w:rsidR="003D2494" w:rsidRPr="00E61340" w:rsidRDefault="003D2494" w:rsidP="003D2494">
            <w:pPr>
              <w:jc w:val="center"/>
              <w:rPr>
                <w:sz w:val="18"/>
                <w:szCs w:val="18"/>
              </w:rPr>
            </w:pPr>
            <w:r w:rsidRPr="00E61340">
              <w:rPr>
                <w:sz w:val="18"/>
                <w:szCs w:val="18"/>
              </w:rPr>
              <w:t>15.8</w:t>
            </w:r>
          </w:p>
        </w:tc>
        <w:tc>
          <w:tcPr>
            <w:tcW w:w="1809" w:type="dxa"/>
            <w:shd w:val="clear" w:color="auto" w:fill="D9D9D9" w:themeFill="background1" w:themeFillShade="D9"/>
          </w:tcPr>
          <w:p w:rsidR="003D2494" w:rsidRPr="00E61340" w:rsidRDefault="003D2494" w:rsidP="003D2494">
            <w:pPr>
              <w:jc w:val="center"/>
              <w:rPr>
                <w:sz w:val="18"/>
                <w:szCs w:val="18"/>
              </w:rPr>
            </w:pPr>
            <w:r w:rsidRPr="00E61340">
              <w:rPr>
                <w:sz w:val="18"/>
                <w:szCs w:val="18"/>
              </w:rPr>
              <w:t>19.1</w:t>
            </w:r>
          </w:p>
        </w:tc>
        <w:tc>
          <w:tcPr>
            <w:tcW w:w="1808" w:type="dxa"/>
            <w:shd w:val="clear" w:color="auto" w:fill="D9D9D9" w:themeFill="background1" w:themeFillShade="D9"/>
          </w:tcPr>
          <w:p w:rsidR="003D2494" w:rsidRPr="00E61340" w:rsidRDefault="008D1D83" w:rsidP="003D2494">
            <w:pPr>
              <w:jc w:val="center"/>
              <w:rPr>
                <w:sz w:val="18"/>
                <w:szCs w:val="18"/>
              </w:rPr>
            </w:pPr>
            <w:r w:rsidRPr="00E61340">
              <w:rPr>
                <w:sz w:val="18"/>
                <w:szCs w:val="18"/>
              </w:rPr>
              <w:t>17</w:t>
            </w:r>
            <w:r w:rsidR="003D2494" w:rsidRPr="00E61340">
              <w:rPr>
                <w:sz w:val="18"/>
                <w:szCs w:val="18"/>
              </w:rPr>
              <w:t>.</w:t>
            </w:r>
            <w:r w:rsidRPr="00E61340">
              <w:rPr>
                <w:sz w:val="18"/>
                <w:szCs w:val="18"/>
              </w:rPr>
              <w:t>2</w:t>
            </w:r>
          </w:p>
        </w:tc>
        <w:tc>
          <w:tcPr>
            <w:tcW w:w="1809" w:type="dxa"/>
            <w:shd w:val="clear" w:color="auto" w:fill="D9D9D9" w:themeFill="background1" w:themeFillShade="D9"/>
          </w:tcPr>
          <w:p w:rsidR="003D2494" w:rsidRPr="00E61340" w:rsidRDefault="003D2494" w:rsidP="003D2494">
            <w:pPr>
              <w:jc w:val="center"/>
              <w:rPr>
                <w:sz w:val="18"/>
                <w:szCs w:val="18"/>
              </w:rPr>
            </w:pPr>
            <w:r w:rsidRPr="00E61340">
              <w:rPr>
                <w:sz w:val="18"/>
                <w:szCs w:val="18"/>
              </w:rPr>
              <w:t>16.2</w:t>
            </w:r>
          </w:p>
        </w:tc>
      </w:tr>
      <w:tr w:rsidR="003D2494" w:rsidRPr="00E61340" w:rsidTr="00BC0449">
        <w:tc>
          <w:tcPr>
            <w:tcW w:w="1608" w:type="dxa"/>
            <w:vMerge w:val="restart"/>
          </w:tcPr>
          <w:p w:rsidR="003D2494" w:rsidRPr="00E61340" w:rsidRDefault="003D2494" w:rsidP="003D2494">
            <w:pPr>
              <w:pStyle w:val="SingleTxtG"/>
              <w:spacing w:after="0" w:line="240" w:lineRule="auto"/>
              <w:ind w:left="0" w:right="40"/>
              <w:rPr>
                <w:sz w:val="18"/>
                <w:szCs w:val="18"/>
                <w:lang w:eastAsia="ru-RU"/>
              </w:rPr>
            </w:pPr>
            <w:r w:rsidRPr="00E61340">
              <w:rPr>
                <w:sz w:val="18"/>
                <w:szCs w:val="18"/>
                <w:lang w:eastAsia="ru-RU"/>
              </w:rPr>
              <w:t>Solid A</w:t>
            </w:r>
          </w:p>
        </w:tc>
        <w:tc>
          <w:tcPr>
            <w:tcW w:w="807" w:type="dxa"/>
          </w:tcPr>
          <w:p w:rsidR="003D2494" w:rsidRPr="00E61340" w:rsidRDefault="003D2494" w:rsidP="003D2494">
            <w:pPr>
              <w:pStyle w:val="SingleTxtG"/>
              <w:spacing w:after="0" w:line="240" w:lineRule="auto"/>
              <w:ind w:left="0" w:right="88"/>
              <w:rPr>
                <w:sz w:val="18"/>
                <w:szCs w:val="18"/>
                <w:lang w:eastAsia="ru-RU"/>
              </w:rPr>
            </w:pPr>
            <w:r w:rsidRPr="00E61340">
              <w:rPr>
                <w:sz w:val="18"/>
                <w:szCs w:val="18"/>
                <w:lang w:eastAsia="ru-RU"/>
              </w:rPr>
              <w:t>1</w:t>
            </w:r>
          </w:p>
        </w:tc>
        <w:tc>
          <w:tcPr>
            <w:tcW w:w="1808" w:type="dxa"/>
          </w:tcPr>
          <w:p w:rsidR="003D2494" w:rsidRPr="00E61340" w:rsidRDefault="003D2494" w:rsidP="003D2494">
            <w:pPr>
              <w:jc w:val="center"/>
              <w:rPr>
                <w:sz w:val="18"/>
                <w:szCs w:val="18"/>
              </w:rPr>
            </w:pPr>
            <w:r w:rsidRPr="00E61340">
              <w:rPr>
                <w:sz w:val="18"/>
                <w:szCs w:val="18"/>
              </w:rPr>
              <w:t>1.8</w:t>
            </w:r>
          </w:p>
        </w:tc>
        <w:tc>
          <w:tcPr>
            <w:tcW w:w="1809" w:type="dxa"/>
          </w:tcPr>
          <w:p w:rsidR="003D2494" w:rsidRPr="00E61340" w:rsidRDefault="003D2494" w:rsidP="003D2494">
            <w:pPr>
              <w:jc w:val="center"/>
              <w:rPr>
                <w:sz w:val="18"/>
                <w:szCs w:val="18"/>
              </w:rPr>
            </w:pPr>
            <w:r w:rsidRPr="00E61340">
              <w:rPr>
                <w:sz w:val="18"/>
                <w:szCs w:val="18"/>
              </w:rPr>
              <w:t>2.9</w:t>
            </w:r>
          </w:p>
        </w:tc>
        <w:tc>
          <w:tcPr>
            <w:tcW w:w="1808" w:type="dxa"/>
          </w:tcPr>
          <w:p w:rsidR="003D2494" w:rsidRPr="00E61340" w:rsidRDefault="003D2494" w:rsidP="003D2494">
            <w:pPr>
              <w:jc w:val="center"/>
              <w:rPr>
                <w:sz w:val="18"/>
                <w:szCs w:val="18"/>
              </w:rPr>
            </w:pPr>
            <w:r w:rsidRPr="00E61340">
              <w:rPr>
                <w:sz w:val="18"/>
                <w:szCs w:val="18"/>
              </w:rPr>
              <w:t>2.8</w:t>
            </w:r>
          </w:p>
        </w:tc>
        <w:tc>
          <w:tcPr>
            <w:tcW w:w="1809" w:type="dxa"/>
          </w:tcPr>
          <w:p w:rsidR="003D2494" w:rsidRPr="00E61340" w:rsidRDefault="003D2494" w:rsidP="003D2494">
            <w:pPr>
              <w:jc w:val="center"/>
              <w:rPr>
                <w:sz w:val="18"/>
                <w:szCs w:val="18"/>
              </w:rPr>
            </w:pPr>
            <w:r w:rsidRPr="00E61340">
              <w:rPr>
                <w:sz w:val="18"/>
                <w:szCs w:val="18"/>
              </w:rPr>
              <w:t>3.2</w:t>
            </w:r>
          </w:p>
        </w:tc>
      </w:tr>
      <w:tr w:rsidR="003D2494" w:rsidRPr="00E61340" w:rsidTr="00BC0449">
        <w:tc>
          <w:tcPr>
            <w:tcW w:w="1608" w:type="dxa"/>
            <w:vMerge/>
          </w:tcPr>
          <w:p w:rsidR="003D2494" w:rsidRPr="00E61340" w:rsidRDefault="003D2494" w:rsidP="003D2494">
            <w:pPr>
              <w:pStyle w:val="SingleTxtG"/>
              <w:spacing w:after="0" w:line="240" w:lineRule="auto"/>
              <w:ind w:left="0" w:right="40"/>
              <w:rPr>
                <w:sz w:val="18"/>
                <w:szCs w:val="18"/>
                <w:lang w:eastAsia="ru-RU"/>
              </w:rPr>
            </w:pPr>
          </w:p>
        </w:tc>
        <w:tc>
          <w:tcPr>
            <w:tcW w:w="807" w:type="dxa"/>
          </w:tcPr>
          <w:p w:rsidR="003D2494" w:rsidRPr="00E61340" w:rsidRDefault="003D2494" w:rsidP="003D2494">
            <w:pPr>
              <w:pStyle w:val="SingleTxtG"/>
              <w:spacing w:after="0" w:line="240" w:lineRule="auto"/>
              <w:ind w:left="0" w:right="88"/>
              <w:rPr>
                <w:sz w:val="18"/>
                <w:szCs w:val="18"/>
                <w:lang w:eastAsia="ru-RU"/>
              </w:rPr>
            </w:pPr>
            <w:r w:rsidRPr="00E61340">
              <w:rPr>
                <w:sz w:val="18"/>
                <w:szCs w:val="18"/>
                <w:lang w:eastAsia="ru-RU"/>
              </w:rPr>
              <w:t>2</w:t>
            </w:r>
          </w:p>
        </w:tc>
        <w:tc>
          <w:tcPr>
            <w:tcW w:w="1808" w:type="dxa"/>
          </w:tcPr>
          <w:p w:rsidR="003D2494" w:rsidRPr="00E61340" w:rsidRDefault="003D2494" w:rsidP="003D2494">
            <w:pPr>
              <w:jc w:val="center"/>
              <w:rPr>
                <w:sz w:val="18"/>
                <w:szCs w:val="18"/>
              </w:rPr>
            </w:pPr>
            <w:r w:rsidRPr="00E61340">
              <w:rPr>
                <w:sz w:val="18"/>
                <w:szCs w:val="18"/>
              </w:rPr>
              <w:t>2.4</w:t>
            </w:r>
          </w:p>
        </w:tc>
        <w:tc>
          <w:tcPr>
            <w:tcW w:w="1809" w:type="dxa"/>
          </w:tcPr>
          <w:p w:rsidR="003D2494" w:rsidRPr="00E61340" w:rsidRDefault="003D2494" w:rsidP="003D2494">
            <w:pPr>
              <w:jc w:val="center"/>
              <w:rPr>
                <w:sz w:val="18"/>
                <w:szCs w:val="18"/>
              </w:rPr>
            </w:pPr>
            <w:r w:rsidRPr="00E61340">
              <w:rPr>
                <w:sz w:val="18"/>
                <w:szCs w:val="18"/>
              </w:rPr>
              <w:t>3.1</w:t>
            </w:r>
          </w:p>
        </w:tc>
        <w:tc>
          <w:tcPr>
            <w:tcW w:w="1808" w:type="dxa"/>
          </w:tcPr>
          <w:p w:rsidR="003D2494" w:rsidRPr="00E61340" w:rsidRDefault="003D2494" w:rsidP="003D2494">
            <w:pPr>
              <w:jc w:val="center"/>
              <w:rPr>
                <w:sz w:val="18"/>
                <w:szCs w:val="18"/>
              </w:rPr>
            </w:pPr>
            <w:r w:rsidRPr="00E61340">
              <w:rPr>
                <w:sz w:val="18"/>
                <w:szCs w:val="18"/>
              </w:rPr>
              <w:t>3.2</w:t>
            </w:r>
          </w:p>
        </w:tc>
        <w:tc>
          <w:tcPr>
            <w:tcW w:w="1809" w:type="dxa"/>
          </w:tcPr>
          <w:p w:rsidR="003D2494" w:rsidRPr="00E61340" w:rsidRDefault="003D2494" w:rsidP="003D2494">
            <w:pPr>
              <w:jc w:val="center"/>
              <w:rPr>
                <w:sz w:val="18"/>
                <w:szCs w:val="18"/>
              </w:rPr>
            </w:pPr>
            <w:r w:rsidRPr="00E61340">
              <w:rPr>
                <w:sz w:val="18"/>
                <w:szCs w:val="18"/>
              </w:rPr>
              <w:t>3.5</w:t>
            </w:r>
          </w:p>
        </w:tc>
      </w:tr>
      <w:tr w:rsidR="003D2494" w:rsidRPr="00E61340" w:rsidTr="00611214">
        <w:tc>
          <w:tcPr>
            <w:tcW w:w="1608" w:type="dxa"/>
            <w:vMerge/>
          </w:tcPr>
          <w:p w:rsidR="003D2494" w:rsidRPr="00E61340" w:rsidRDefault="003D2494" w:rsidP="003D2494">
            <w:pPr>
              <w:pStyle w:val="SingleTxtG"/>
              <w:spacing w:after="0" w:line="240" w:lineRule="auto"/>
              <w:ind w:left="0" w:right="40"/>
              <w:rPr>
                <w:sz w:val="18"/>
                <w:szCs w:val="18"/>
                <w:lang w:eastAsia="ru-RU"/>
              </w:rPr>
            </w:pPr>
          </w:p>
        </w:tc>
        <w:tc>
          <w:tcPr>
            <w:tcW w:w="807" w:type="dxa"/>
            <w:shd w:val="clear" w:color="auto" w:fill="D9D9D9" w:themeFill="background1" w:themeFillShade="D9"/>
          </w:tcPr>
          <w:p w:rsidR="003D2494" w:rsidRPr="00E61340" w:rsidRDefault="003D2494" w:rsidP="003D2494">
            <w:pPr>
              <w:pStyle w:val="SingleTxtG"/>
              <w:spacing w:after="0" w:line="240" w:lineRule="auto"/>
              <w:ind w:left="0" w:right="88"/>
              <w:rPr>
                <w:sz w:val="18"/>
                <w:szCs w:val="18"/>
                <w:lang w:eastAsia="ru-RU"/>
              </w:rPr>
            </w:pPr>
            <w:r w:rsidRPr="00E61340">
              <w:rPr>
                <w:sz w:val="18"/>
                <w:szCs w:val="18"/>
                <w:lang w:eastAsia="ru-RU"/>
              </w:rPr>
              <w:t>average</w:t>
            </w:r>
          </w:p>
        </w:tc>
        <w:tc>
          <w:tcPr>
            <w:tcW w:w="1808" w:type="dxa"/>
            <w:shd w:val="clear" w:color="auto" w:fill="D9D9D9" w:themeFill="background1" w:themeFillShade="D9"/>
          </w:tcPr>
          <w:p w:rsidR="003D2494" w:rsidRPr="00E61340" w:rsidRDefault="003D2494" w:rsidP="003D2494">
            <w:pPr>
              <w:jc w:val="center"/>
              <w:rPr>
                <w:sz w:val="18"/>
                <w:szCs w:val="18"/>
              </w:rPr>
            </w:pPr>
            <w:r w:rsidRPr="00E61340">
              <w:rPr>
                <w:sz w:val="18"/>
                <w:szCs w:val="18"/>
              </w:rPr>
              <w:t>2.1</w:t>
            </w:r>
          </w:p>
        </w:tc>
        <w:tc>
          <w:tcPr>
            <w:tcW w:w="1809" w:type="dxa"/>
            <w:shd w:val="clear" w:color="auto" w:fill="D9D9D9" w:themeFill="background1" w:themeFillShade="D9"/>
          </w:tcPr>
          <w:p w:rsidR="003D2494" w:rsidRPr="00E61340" w:rsidRDefault="003D2494" w:rsidP="003D2494">
            <w:pPr>
              <w:jc w:val="center"/>
              <w:rPr>
                <w:sz w:val="18"/>
                <w:szCs w:val="18"/>
              </w:rPr>
            </w:pPr>
            <w:r w:rsidRPr="00E61340">
              <w:rPr>
                <w:sz w:val="18"/>
                <w:szCs w:val="18"/>
              </w:rPr>
              <w:t>3.0</w:t>
            </w:r>
          </w:p>
        </w:tc>
        <w:tc>
          <w:tcPr>
            <w:tcW w:w="1808" w:type="dxa"/>
            <w:shd w:val="clear" w:color="auto" w:fill="D9D9D9" w:themeFill="background1" w:themeFillShade="D9"/>
          </w:tcPr>
          <w:p w:rsidR="003D2494" w:rsidRPr="00E61340" w:rsidRDefault="003D2494" w:rsidP="003D2494">
            <w:pPr>
              <w:jc w:val="center"/>
              <w:rPr>
                <w:sz w:val="18"/>
                <w:szCs w:val="18"/>
              </w:rPr>
            </w:pPr>
            <w:r w:rsidRPr="00E61340">
              <w:rPr>
                <w:sz w:val="18"/>
                <w:szCs w:val="18"/>
              </w:rPr>
              <w:t>3.0</w:t>
            </w:r>
          </w:p>
        </w:tc>
        <w:tc>
          <w:tcPr>
            <w:tcW w:w="1809" w:type="dxa"/>
            <w:shd w:val="clear" w:color="auto" w:fill="D9D9D9" w:themeFill="background1" w:themeFillShade="D9"/>
          </w:tcPr>
          <w:p w:rsidR="003D2494" w:rsidRPr="00E61340" w:rsidRDefault="003D2494" w:rsidP="003D2494">
            <w:pPr>
              <w:jc w:val="center"/>
              <w:rPr>
                <w:sz w:val="18"/>
                <w:szCs w:val="18"/>
              </w:rPr>
            </w:pPr>
            <w:r w:rsidRPr="00E61340">
              <w:rPr>
                <w:sz w:val="18"/>
                <w:szCs w:val="18"/>
              </w:rPr>
              <w:t>3.4</w:t>
            </w:r>
          </w:p>
        </w:tc>
      </w:tr>
      <w:tr w:rsidR="003D2494" w:rsidRPr="00E61340" w:rsidTr="00BC0449">
        <w:tc>
          <w:tcPr>
            <w:tcW w:w="1608" w:type="dxa"/>
            <w:vMerge w:val="restart"/>
          </w:tcPr>
          <w:p w:rsidR="003D2494" w:rsidRPr="00E61340" w:rsidRDefault="003D2494" w:rsidP="003D2494">
            <w:pPr>
              <w:pStyle w:val="SingleTxtG"/>
              <w:spacing w:after="0" w:line="240" w:lineRule="auto"/>
              <w:ind w:left="0" w:right="40"/>
              <w:rPr>
                <w:sz w:val="18"/>
                <w:szCs w:val="18"/>
                <w:lang w:eastAsia="ru-RU"/>
              </w:rPr>
            </w:pPr>
            <w:r w:rsidRPr="00E61340">
              <w:rPr>
                <w:sz w:val="18"/>
                <w:szCs w:val="18"/>
                <w:lang w:eastAsia="ru-RU"/>
              </w:rPr>
              <w:t>Solid B</w:t>
            </w:r>
          </w:p>
        </w:tc>
        <w:tc>
          <w:tcPr>
            <w:tcW w:w="807" w:type="dxa"/>
          </w:tcPr>
          <w:p w:rsidR="003D2494" w:rsidRPr="00E61340" w:rsidRDefault="003D2494" w:rsidP="003D2494">
            <w:pPr>
              <w:pStyle w:val="SingleTxtG"/>
              <w:spacing w:after="0" w:line="240" w:lineRule="auto"/>
              <w:ind w:left="0" w:right="88"/>
              <w:rPr>
                <w:sz w:val="18"/>
                <w:szCs w:val="18"/>
                <w:lang w:eastAsia="ru-RU"/>
              </w:rPr>
            </w:pPr>
            <w:r w:rsidRPr="00E61340">
              <w:rPr>
                <w:sz w:val="18"/>
                <w:szCs w:val="18"/>
                <w:lang w:eastAsia="ru-RU"/>
              </w:rPr>
              <w:t>1</w:t>
            </w:r>
          </w:p>
        </w:tc>
        <w:tc>
          <w:tcPr>
            <w:tcW w:w="1808" w:type="dxa"/>
          </w:tcPr>
          <w:p w:rsidR="003D2494" w:rsidRPr="00E61340" w:rsidRDefault="003D2494" w:rsidP="003D2494">
            <w:pPr>
              <w:jc w:val="center"/>
              <w:rPr>
                <w:sz w:val="18"/>
                <w:szCs w:val="18"/>
              </w:rPr>
            </w:pPr>
            <w:r w:rsidRPr="00E61340">
              <w:rPr>
                <w:sz w:val="18"/>
                <w:szCs w:val="18"/>
              </w:rPr>
              <w:t>8.2</w:t>
            </w:r>
          </w:p>
        </w:tc>
        <w:tc>
          <w:tcPr>
            <w:tcW w:w="1809" w:type="dxa"/>
          </w:tcPr>
          <w:p w:rsidR="003D2494" w:rsidRPr="00E61340" w:rsidRDefault="003D2494" w:rsidP="003D2494">
            <w:pPr>
              <w:jc w:val="center"/>
              <w:rPr>
                <w:sz w:val="18"/>
                <w:szCs w:val="18"/>
              </w:rPr>
            </w:pPr>
            <w:r w:rsidRPr="00E61340">
              <w:rPr>
                <w:sz w:val="18"/>
                <w:szCs w:val="18"/>
              </w:rPr>
              <w:t>12.0</w:t>
            </w:r>
          </w:p>
        </w:tc>
        <w:tc>
          <w:tcPr>
            <w:tcW w:w="1808" w:type="dxa"/>
          </w:tcPr>
          <w:p w:rsidR="003D2494" w:rsidRPr="00E61340" w:rsidRDefault="003D2494" w:rsidP="003D2494">
            <w:pPr>
              <w:jc w:val="center"/>
              <w:rPr>
                <w:sz w:val="18"/>
                <w:szCs w:val="18"/>
              </w:rPr>
            </w:pPr>
            <w:r w:rsidRPr="00E61340">
              <w:rPr>
                <w:sz w:val="18"/>
                <w:szCs w:val="18"/>
              </w:rPr>
              <w:t>11.0</w:t>
            </w:r>
          </w:p>
        </w:tc>
        <w:tc>
          <w:tcPr>
            <w:tcW w:w="1809" w:type="dxa"/>
          </w:tcPr>
          <w:p w:rsidR="003D2494" w:rsidRPr="00E61340" w:rsidRDefault="003D2494" w:rsidP="003D2494">
            <w:pPr>
              <w:jc w:val="center"/>
              <w:rPr>
                <w:sz w:val="18"/>
                <w:szCs w:val="18"/>
              </w:rPr>
            </w:pPr>
            <w:r w:rsidRPr="00E61340">
              <w:rPr>
                <w:sz w:val="18"/>
                <w:szCs w:val="18"/>
              </w:rPr>
              <w:t>11.0</w:t>
            </w:r>
          </w:p>
        </w:tc>
      </w:tr>
      <w:tr w:rsidR="003D2494" w:rsidRPr="00E61340" w:rsidTr="00BC0449">
        <w:tc>
          <w:tcPr>
            <w:tcW w:w="1608" w:type="dxa"/>
            <w:vMerge/>
          </w:tcPr>
          <w:p w:rsidR="003D2494" w:rsidRPr="00E61340" w:rsidRDefault="003D2494" w:rsidP="003D2494">
            <w:pPr>
              <w:pStyle w:val="SingleTxtG"/>
              <w:spacing w:after="0" w:line="240" w:lineRule="auto"/>
              <w:ind w:left="0" w:right="40"/>
              <w:rPr>
                <w:sz w:val="18"/>
                <w:szCs w:val="18"/>
                <w:lang w:eastAsia="ru-RU"/>
              </w:rPr>
            </w:pPr>
          </w:p>
        </w:tc>
        <w:tc>
          <w:tcPr>
            <w:tcW w:w="807" w:type="dxa"/>
          </w:tcPr>
          <w:p w:rsidR="003D2494" w:rsidRPr="00E61340" w:rsidRDefault="003D2494" w:rsidP="003D2494">
            <w:pPr>
              <w:pStyle w:val="SingleTxtG"/>
              <w:spacing w:after="0" w:line="240" w:lineRule="auto"/>
              <w:ind w:left="0" w:right="88"/>
              <w:rPr>
                <w:sz w:val="18"/>
                <w:szCs w:val="18"/>
                <w:lang w:eastAsia="ru-RU"/>
              </w:rPr>
            </w:pPr>
            <w:r w:rsidRPr="00E61340">
              <w:rPr>
                <w:sz w:val="18"/>
                <w:szCs w:val="18"/>
                <w:lang w:eastAsia="ru-RU"/>
              </w:rPr>
              <w:t>2</w:t>
            </w:r>
          </w:p>
        </w:tc>
        <w:tc>
          <w:tcPr>
            <w:tcW w:w="1808" w:type="dxa"/>
          </w:tcPr>
          <w:p w:rsidR="003D2494" w:rsidRPr="00E61340" w:rsidRDefault="003D2494" w:rsidP="003D2494">
            <w:pPr>
              <w:jc w:val="center"/>
              <w:rPr>
                <w:sz w:val="18"/>
                <w:szCs w:val="18"/>
              </w:rPr>
            </w:pPr>
            <w:r w:rsidRPr="00E61340">
              <w:rPr>
                <w:sz w:val="18"/>
                <w:szCs w:val="18"/>
              </w:rPr>
              <w:t>7.0</w:t>
            </w:r>
          </w:p>
        </w:tc>
        <w:tc>
          <w:tcPr>
            <w:tcW w:w="1809" w:type="dxa"/>
          </w:tcPr>
          <w:p w:rsidR="003D2494" w:rsidRPr="00E61340" w:rsidRDefault="003D2494" w:rsidP="003D2494">
            <w:pPr>
              <w:jc w:val="center"/>
              <w:rPr>
                <w:sz w:val="18"/>
                <w:szCs w:val="18"/>
              </w:rPr>
            </w:pPr>
            <w:r w:rsidRPr="00E61340">
              <w:rPr>
                <w:sz w:val="18"/>
                <w:szCs w:val="18"/>
              </w:rPr>
              <w:t>9.7</w:t>
            </w:r>
          </w:p>
        </w:tc>
        <w:tc>
          <w:tcPr>
            <w:tcW w:w="1808" w:type="dxa"/>
          </w:tcPr>
          <w:p w:rsidR="003D2494" w:rsidRPr="00E61340" w:rsidRDefault="003D2494" w:rsidP="003D2494">
            <w:pPr>
              <w:jc w:val="center"/>
              <w:rPr>
                <w:sz w:val="18"/>
                <w:szCs w:val="18"/>
              </w:rPr>
            </w:pPr>
            <w:r w:rsidRPr="00E61340">
              <w:rPr>
                <w:sz w:val="18"/>
                <w:szCs w:val="18"/>
              </w:rPr>
              <w:t>12.2</w:t>
            </w:r>
          </w:p>
        </w:tc>
        <w:tc>
          <w:tcPr>
            <w:tcW w:w="1809" w:type="dxa"/>
          </w:tcPr>
          <w:p w:rsidR="003D2494" w:rsidRPr="00E61340" w:rsidRDefault="003D2494" w:rsidP="003D2494">
            <w:pPr>
              <w:jc w:val="center"/>
              <w:rPr>
                <w:sz w:val="18"/>
                <w:szCs w:val="18"/>
              </w:rPr>
            </w:pPr>
            <w:r w:rsidRPr="00E61340">
              <w:rPr>
                <w:sz w:val="18"/>
                <w:szCs w:val="18"/>
              </w:rPr>
              <w:t>11.2</w:t>
            </w:r>
          </w:p>
        </w:tc>
      </w:tr>
      <w:tr w:rsidR="003D2494" w:rsidRPr="00E61340" w:rsidTr="00611214">
        <w:tc>
          <w:tcPr>
            <w:tcW w:w="1608" w:type="dxa"/>
            <w:vMerge/>
          </w:tcPr>
          <w:p w:rsidR="003D2494" w:rsidRPr="00E61340" w:rsidRDefault="003D2494" w:rsidP="003D2494">
            <w:pPr>
              <w:pStyle w:val="SingleTxtG"/>
              <w:spacing w:after="0" w:line="240" w:lineRule="auto"/>
              <w:ind w:left="0" w:right="40"/>
              <w:rPr>
                <w:sz w:val="18"/>
                <w:szCs w:val="18"/>
                <w:lang w:eastAsia="ru-RU"/>
              </w:rPr>
            </w:pPr>
          </w:p>
        </w:tc>
        <w:tc>
          <w:tcPr>
            <w:tcW w:w="807" w:type="dxa"/>
            <w:shd w:val="clear" w:color="auto" w:fill="D9D9D9" w:themeFill="background1" w:themeFillShade="D9"/>
          </w:tcPr>
          <w:p w:rsidR="003D2494" w:rsidRPr="00E61340" w:rsidRDefault="003D2494" w:rsidP="003D2494">
            <w:pPr>
              <w:pStyle w:val="SingleTxtG"/>
              <w:spacing w:after="0" w:line="240" w:lineRule="auto"/>
              <w:ind w:left="0" w:right="88"/>
              <w:rPr>
                <w:sz w:val="18"/>
                <w:szCs w:val="18"/>
                <w:lang w:eastAsia="ru-RU"/>
              </w:rPr>
            </w:pPr>
            <w:r w:rsidRPr="00E61340">
              <w:rPr>
                <w:sz w:val="18"/>
                <w:szCs w:val="18"/>
                <w:lang w:eastAsia="ru-RU"/>
              </w:rPr>
              <w:t>average</w:t>
            </w:r>
          </w:p>
        </w:tc>
        <w:tc>
          <w:tcPr>
            <w:tcW w:w="1808" w:type="dxa"/>
            <w:shd w:val="clear" w:color="auto" w:fill="D9D9D9" w:themeFill="background1" w:themeFillShade="D9"/>
          </w:tcPr>
          <w:p w:rsidR="003D2494" w:rsidRPr="00E61340" w:rsidRDefault="003D2494" w:rsidP="003D2494">
            <w:pPr>
              <w:jc w:val="center"/>
              <w:rPr>
                <w:sz w:val="18"/>
                <w:szCs w:val="18"/>
              </w:rPr>
            </w:pPr>
            <w:r w:rsidRPr="00E61340">
              <w:rPr>
                <w:sz w:val="18"/>
                <w:szCs w:val="18"/>
              </w:rPr>
              <w:t>7.6</w:t>
            </w:r>
          </w:p>
        </w:tc>
        <w:tc>
          <w:tcPr>
            <w:tcW w:w="1809" w:type="dxa"/>
            <w:shd w:val="clear" w:color="auto" w:fill="D9D9D9" w:themeFill="background1" w:themeFillShade="D9"/>
          </w:tcPr>
          <w:p w:rsidR="003D2494" w:rsidRPr="00E61340" w:rsidRDefault="003D2494" w:rsidP="003D2494">
            <w:pPr>
              <w:jc w:val="center"/>
              <w:rPr>
                <w:sz w:val="18"/>
                <w:szCs w:val="18"/>
              </w:rPr>
            </w:pPr>
            <w:r w:rsidRPr="00E61340">
              <w:rPr>
                <w:sz w:val="18"/>
                <w:szCs w:val="18"/>
              </w:rPr>
              <w:t>10.9</w:t>
            </w:r>
          </w:p>
        </w:tc>
        <w:tc>
          <w:tcPr>
            <w:tcW w:w="1808" w:type="dxa"/>
            <w:shd w:val="clear" w:color="auto" w:fill="D9D9D9" w:themeFill="background1" w:themeFillShade="D9"/>
          </w:tcPr>
          <w:p w:rsidR="003D2494" w:rsidRPr="00E61340" w:rsidRDefault="003D2494" w:rsidP="003D2494">
            <w:pPr>
              <w:jc w:val="center"/>
              <w:rPr>
                <w:sz w:val="18"/>
                <w:szCs w:val="18"/>
              </w:rPr>
            </w:pPr>
            <w:r w:rsidRPr="00E61340">
              <w:rPr>
                <w:sz w:val="18"/>
                <w:szCs w:val="18"/>
              </w:rPr>
              <w:t>11.6</w:t>
            </w:r>
          </w:p>
        </w:tc>
        <w:tc>
          <w:tcPr>
            <w:tcW w:w="1809" w:type="dxa"/>
            <w:shd w:val="clear" w:color="auto" w:fill="D9D9D9" w:themeFill="background1" w:themeFillShade="D9"/>
          </w:tcPr>
          <w:p w:rsidR="003D2494" w:rsidRPr="00E61340" w:rsidRDefault="003D2494" w:rsidP="003D2494">
            <w:pPr>
              <w:jc w:val="center"/>
              <w:rPr>
                <w:sz w:val="18"/>
                <w:szCs w:val="18"/>
              </w:rPr>
            </w:pPr>
            <w:r w:rsidRPr="00E61340">
              <w:rPr>
                <w:sz w:val="18"/>
                <w:szCs w:val="18"/>
              </w:rPr>
              <w:t>11.1</w:t>
            </w:r>
          </w:p>
        </w:tc>
      </w:tr>
      <w:tr w:rsidR="00AE66B3" w:rsidRPr="00E61340" w:rsidTr="00BC0449">
        <w:tc>
          <w:tcPr>
            <w:tcW w:w="1608" w:type="dxa"/>
          </w:tcPr>
          <w:p w:rsidR="00AE66B3" w:rsidRPr="00E61340" w:rsidRDefault="00BC0449" w:rsidP="00BC0449">
            <w:pPr>
              <w:pStyle w:val="SingleTxtG"/>
              <w:spacing w:after="0" w:line="240" w:lineRule="auto"/>
              <w:ind w:left="0" w:right="40"/>
              <w:rPr>
                <w:sz w:val="18"/>
                <w:szCs w:val="18"/>
                <w:lang w:eastAsia="ru-RU"/>
              </w:rPr>
            </w:pPr>
            <w:r w:rsidRPr="00E61340">
              <w:rPr>
                <w:sz w:val="18"/>
                <w:szCs w:val="18"/>
                <w:lang w:eastAsia="ru-RU"/>
              </w:rPr>
              <w:t>Inert liquid</w:t>
            </w:r>
          </w:p>
        </w:tc>
        <w:tc>
          <w:tcPr>
            <w:tcW w:w="807" w:type="dxa"/>
          </w:tcPr>
          <w:p w:rsidR="00AE66B3" w:rsidRPr="00E61340" w:rsidRDefault="00AE66B3" w:rsidP="00BC0449">
            <w:pPr>
              <w:pStyle w:val="SingleTxtG"/>
              <w:spacing w:after="0" w:line="240" w:lineRule="auto"/>
              <w:ind w:left="0" w:right="88"/>
              <w:rPr>
                <w:sz w:val="18"/>
                <w:szCs w:val="18"/>
                <w:lang w:eastAsia="ru-RU"/>
              </w:rPr>
            </w:pPr>
          </w:p>
        </w:tc>
        <w:tc>
          <w:tcPr>
            <w:tcW w:w="1808" w:type="dxa"/>
          </w:tcPr>
          <w:p w:rsidR="00AE66B3" w:rsidRPr="00E61340" w:rsidRDefault="00BC0449" w:rsidP="003D2494">
            <w:pPr>
              <w:pStyle w:val="SingleTxtG"/>
              <w:spacing w:after="0" w:line="240" w:lineRule="auto"/>
              <w:ind w:left="0" w:right="135"/>
              <w:jc w:val="center"/>
              <w:rPr>
                <w:sz w:val="18"/>
                <w:szCs w:val="18"/>
                <w:lang w:eastAsia="ru-RU"/>
              </w:rPr>
            </w:pPr>
            <w:r w:rsidRPr="00E61340">
              <w:rPr>
                <w:sz w:val="18"/>
                <w:szCs w:val="18"/>
                <w:lang w:eastAsia="ru-RU"/>
              </w:rPr>
              <w:t>8.9</w:t>
            </w:r>
          </w:p>
        </w:tc>
        <w:tc>
          <w:tcPr>
            <w:tcW w:w="1809" w:type="dxa"/>
          </w:tcPr>
          <w:p w:rsidR="00AE66B3" w:rsidRPr="00E61340" w:rsidRDefault="00BC0449" w:rsidP="003D2494">
            <w:pPr>
              <w:pStyle w:val="SingleTxtG"/>
              <w:spacing w:after="0" w:line="240" w:lineRule="auto"/>
              <w:ind w:left="0" w:right="41"/>
              <w:jc w:val="center"/>
              <w:rPr>
                <w:sz w:val="18"/>
                <w:szCs w:val="18"/>
                <w:lang w:eastAsia="ru-RU"/>
              </w:rPr>
            </w:pPr>
            <w:r w:rsidRPr="00E61340">
              <w:rPr>
                <w:sz w:val="18"/>
                <w:szCs w:val="18"/>
                <w:lang w:eastAsia="ru-RU"/>
              </w:rPr>
              <w:t>9.7</w:t>
            </w:r>
          </w:p>
        </w:tc>
        <w:tc>
          <w:tcPr>
            <w:tcW w:w="1808" w:type="dxa"/>
          </w:tcPr>
          <w:p w:rsidR="00AE66B3" w:rsidRPr="00E61340" w:rsidRDefault="00BC0449" w:rsidP="003D2494">
            <w:pPr>
              <w:pStyle w:val="SingleTxtG"/>
              <w:spacing w:after="0" w:line="240" w:lineRule="auto"/>
              <w:ind w:left="0" w:right="95"/>
              <w:jc w:val="center"/>
              <w:rPr>
                <w:sz w:val="18"/>
                <w:szCs w:val="18"/>
                <w:lang w:eastAsia="ru-RU"/>
              </w:rPr>
            </w:pPr>
            <w:r w:rsidRPr="00E61340">
              <w:rPr>
                <w:sz w:val="18"/>
                <w:szCs w:val="18"/>
                <w:lang w:eastAsia="ru-RU"/>
              </w:rPr>
              <w:t>9.4</w:t>
            </w:r>
          </w:p>
        </w:tc>
        <w:tc>
          <w:tcPr>
            <w:tcW w:w="1809" w:type="dxa"/>
          </w:tcPr>
          <w:p w:rsidR="00AE66B3" w:rsidRPr="00E61340" w:rsidRDefault="00BC0449" w:rsidP="003D2494">
            <w:pPr>
              <w:pStyle w:val="SingleTxtG"/>
              <w:spacing w:after="0" w:line="240" w:lineRule="auto"/>
              <w:ind w:left="0" w:right="0"/>
              <w:jc w:val="center"/>
              <w:rPr>
                <w:sz w:val="18"/>
                <w:szCs w:val="18"/>
                <w:lang w:eastAsia="ru-RU"/>
              </w:rPr>
            </w:pPr>
            <w:r w:rsidRPr="00E61340">
              <w:rPr>
                <w:sz w:val="18"/>
                <w:szCs w:val="18"/>
                <w:lang w:eastAsia="ru-RU"/>
              </w:rPr>
              <w:t>10.7</w:t>
            </w:r>
          </w:p>
        </w:tc>
      </w:tr>
      <w:tr w:rsidR="00AE66B3" w:rsidRPr="00E61340" w:rsidTr="00BC0449">
        <w:tc>
          <w:tcPr>
            <w:tcW w:w="1608" w:type="dxa"/>
          </w:tcPr>
          <w:p w:rsidR="00AE66B3" w:rsidRPr="00E61340" w:rsidRDefault="00BC0449" w:rsidP="00BC0449">
            <w:pPr>
              <w:pStyle w:val="SingleTxtG"/>
              <w:spacing w:after="0" w:line="240" w:lineRule="auto"/>
              <w:ind w:left="0" w:right="40"/>
              <w:rPr>
                <w:sz w:val="18"/>
                <w:szCs w:val="18"/>
                <w:lang w:eastAsia="ru-RU"/>
              </w:rPr>
            </w:pPr>
            <w:r w:rsidRPr="00E61340">
              <w:rPr>
                <w:sz w:val="18"/>
                <w:szCs w:val="18"/>
                <w:lang w:eastAsia="ru-RU"/>
              </w:rPr>
              <w:t>Inert solid</w:t>
            </w:r>
          </w:p>
        </w:tc>
        <w:tc>
          <w:tcPr>
            <w:tcW w:w="807" w:type="dxa"/>
          </w:tcPr>
          <w:p w:rsidR="00AE66B3" w:rsidRPr="00E61340" w:rsidRDefault="00AE66B3" w:rsidP="00BC0449">
            <w:pPr>
              <w:pStyle w:val="SingleTxtG"/>
              <w:spacing w:after="0" w:line="240" w:lineRule="auto"/>
              <w:ind w:left="0" w:right="88"/>
              <w:rPr>
                <w:sz w:val="18"/>
                <w:szCs w:val="18"/>
                <w:lang w:eastAsia="ru-RU"/>
              </w:rPr>
            </w:pPr>
          </w:p>
        </w:tc>
        <w:tc>
          <w:tcPr>
            <w:tcW w:w="1808" w:type="dxa"/>
          </w:tcPr>
          <w:p w:rsidR="00AE66B3" w:rsidRPr="00E61340" w:rsidRDefault="00BC0449" w:rsidP="003D2494">
            <w:pPr>
              <w:pStyle w:val="SingleTxtG"/>
              <w:spacing w:after="0" w:line="240" w:lineRule="auto"/>
              <w:ind w:left="0" w:right="135"/>
              <w:jc w:val="center"/>
              <w:rPr>
                <w:sz w:val="18"/>
                <w:szCs w:val="18"/>
                <w:lang w:eastAsia="ru-RU"/>
              </w:rPr>
            </w:pPr>
            <w:r w:rsidRPr="00E61340">
              <w:rPr>
                <w:sz w:val="18"/>
                <w:szCs w:val="18"/>
                <w:lang w:eastAsia="ru-RU"/>
              </w:rPr>
              <w:t>4.7</w:t>
            </w:r>
          </w:p>
        </w:tc>
        <w:tc>
          <w:tcPr>
            <w:tcW w:w="1809" w:type="dxa"/>
          </w:tcPr>
          <w:p w:rsidR="00AE66B3" w:rsidRPr="00E61340" w:rsidRDefault="00BC0449" w:rsidP="003D2494">
            <w:pPr>
              <w:pStyle w:val="SingleTxtG"/>
              <w:spacing w:after="0" w:line="240" w:lineRule="auto"/>
              <w:ind w:left="0" w:right="41"/>
              <w:jc w:val="center"/>
              <w:rPr>
                <w:sz w:val="18"/>
                <w:szCs w:val="18"/>
                <w:lang w:eastAsia="ru-RU"/>
              </w:rPr>
            </w:pPr>
            <w:r w:rsidRPr="00E61340">
              <w:rPr>
                <w:sz w:val="18"/>
                <w:szCs w:val="18"/>
                <w:lang w:eastAsia="ru-RU"/>
              </w:rPr>
              <w:t>5.4</w:t>
            </w:r>
          </w:p>
        </w:tc>
        <w:tc>
          <w:tcPr>
            <w:tcW w:w="1808" w:type="dxa"/>
          </w:tcPr>
          <w:p w:rsidR="00AE66B3" w:rsidRPr="00E61340" w:rsidRDefault="00BC0449" w:rsidP="003D2494">
            <w:pPr>
              <w:pStyle w:val="SingleTxtG"/>
              <w:spacing w:after="0" w:line="240" w:lineRule="auto"/>
              <w:ind w:left="0" w:right="95"/>
              <w:jc w:val="center"/>
              <w:rPr>
                <w:sz w:val="18"/>
                <w:szCs w:val="18"/>
                <w:lang w:eastAsia="ru-RU"/>
              </w:rPr>
            </w:pPr>
            <w:r w:rsidRPr="00E61340">
              <w:rPr>
                <w:sz w:val="18"/>
                <w:szCs w:val="18"/>
                <w:lang w:eastAsia="ru-RU"/>
              </w:rPr>
              <w:t>5.5</w:t>
            </w:r>
          </w:p>
        </w:tc>
        <w:tc>
          <w:tcPr>
            <w:tcW w:w="1809" w:type="dxa"/>
          </w:tcPr>
          <w:p w:rsidR="00AE66B3" w:rsidRPr="00E61340" w:rsidRDefault="00BC0449" w:rsidP="003D2494">
            <w:pPr>
              <w:pStyle w:val="SingleTxtG"/>
              <w:spacing w:after="0" w:line="240" w:lineRule="auto"/>
              <w:ind w:left="0" w:right="0"/>
              <w:jc w:val="center"/>
              <w:rPr>
                <w:sz w:val="18"/>
                <w:szCs w:val="18"/>
                <w:lang w:eastAsia="ru-RU"/>
              </w:rPr>
            </w:pPr>
            <w:r w:rsidRPr="00E61340">
              <w:rPr>
                <w:sz w:val="18"/>
                <w:szCs w:val="18"/>
                <w:lang w:eastAsia="ru-RU"/>
              </w:rPr>
              <w:t>6.5</w:t>
            </w:r>
          </w:p>
        </w:tc>
      </w:tr>
    </w:tbl>
    <w:p w:rsidR="0033513E" w:rsidRDefault="00E61340" w:rsidP="00E61340">
      <w:pPr>
        <w:pStyle w:val="SingleTxtG"/>
        <w:rPr>
          <w:lang w:eastAsia="ru-RU"/>
        </w:rPr>
      </w:pPr>
      <w:r>
        <w:rPr>
          <w:lang w:eastAsia="ru-RU"/>
        </w:rPr>
        <w:t>13.</w:t>
      </w:r>
      <w:r>
        <w:rPr>
          <w:lang w:eastAsia="ru-RU"/>
        </w:rPr>
        <w:tab/>
      </w:r>
      <w:r w:rsidR="0033513E">
        <w:rPr>
          <w:lang w:eastAsia="ru-RU"/>
        </w:rPr>
        <w:t>To get an impression of the influence of the lead quality a limited comparison w</w:t>
      </w:r>
      <w:r w:rsidR="00C03447">
        <w:rPr>
          <w:lang w:eastAsia="ru-RU"/>
        </w:rPr>
        <w:t>ill</w:t>
      </w:r>
      <w:r w:rsidR="0033513E">
        <w:rPr>
          <w:lang w:eastAsia="ru-RU"/>
        </w:rPr>
        <w:t xml:space="preserve"> made between cast and extruded blocks. Liquid B and </w:t>
      </w:r>
      <w:r w:rsidR="0033513E" w:rsidRPr="00E61340">
        <w:t>Alternative</w:t>
      </w:r>
      <w:r w:rsidR="0033513E">
        <w:rPr>
          <w:lang w:eastAsia="ru-RU"/>
        </w:rPr>
        <w:t xml:space="preserve"> detonator #2 </w:t>
      </w:r>
      <w:r w:rsidR="00C03447">
        <w:rPr>
          <w:lang w:eastAsia="ru-RU"/>
        </w:rPr>
        <w:t>will be</w:t>
      </w:r>
      <w:r w:rsidR="0033513E">
        <w:rPr>
          <w:lang w:eastAsia="ru-RU"/>
        </w:rPr>
        <w:t xml:space="preserve"> used in this comparison. The results are </w:t>
      </w:r>
      <w:r w:rsidR="00C03447">
        <w:rPr>
          <w:lang w:eastAsia="ru-RU"/>
        </w:rPr>
        <w:t xml:space="preserve">not yet available but will be shared later. </w:t>
      </w:r>
    </w:p>
    <w:p w:rsidR="008D1D83" w:rsidRPr="008D1D83" w:rsidRDefault="008D1D83" w:rsidP="00E61340">
      <w:pPr>
        <w:pStyle w:val="HChG"/>
        <w:rPr>
          <w:color w:val="000000"/>
        </w:rPr>
      </w:pPr>
      <w:r>
        <w:rPr>
          <w:lang w:eastAsia="ru-RU"/>
        </w:rPr>
        <w:lastRenderedPageBreak/>
        <w:tab/>
      </w:r>
      <w:r w:rsidR="00E61340">
        <w:rPr>
          <w:lang w:eastAsia="ru-RU"/>
        </w:rPr>
        <w:tab/>
      </w:r>
      <w:r w:rsidRPr="00E61340">
        <w:t>Conclusions</w:t>
      </w:r>
    </w:p>
    <w:p w:rsidR="0033513E" w:rsidRPr="00E61340" w:rsidRDefault="00E61340" w:rsidP="00E61340">
      <w:pPr>
        <w:pStyle w:val="SingleTxtG"/>
      </w:pPr>
      <w:r>
        <w:t>14.</w:t>
      </w:r>
      <w:r>
        <w:tab/>
      </w:r>
      <w:r w:rsidR="00370550" w:rsidRPr="00E61340">
        <w:t xml:space="preserve">The two alternative detonators </w:t>
      </w:r>
      <w:r w:rsidR="00611214" w:rsidRPr="00E61340">
        <w:t>were found to be</w:t>
      </w:r>
      <w:r w:rsidR="00370550" w:rsidRPr="00E61340">
        <w:t xml:space="preserve"> of the same type from the same manufacturer. The results compare well.</w:t>
      </w:r>
    </w:p>
    <w:p w:rsidR="00370550" w:rsidRPr="00E61340" w:rsidRDefault="00E61340" w:rsidP="00E61340">
      <w:pPr>
        <w:pStyle w:val="SingleTxtG"/>
      </w:pPr>
      <w:r>
        <w:t>15.</w:t>
      </w:r>
      <w:r>
        <w:tab/>
      </w:r>
      <w:r w:rsidR="00370550" w:rsidRPr="00E61340">
        <w:t xml:space="preserve">The general trend is that the USA </w:t>
      </w:r>
      <w:proofErr w:type="gramStart"/>
      <w:r w:rsidR="00370550" w:rsidRPr="00E61340">
        <w:t>detonator give</w:t>
      </w:r>
      <w:proofErr w:type="gramEnd"/>
      <w:r w:rsidR="00370550" w:rsidRPr="00E61340">
        <w:t xml:space="preserve"> somewhat lower results than the alternative detonators and the European detonator gives somewhat higher results. The </w:t>
      </w:r>
      <w:proofErr w:type="gramStart"/>
      <w:r w:rsidR="00370550" w:rsidRPr="00E61340">
        <w:t>differences seems</w:t>
      </w:r>
      <w:proofErr w:type="gramEnd"/>
      <w:r w:rsidR="00370550" w:rsidRPr="00E61340">
        <w:t xml:space="preserve"> more pronounced for solids than for liquids. It should be noted that the USA detonator has a net explosive mass of approximately 0.65 g while the European detonator contain 0.90 g</w:t>
      </w:r>
      <w:r w:rsidR="00376807" w:rsidRPr="00E61340">
        <w:t>. The main charge of the alternative detonator contains 0</w:t>
      </w:r>
      <w:r w:rsidR="00611214" w:rsidRPr="00E61340">
        <w:t>.</w:t>
      </w:r>
      <w:r w:rsidR="00376807" w:rsidRPr="00E61340">
        <w:t>60 g PETN, the mass of the primary explosive is not known at the moment.</w:t>
      </w:r>
    </w:p>
    <w:p w:rsidR="00376807" w:rsidRPr="00E61340" w:rsidRDefault="00E61340" w:rsidP="00E61340">
      <w:pPr>
        <w:pStyle w:val="SingleTxtG"/>
      </w:pPr>
      <w:r>
        <w:t>16.</w:t>
      </w:r>
      <w:r>
        <w:tab/>
      </w:r>
      <w:r w:rsidR="00B12CA9" w:rsidRPr="00E61340">
        <w:t>When comparing the results with the criteria all detonators give the result “Low” for liquid A, “Not low” for liquid B and “Low” for solid B. The USA detonator and the two Alternatives give the result “No” while the European detonator gives “Low”</w:t>
      </w:r>
      <w:r w:rsidR="00C03447" w:rsidRPr="00E61340">
        <w:t xml:space="preserve"> for Solid A</w:t>
      </w:r>
      <w:r w:rsidR="00B12CA9" w:rsidRPr="00E61340">
        <w:t>.</w:t>
      </w:r>
    </w:p>
    <w:p w:rsidR="00B12CA9" w:rsidRPr="00E61340" w:rsidRDefault="00E61340" w:rsidP="00E61340">
      <w:pPr>
        <w:pStyle w:val="SingleTxtG"/>
      </w:pPr>
      <w:r>
        <w:t>17.</w:t>
      </w:r>
      <w:r>
        <w:tab/>
      </w:r>
      <w:r w:rsidR="00FD2141" w:rsidRPr="00E61340">
        <w:t>Based on the results it can be concluded that a detonator fitting the description of the alternative ve</w:t>
      </w:r>
      <w:r w:rsidR="00C03447" w:rsidRPr="00E61340">
        <w:t>rsion used in the comparison ma</w:t>
      </w:r>
      <w:r w:rsidR="00FD2141" w:rsidRPr="00E61340">
        <w:t>y be a good replacement for both standard detonators.</w:t>
      </w:r>
    </w:p>
    <w:p w:rsidR="009D1275" w:rsidRPr="00555DAD" w:rsidRDefault="009D1275" w:rsidP="009D1275">
      <w:pPr>
        <w:pStyle w:val="SingleTxtG"/>
        <w:spacing w:before="240" w:after="0"/>
        <w:jc w:val="center"/>
        <w:rPr>
          <w:u w:val="single"/>
        </w:rPr>
      </w:pPr>
      <w:r w:rsidRPr="00555DAD">
        <w:rPr>
          <w:u w:val="single"/>
          <w:lang w:eastAsia="ru-RU"/>
        </w:rPr>
        <w:tab/>
      </w:r>
      <w:r w:rsidRPr="00555DAD">
        <w:rPr>
          <w:u w:val="single"/>
          <w:lang w:eastAsia="ru-RU"/>
        </w:rPr>
        <w:tab/>
      </w:r>
      <w:r w:rsidRPr="00555DAD">
        <w:rPr>
          <w:u w:val="single"/>
          <w:lang w:eastAsia="ru-RU"/>
        </w:rPr>
        <w:tab/>
      </w:r>
    </w:p>
    <w:sectPr w:rsidR="009D1275" w:rsidRPr="00555DAD" w:rsidSect="00D057B0">
      <w:headerReference w:type="even" r:id="rId9"/>
      <w:headerReference w:type="default" r:id="rId10"/>
      <w:footerReference w:type="even" r:id="rId11"/>
      <w:footerReference w:type="default" r:id="rId12"/>
      <w:endnotePr>
        <w:numFmt w:val="decimal"/>
      </w:endnotePr>
      <w:pgSz w:w="11907" w:h="16840" w:code="9"/>
      <w:pgMar w:top="1418" w:right="1134" w:bottom="1134"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100" w:rsidRDefault="00710100"/>
  </w:endnote>
  <w:endnote w:type="continuationSeparator" w:id="0">
    <w:p w:rsidR="00710100" w:rsidRDefault="00710100"/>
  </w:endnote>
  <w:endnote w:type="continuationNotice" w:id="1">
    <w:p w:rsidR="00710100" w:rsidRDefault="00710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9C" w:rsidRDefault="00E0769A" w:rsidP="00D352FD">
    <w:pPr>
      <w:pStyle w:val="Footer"/>
      <w:tabs>
        <w:tab w:val="right" w:pos="9638"/>
      </w:tabs>
      <w:rPr>
        <w:b/>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9D4A9C">
      <w:rPr>
        <w:b/>
        <w:noProof/>
        <w:sz w:val="18"/>
      </w:rPr>
      <w:t>2</w:t>
    </w:r>
    <w:r w:rsidRPr="00D352F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9D4A9C">
      <w:rPr>
        <w:b/>
        <w:noProof/>
        <w:sz w:val="18"/>
      </w:rPr>
      <w:t>3</w:t>
    </w:r>
    <w:r w:rsidRPr="00D352F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100" w:rsidRPr="000B175B" w:rsidRDefault="00710100" w:rsidP="000B175B">
      <w:pPr>
        <w:tabs>
          <w:tab w:val="right" w:pos="2155"/>
        </w:tabs>
        <w:spacing w:after="80"/>
        <w:ind w:left="680"/>
        <w:rPr>
          <w:u w:val="single"/>
        </w:rPr>
      </w:pPr>
      <w:r>
        <w:rPr>
          <w:u w:val="single"/>
        </w:rPr>
        <w:tab/>
      </w:r>
    </w:p>
  </w:footnote>
  <w:footnote w:type="continuationSeparator" w:id="0">
    <w:p w:rsidR="00710100" w:rsidRPr="00FC68B7" w:rsidRDefault="00710100" w:rsidP="00FC68B7">
      <w:pPr>
        <w:tabs>
          <w:tab w:val="left" w:pos="2155"/>
        </w:tabs>
        <w:spacing w:after="80"/>
        <w:ind w:left="680"/>
        <w:rPr>
          <w:u w:val="single"/>
        </w:rPr>
      </w:pPr>
      <w:r>
        <w:rPr>
          <w:u w:val="single"/>
        </w:rPr>
        <w:tab/>
      </w:r>
    </w:p>
  </w:footnote>
  <w:footnote w:type="continuationNotice" w:id="1">
    <w:p w:rsidR="00710100" w:rsidRDefault="007101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10121E" w:rsidRDefault="00E61340">
    <w:pPr>
      <w:pStyle w:val="Header"/>
      <w:rPr>
        <w:lang w:val="fr-CH"/>
      </w:rPr>
    </w:pPr>
    <w:r>
      <w:rPr>
        <w:lang w:val="fr-CH"/>
      </w:rPr>
      <w:t>UN/SCETDG/51/INF.28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9C20D7" w:rsidP="00D352FD">
    <w:pPr>
      <w:pStyle w:val="Header"/>
      <w:jc w:val="right"/>
    </w:pPr>
    <w:r>
      <w:rPr>
        <w:lang w:val="fr-CH"/>
      </w:rPr>
      <w:t>UN/SCETDG/</w:t>
    </w:r>
    <w:r w:rsidR="009D1275">
      <w:rPr>
        <w:lang w:val="fr-CH"/>
      </w:rPr>
      <w:t>51/INF.</w:t>
    </w:r>
    <w:r w:rsidR="00E61340">
      <w:rPr>
        <w:lang w:val="fr-CH"/>
      </w:rPr>
      <w:t>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A2018D6"/>
    <w:multiLevelType w:val="hybridMultilevel"/>
    <w:tmpl w:val="2EAAAB5A"/>
    <w:lvl w:ilvl="0" w:tplc="E5F22D66">
      <w:start w:val="1"/>
      <w:numFmt w:val="lowerLetter"/>
      <w:lvlText w:val="(%1)"/>
      <w:lvlJc w:val="left"/>
      <w:pPr>
        <w:ind w:left="1032" w:hanging="36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F97C44"/>
    <w:multiLevelType w:val="hybridMultilevel"/>
    <w:tmpl w:val="0D781AFA"/>
    <w:lvl w:ilvl="0" w:tplc="3084A5F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F3914BE"/>
    <w:multiLevelType w:val="hybridMultilevel"/>
    <w:tmpl w:val="DD5231CC"/>
    <w:lvl w:ilvl="0" w:tplc="F0F225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AB472D"/>
    <w:multiLevelType w:val="hybridMultilevel"/>
    <w:tmpl w:val="8FEA68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D165C78"/>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8">
    <w:nsid w:val="317C2987"/>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9">
    <w:nsid w:val="3C862E24"/>
    <w:multiLevelType w:val="hybridMultilevel"/>
    <w:tmpl w:val="2AC2DAE6"/>
    <w:lvl w:ilvl="0" w:tplc="44C82802">
      <w:start w:val="1"/>
      <w:numFmt w:val="lowerLetter"/>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20">
    <w:nsid w:val="3D5A5E78"/>
    <w:multiLevelType w:val="hybridMultilevel"/>
    <w:tmpl w:val="63E83D82"/>
    <w:lvl w:ilvl="0" w:tplc="C99A8FE2">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21">
    <w:nsid w:val="48885FE1"/>
    <w:multiLevelType w:val="hybridMultilevel"/>
    <w:tmpl w:val="2C76F3F8"/>
    <w:lvl w:ilvl="0" w:tplc="3084A5F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3">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7">
    <w:nsid w:val="72237563"/>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0">
    <w:nsid w:val="7D127C26"/>
    <w:multiLevelType w:val="hybridMultilevel"/>
    <w:tmpl w:val="8078DFDA"/>
    <w:lvl w:ilvl="0" w:tplc="457C2DC6">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31">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2">
    <w:nsid w:val="7FF418AC"/>
    <w:multiLevelType w:val="hybridMultilevel"/>
    <w:tmpl w:val="DD48D31C"/>
    <w:lvl w:ilvl="0" w:tplc="B31006D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2"/>
  </w:num>
  <w:num w:numId="13">
    <w:abstractNumId w:val="10"/>
  </w:num>
  <w:num w:numId="14">
    <w:abstractNumId w:val="25"/>
  </w:num>
  <w:num w:numId="15">
    <w:abstractNumId w:val="28"/>
  </w:num>
  <w:num w:numId="16">
    <w:abstractNumId w:val="17"/>
  </w:num>
  <w:num w:numId="17">
    <w:abstractNumId w:val="26"/>
  </w:num>
  <w:num w:numId="18">
    <w:abstractNumId w:val="31"/>
  </w:num>
  <w:num w:numId="19">
    <w:abstractNumId w:val="22"/>
  </w:num>
  <w:num w:numId="20">
    <w:abstractNumId w:val="23"/>
  </w:num>
  <w:num w:numId="21">
    <w:abstractNumId w:val="29"/>
  </w:num>
  <w:num w:numId="22">
    <w:abstractNumId w:val="32"/>
  </w:num>
  <w:num w:numId="23">
    <w:abstractNumId w:val="30"/>
  </w:num>
  <w:num w:numId="24">
    <w:abstractNumId w:val="20"/>
  </w:num>
  <w:num w:numId="25">
    <w:abstractNumId w:val="11"/>
  </w:num>
  <w:num w:numId="26">
    <w:abstractNumId w:val="19"/>
  </w:num>
  <w:num w:numId="27">
    <w:abstractNumId w:val="18"/>
  </w:num>
  <w:num w:numId="28">
    <w:abstractNumId w:val="14"/>
  </w:num>
  <w:num w:numId="29">
    <w:abstractNumId w:val="16"/>
  </w:num>
  <w:num w:numId="30">
    <w:abstractNumId w:val="27"/>
  </w:num>
  <w:num w:numId="31">
    <w:abstractNumId w:val="13"/>
  </w:num>
  <w:num w:numId="32">
    <w:abstractNumId w:val="21"/>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CA" w:vendorID="64" w:dllVersion="6"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30E4"/>
    <w:rsid w:val="00007A75"/>
    <w:rsid w:val="0001180D"/>
    <w:rsid w:val="000168E7"/>
    <w:rsid w:val="000229D8"/>
    <w:rsid w:val="000318D0"/>
    <w:rsid w:val="000320CF"/>
    <w:rsid w:val="00036C63"/>
    <w:rsid w:val="00040F27"/>
    <w:rsid w:val="000437CA"/>
    <w:rsid w:val="00044D9D"/>
    <w:rsid w:val="0004705E"/>
    <w:rsid w:val="00050F6B"/>
    <w:rsid w:val="00051EBB"/>
    <w:rsid w:val="00064C3D"/>
    <w:rsid w:val="00072C8C"/>
    <w:rsid w:val="00080084"/>
    <w:rsid w:val="00091419"/>
    <w:rsid w:val="000914EA"/>
    <w:rsid w:val="000931C0"/>
    <w:rsid w:val="00095F71"/>
    <w:rsid w:val="000A3D41"/>
    <w:rsid w:val="000B0EA1"/>
    <w:rsid w:val="000B175B"/>
    <w:rsid w:val="000B3A0F"/>
    <w:rsid w:val="000B7295"/>
    <w:rsid w:val="000C35D4"/>
    <w:rsid w:val="000C5510"/>
    <w:rsid w:val="000D1740"/>
    <w:rsid w:val="000D2C6C"/>
    <w:rsid w:val="000E0415"/>
    <w:rsid w:val="000E6FC9"/>
    <w:rsid w:val="000F1306"/>
    <w:rsid w:val="00100DE4"/>
    <w:rsid w:val="0010121E"/>
    <w:rsid w:val="001037CB"/>
    <w:rsid w:val="00105C46"/>
    <w:rsid w:val="0011517B"/>
    <w:rsid w:val="00117787"/>
    <w:rsid w:val="001236A6"/>
    <w:rsid w:val="00125C68"/>
    <w:rsid w:val="00131D42"/>
    <w:rsid w:val="00133010"/>
    <w:rsid w:val="0013594A"/>
    <w:rsid w:val="0013630D"/>
    <w:rsid w:val="0014222D"/>
    <w:rsid w:val="0014230B"/>
    <w:rsid w:val="00146F66"/>
    <w:rsid w:val="00152C50"/>
    <w:rsid w:val="001633FB"/>
    <w:rsid w:val="00166C20"/>
    <w:rsid w:val="00171DC5"/>
    <w:rsid w:val="0018379C"/>
    <w:rsid w:val="00184B4A"/>
    <w:rsid w:val="001A17D0"/>
    <w:rsid w:val="001A466B"/>
    <w:rsid w:val="001A504F"/>
    <w:rsid w:val="001A564C"/>
    <w:rsid w:val="001B3162"/>
    <w:rsid w:val="001B4B04"/>
    <w:rsid w:val="001B6109"/>
    <w:rsid w:val="001C0BB7"/>
    <w:rsid w:val="001C2AD9"/>
    <w:rsid w:val="001C6663"/>
    <w:rsid w:val="001C7895"/>
    <w:rsid w:val="001C798F"/>
    <w:rsid w:val="001D26DF"/>
    <w:rsid w:val="001D2FDC"/>
    <w:rsid w:val="001E11AD"/>
    <w:rsid w:val="001E2F0C"/>
    <w:rsid w:val="001E3689"/>
    <w:rsid w:val="001F69A1"/>
    <w:rsid w:val="0021178D"/>
    <w:rsid w:val="00211E0B"/>
    <w:rsid w:val="00222561"/>
    <w:rsid w:val="00222A65"/>
    <w:rsid w:val="00227022"/>
    <w:rsid w:val="002309A7"/>
    <w:rsid w:val="002318C6"/>
    <w:rsid w:val="002345ED"/>
    <w:rsid w:val="00237785"/>
    <w:rsid w:val="00241466"/>
    <w:rsid w:val="00243B20"/>
    <w:rsid w:val="00245DA0"/>
    <w:rsid w:val="0025560F"/>
    <w:rsid w:val="00263F6D"/>
    <w:rsid w:val="00270FC6"/>
    <w:rsid w:val="002725CA"/>
    <w:rsid w:val="002748EC"/>
    <w:rsid w:val="002752C6"/>
    <w:rsid w:val="00277924"/>
    <w:rsid w:val="00280EB7"/>
    <w:rsid w:val="00282EB8"/>
    <w:rsid w:val="0028368C"/>
    <w:rsid w:val="002A0E3F"/>
    <w:rsid w:val="002A375C"/>
    <w:rsid w:val="002A7751"/>
    <w:rsid w:val="002A780A"/>
    <w:rsid w:val="002B1CDA"/>
    <w:rsid w:val="002C0805"/>
    <w:rsid w:val="002C1C7E"/>
    <w:rsid w:val="002C50FD"/>
    <w:rsid w:val="002E0299"/>
    <w:rsid w:val="002E2484"/>
    <w:rsid w:val="002E364B"/>
    <w:rsid w:val="002E3FBE"/>
    <w:rsid w:val="00300892"/>
    <w:rsid w:val="00304219"/>
    <w:rsid w:val="00304284"/>
    <w:rsid w:val="00304B6B"/>
    <w:rsid w:val="003107FA"/>
    <w:rsid w:val="0031261E"/>
    <w:rsid w:val="00315017"/>
    <w:rsid w:val="00321D9B"/>
    <w:rsid w:val="003229D8"/>
    <w:rsid w:val="00327DCB"/>
    <w:rsid w:val="0033513E"/>
    <w:rsid w:val="00336D59"/>
    <w:rsid w:val="0034116E"/>
    <w:rsid w:val="003431A8"/>
    <w:rsid w:val="00345511"/>
    <w:rsid w:val="00345917"/>
    <w:rsid w:val="00345E9F"/>
    <w:rsid w:val="003505F4"/>
    <w:rsid w:val="00352905"/>
    <w:rsid w:val="00354539"/>
    <w:rsid w:val="003622C5"/>
    <w:rsid w:val="00366C36"/>
    <w:rsid w:val="00370550"/>
    <w:rsid w:val="003727D3"/>
    <w:rsid w:val="00374CFF"/>
    <w:rsid w:val="00376807"/>
    <w:rsid w:val="00385598"/>
    <w:rsid w:val="0039277A"/>
    <w:rsid w:val="0039357A"/>
    <w:rsid w:val="003960A2"/>
    <w:rsid w:val="003972E0"/>
    <w:rsid w:val="003B699A"/>
    <w:rsid w:val="003B7B78"/>
    <w:rsid w:val="003C2CC4"/>
    <w:rsid w:val="003C2E9B"/>
    <w:rsid w:val="003C5566"/>
    <w:rsid w:val="003C6644"/>
    <w:rsid w:val="003C6F39"/>
    <w:rsid w:val="003C74CD"/>
    <w:rsid w:val="003D2494"/>
    <w:rsid w:val="003D4B23"/>
    <w:rsid w:val="003D632A"/>
    <w:rsid w:val="003E16F3"/>
    <w:rsid w:val="003E2171"/>
    <w:rsid w:val="003E31AE"/>
    <w:rsid w:val="003F7B18"/>
    <w:rsid w:val="003F7C87"/>
    <w:rsid w:val="0040181B"/>
    <w:rsid w:val="004044E0"/>
    <w:rsid w:val="00407EBC"/>
    <w:rsid w:val="00410413"/>
    <w:rsid w:val="00413638"/>
    <w:rsid w:val="00413F35"/>
    <w:rsid w:val="00414546"/>
    <w:rsid w:val="00416140"/>
    <w:rsid w:val="00426CC6"/>
    <w:rsid w:val="00426EAE"/>
    <w:rsid w:val="004273B9"/>
    <w:rsid w:val="00430145"/>
    <w:rsid w:val="00432011"/>
    <w:rsid w:val="004325CB"/>
    <w:rsid w:val="00433A9C"/>
    <w:rsid w:val="00434E10"/>
    <w:rsid w:val="0043639C"/>
    <w:rsid w:val="00437F3F"/>
    <w:rsid w:val="00442A08"/>
    <w:rsid w:val="00444F9B"/>
    <w:rsid w:val="00446DE4"/>
    <w:rsid w:val="00454036"/>
    <w:rsid w:val="00454BA1"/>
    <w:rsid w:val="00462B5A"/>
    <w:rsid w:val="00462DFA"/>
    <w:rsid w:val="00465C65"/>
    <w:rsid w:val="00467CD8"/>
    <w:rsid w:val="00473996"/>
    <w:rsid w:val="00473C36"/>
    <w:rsid w:val="004746D7"/>
    <w:rsid w:val="00474FD7"/>
    <w:rsid w:val="00483B16"/>
    <w:rsid w:val="004848AC"/>
    <w:rsid w:val="00486BD4"/>
    <w:rsid w:val="00487502"/>
    <w:rsid w:val="00490640"/>
    <w:rsid w:val="004A65ED"/>
    <w:rsid w:val="004B2C9D"/>
    <w:rsid w:val="004B3324"/>
    <w:rsid w:val="004B7155"/>
    <w:rsid w:val="004C3DA0"/>
    <w:rsid w:val="004D2BD9"/>
    <w:rsid w:val="004D3A67"/>
    <w:rsid w:val="004D472E"/>
    <w:rsid w:val="004D4FDA"/>
    <w:rsid w:val="004D55CA"/>
    <w:rsid w:val="004D7AA3"/>
    <w:rsid w:val="004E76F2"/>
    <w:rsid w:val="004E7C98"/>
    <w:rsid w:val="004F441E"/>
    <w:rsid w:val="004F45B6"/>
    <w:rsid w:val="004F4DA6"/>
    <w:rsid w:val="004F50FA"/>
    <w:rsid w:val="00502EAA"/>
    <w:rsid w:val="00504E59"/>
    <w:rsid w:val="0050579D"/>
    <w:rsid w:val="00505E35"/>
    <w:rsid w:val="00507661"/>
    <w:rsid w:val="005169FB"/>
    <w:rsid w:val="00517A3F"/>
    <w:rsid w:val="00522972"/>
    <w:rsid w:val="00527910"/>
    <w:rsid w:val="005279F2"/>
    <w:rsid w:val="00534197"/>
    <w:rsid w:val="00535E24"/>
    <w:rsid w:val="00541C23"/>
    <w:rsid w:val="005420F2"/>
    <w:rsid w:val="00546728"/>
    <w:rsid w:val="00547C6C"/>
    <w:rsid w:val="00553F77"/>
    <w:rsid w:val="00555DAD"/>
    <w:rsid w:val="00557BFE"/>
    <w:rsid w:val="00561F7C"/>
    <w:rsid w:val="0056257D"/>
    <w:rsid w:val="0056554E"/>
    <w:rsid w:val="0057763D"/>
    <w:rsid w:val="005778EF"/>
    <w:rsid w:val="0058617B"/>
    <w:rsid w:val="00590144"/>
    <w:rsid w:val="00595E3F"/>
    <w:rsid w:val="00597262"/>
    <w:rsid w:val="005A2AA9"/>
    <w:rsid w:val="005A7BD3"/>
    <w:rsid w:val="005B1540"/>
    <w:rsid w:val="005B2924"/>
    <w:rsid w:val="005B3DB3"/>
    <w:rsid w:val="005C0EF8"/>
    <w:rsid w:val="005C33AF"/>
    <w:rsid w:val="005C3EC4"/>
    <w:rsid w:val="005C569A"/>
    <w:rsid w:val="005C6BAE"/>
    <w:rsid w:val="005D6116"/>
    <w:rsid w:val="005D6407"/>
    <w:rsid w:val="005D6BD4"/>
    <w:rsid w:val="005E6C67"/>
    <w:rsid w:val="005F188A"/>
    <w:rsid w:val="005F386E"/>
    <w:rsid w:val="005F4DA9"/>
    <w:rsid w:val="005F7A09"/>
    <w:rsid w:val="00602CE8"/>
    <w:rsid w:val="00604FCD"/>
    <w:rsid w:val="006069EF"/>
    <w:rsid w:val="00606BF3"/>
    <w:rsid w:val="00610F39"/>
    <w:rsid w:val="00611214"/>
    <w:rsid w:val="00611FC4"/>
    <w:rsid w:val="00612025"/>
    <w:rsid w:val="006120D7"/>
    <w:rsid w:val="006131AE"/>
    <w:rsid w:val="00614BA2"/>
    <w:rsid w:val="006176FB"/>
    <w:rsid w:val="006249C1"/>
    <w:rsid w:val="00624BD7"/>
    <w:rsid w:val="00632CAC"/>
    <w:rsid w:val="0063419C"/>
    <w:rsid w:val="00640226"/>
    <w:rsid w:val="00640B26"/>
    <w:rsid w:val="00643AB6"/>
    <w:rsid w:val="0064409E"/>
    <w:rsid w:val="00644A25"/>
    <w:rsid w:val="00644A62"/>
    <w:rsid w:val="006465F1"/>
    <w:rsid w:val="006500BA"/>
    <w:rsid w:val="00651D28"/>
    <w:rsid w:val="00651EF1"/>
    <w:rsid w:val="006636BB"/>
    <w:rsid w:val="00664E54"/>
    <w:rsid w:val="00665ADC"/>
    <w:rsid w:val="00665F25"/>
    <w:rsid w:val="006700B3"/>
    <w:rsid w:val="006714B1"/>
    <w:rsid w:val="006759EB"/>
    <w:rsid w:val="00675CB5"/>
    <w:rsid w:val="00680AA3"/>
    <w:rsid w:val="00681484"/>
    <w:rsid w:val="006847C1"/>
    <w:rsid w:val="00687A4F"/>
    <w:rsid w:val="00692810"/>
    <w:rsid w:val="00694842"/>
    <w:rsid w:val="00694AE2"/>
    <w:rsid w:val="00694DAC"/>
    <w:rsid w:val="006A02D5"/>
    <w:rsid w:val="006A1290"/>
    <w:rsid w:val="006A4B62"/>
    <w:rsid w:val="006A7392"/>
    <w:rsid w:val="006B2614"/>
    <w:rsid w:val="006C0D34"/>
    <w:rsid w:val="006C37A5"/>
    <w:rsid w:val="006C490B"/>
    <w:rsid w:val="006C7E11"/>
    <w:rsid w:val="006D16D7"/>
    <w:rsid w:val="006D37DE"/>
    <w:rsid w:val="006D7D5E"/>
    <w:rsid w:val="006E4568"/>
    <w:rsid w:val="006E564B"/>
    <w:rsid w:val="006F5204"/>
    <w:rsid w:val="006F7A6D"/>
    <w:rsid w:val="00701A97"/>
    <w:rsid w:val="00701F8E"/>
    <w:rsid w:val="00703434"/>
    <w:rsid w:val="00710100"/>
    <w:rsid w:val="00711727"/>
    <w:rsid w:val="00711A4A"/>
    <w:rsid w:val="0071452C"/>
    <w:rsid w:val="00715E7A"/>
    <w:rsid w:val="0071612E"/>
    <w:rsid w:val="007215CA"/>
    <w:rsid w:val="00722B1A"/>
    <w:rsid w:val="00724BBE"/>
    <w:rsid w:val="00724FCB"/>
    <w:rsid w:val="00725F6F"/>
    <w:rsid w:val="0072632A"/>
    <w:rsid w:val="007338A5"/>
    <w:rsid w:val="007349C4"/>
    <w:rsid w:val="00735D9F"/>
    <w:rsid w:val="00736612"/>
    <w:rsid w:val="00741D6D"/>
    <w:rsid w:val="0074579B"/>
    <w:rsid w:val="007523B9"/>
    <w:rsid w:val="00752FD8"/>
    <w:rsid w:val="00754DEC"/>
    <w:rsid w:val="007653AE"/>
    <w:rsid w:val="007711B9"/>
    <w:rsid w:val="007762F7"/>
    <w:rsid w:val="007902CD"/>
    <w:rsid w:val="00790791"/>
    <w:rsid w:val="007907C5"/>
    <w:rsid w:val="0079196C"/>
    <w:rsid w:val="007A28EB"/>
    <w:rsid w:val="007B23E9"/>
    <w:rsid w:val="007B6BA5"/>
    <w:rsid w:val="007C1BDE"/>
    <w:rsid w:val="007C291C"/>
    <w:rsid w:val="007C3390"/>
    <w:rsid w:val="007C4F4B"/>
    <w:rsid w:val="007C504E"/>
    <w:rsid w:val="007D5C20"/>
    <w:rsid w:val="007E5F23"/>
    <w:rsid w:val="007E650F"/>
    <w:rsid w:val="007E7C16"/>
    <w:rsid w:val="007F3F3B"/>
    <w:rsid w:val="007F55FD"/>
    <w:rsid w:val="007F6611"/>
    <w:rsid w:val="00804E21"/>
    <w:rsid w:val="00805015"/>
    <w:rsid w:val="00807DEB"/>
    <w:rsid w:val="00812480"/>
    <w:rsid w:val="008175E9"/>
    <w:rsid w:val="008242D7"/>
    <w:rsid w:val="00824B07"/>
    <w:rsid w:val="008318DE"/>
    <w:rsid w:val="00844A8E"/>
    <w:rsid w:val="008559BB"/>
    <w:rsid w:val="00863789"/>
    <w:rsid w:val="00871FD5"/>
    <w:rsid w:val="00880FBE"/>
    <w:rsid w:val="00893D5C"/>
    <w:rsid w:val="008979B1"/>
    <w:rsid w:val="008A4C8B"/>
    <w:rsid w:val="008A6B25"/>
    <w:rsid w:val="008A6C4F"/>
    <w:rsid w:val="008B689E"/>
    <w:rsid w:val="008C3391"/>
    <w:rsid w:val="008D1D83"/>
    <w:rsid w:val="008D472F"/>
    <w:rsid w:val="008E0E46"/>
    <w:rsid w:val="008E6997"/>
    <w:rsid w:val="00907A35"/>
    <w:rsid w:val="00911032"/>
    <w:rsid w:val="009114C2"/>
    <w:rsid w:val="009203D1"/>
    <w:rsid w:val="00934C95"/>
    <w:rsid w:val="00936A51"/>
    <w:rsid w:val="009374AE"/>
    <w:rsid w:val="00941B3B"/>
    <w:rsid w:val="009455E7"/>
    <w:rsid w:val="00945A5D"/>
    <w:rsid w:val="0095306E"/>
    <w:rsid w:val="00956114"/>
    <w:rsid w:val="00963CBA"/>
    <w:rsid w:val="0096615E"/>
    <w:rsid w:val="009728A6"/>
    <w:rsid w:val="00972DC8"/>
    <w:rsid w:val="009749A5"/>
    <w:rsid w:val="00975928"/>
    <w:rsid w:val="00984265"/>
    <w:rsid w:val="0099124E"/>
    <w:rsid w:val="00991261"/>
    <w:rsid w:val="00995C97"/>
    <w:rsid w:val="009A0C0B"/>
    <w:rsid w:val="009A52D8"/>
    <w:rsid w:val="009B060C"/>
    <w:rsid w:val="009B5A8B"/>
    <w:rsid w:val="009C0958"/>
    <w:rsid w:val="009C20D7"/>
    <w:rsid w:val="009C3671"/>
    <w:rsid w:val="009C5CDB"/>
    <w:rsid w:val="009D0883"/>
    <w:rsid w:val="009D0DE0"/>
    <w:rsid w:val="009D1275"/>
    <w:rsid w:val="009D4A9C"/>
    <w:rsid w:val="009D537E"/>
    <w:rsid w:val="009D7312"/>
    <w:rsid w:val="009E07F3"/>
    <w:rsid w:val="009E7C3D"/>
    <w:rsid w:val="009E7D42"/>
    <w:rsid w:val="009F0986"/>
    <w:rsid w:val="009F0F06"/>
    <w:rsid w:val="009F3682"/>
    <w:rsid w:val="00A01893"/>
    <w:rsid w:val="00A01CA0"/>
    <w:rsid w:val="00A02A86"/>
    <w:rsid w:val="00A07D3F"/>
    <w:rsid w:val="00A12A07"/>
    <w:rsid w:val="00A1306F"/>
    <w:rsid w:val="00A1427D"/>
    <w:rsid w:val="00A144E4"/>
    <w:rsid w:val="00A15610"/>
    <w:rsid w:val="00A23D44"/>
    <w:rsid w:val="00A26C3A"/>
    <w:rsid w:val="00A27CC3"/>
    <w:rsid w:val="00A30D54"/>
    <w:rsid w:val="00A378FE"/>
    <w:rsid w:val="00A523CD"/>
    <w:rsid w:val="00A52D35"/>
    <w:rsid w:val="00A54CB0"/>
    <w:rsid w:val="00A5634F"/>
    <w:rsid w:val="00A56E44"/>
    <w:rsid w:val="00A5730E"/>
    <w:rsid w:val="00A62A79"/>
    <w:rsid w:val="00A659AB"/>
    <w:rsid w:val="00A70FBE"/>
    <w:rsid w:val="00A72F22"/>
    <w:rsid w:val="00A748A6"/>
    <w:rsid w:val="00A75EC9"/>
    <w:rsid w:val="00A8657B"/>
    <w:rsid w:val="00A879A4"/>
    <w:rsid w:val="00AA2776"/>
    <w:rsid w:val="00AA7A27"/>
    <w:rsid w:val="00AA7D29"/>
    <w:rsid w:val="00AB07F9"/>
    <w:rsid w:val="00AB5F1C"/>
    <w:rsid w:val="00AC0B01"/>
    <w:rsid w:val="00AC0F0F"/>
    <w:rsid w:val="00AC7000"/>
    <w:rsid w:val="00AD0A40"/>
    <w:rsid w:val="00AD432E"/>
    <w:rsid w:val="00AE1EFD"/>
    <w:rsid w:val="00AE4E4A"/>
    <w:rsid w:val="00AE66B3"/>
    <w:rsid w:val="00AE6D17"/>
    <w:rsid w:val="00AF08FB"/>
    <w:rsid w:val="00AF15BD"/>
    <w:rsid w:val="00AF55B6"/>
    <w:rsid w:val="00AF59F5"/>
    <w:rsid w:val="00B10FD2"/>
    <w:rsid w:val="00B11AF3"/>
    <w:rsid w:val="00B12CA9"/>
    <w:rsid w:val="00B15195"/>
    <w:rsid w:val="00B15BBF"/>
    <w:rsid w:val="00B16968"/>
    <w:rsid w:val="00B21E13"/>
    <w:rsid w:val="00B30179"/>
    <w:rsid w:val="00B3317B"/>
    <w:rsid w:val="00B34FDD"/>
    <w:rsid w:val="00B35340"/>
    <w:rsid w:val="00B41A91"/>
    <w:rsid w:val="00B52B09"/>
    <w:rsid w:val="00B55575"/>
    <w:rsid w:val="00B55633"/>
    <w:rsid w:val="00B56F8A"/>
    <w:rsid w:val="00B57F2B"/>
    <w:rsid w:val="00B6460E"/>
    <w:rsid w:val="00B722AD"/>
    <w:rsid w:val="00B73808"/>
    <w:rsid w:val="00B747CA"/>
    <w:rsid w:val="00B77179"/>
    <w:rsid w:val="00B7721D"/>
    <w:rsid w:val="00B77909"/>
    <w:rsid w:val="00B80014"/>
    <w:rsid w:val="00B81E12"/>
    <w:rsid w:val="00B821E2"/>
    <w:rsid w:val="00B852E1"/>
    <w:rsid w:val="00B91E1F"/>
    <w:rsid w:val="00B93068"/>
    <w:rsid w:val="00B93A09"/>
    <w:rsid w:val="00B94F97"/>
    <w:rsid w:val="00B955C7"/>
    <w:rsid w:val="00BA014D"/>
    <w:rsid w:val="00BA270E"/>
    <w:rsid w:val="00BA2DA6"/>
    <w:rsid w:val="00BA4887"/>
    <w:rsid w:val="00BB176D"/>
    <w:rsid w:val="00BB3820"/>
    <w:rsid w:val="00BC03A3"/>
    <w:rsid w:val="00BC0449"/>
    <w:rsid w:val="00BC0C51"/>
    <w:rsid w:val="00BC1426"/>
    <w:rsid w:val="00BC74E9"/>
    <w:rsid w:val="00BD25F4"/>
    <w:rsid w:val="00BD5078"/>
    <w:rsid w:val="00BE3E1A"/>
    <w:rsid w:val="00BE42B3"/>
    <w:rsid w:val="00BE618E"/>
    <w:rsid w:val="00BE6FDC"/>
    <w:rsid w:val="00BF0A10"/>
    <w:rsid w:val="00BF75FB"/>
    <w:rsid w:val="00C014CB"/>
    <w:rsid w:val="00C03447"/>
    <w:rsid w:val="00C03A41"/>
    <w:rsid w:val="00C07D75"/>
    <w:rsid w:val="00C138F4"/>
    <w:rsid w:val="00C20E03"/>
    <w:rsid w:val="00C22CAD"/>
    <w:rsid w:val="00C2655B"/>
    <w:rsid w:val="00C265A4"/>
    <w:rsid w:val="00C306AC"/>
    <w:rsid w:val="00C310A2"/>
    <w:rsid w:val="00C31F3B"/>
    <w:rsid w:val="00C35120"/>
    <w:rsid w:val="00C37579"/>
    <w:rsid w:val="00C401CA"/>
    <w:rsid w:val="00C42216"/>
    <w:rsid w:val="00C432E4"/>
    <w:rsid w:val="00C440B9"/>
    <w:rsid w:val="00C463DD"/>
    <w:rsid w:val="00C46A6B"/>
    <w:rsid w:val="00C53593"/>
    <w:rsid w:val="00C62646"/>
    <w:rsid w:val="00C62F76"/>
    <w:rsid w:val="00C727EB"/>
    <w:rsid w:val="00C745C3"/>
    <w:rsid w:val="00C74F57"/>
    <w:rsid w:val="00C775B6"/>
    <w:rsid w:val="00C77C86"/>
    <w:rsid w:val="00C77EC3"/>
    <w:rsid w:val="00CA0657"/>
    <w:rsid w:val="00CA7EB9"/>
    <w:rsid w:val="00CB2D65"/>
    <w:rsid w:val="00CB46F2"/>
    <w:rsid w:val="00CB5596"/>
    <w:rsid w:val="00CC76D8"/>
    <w:rsid w:val="00CD019F"/>
    <w:rsid w:val="00CD3225"/>
    <w:rsid w:val="00CD6D47"/>
    <w:rsid w:val="00CE4A8F"/>
    <w:rsid w:val="00CE4BDC"/>
    <w:rsid w:val="00CF06AB"/>
    <w:rsid w:val="00CF7B1D"/>
    <w:rsid w:val="00D029F6"/>
    <w:rsid w:val="00D0416E"/>
    <w:rsid w:val="00D057B0"/>
    <w:rsid w:val="00D065F7"/>
    <w:rsid w:val="00D07A85"/>
    <w:rsid w:val="00D104B2"/>
    <w:rsid w:val="00D10B86"/>
    <w:rsid w:val="00D13F61"/>
    <w:rsid w:val="00D1475B"/>
    <w:rsid w:val="00D165AD"/>
    <w:rsid w:val="00D177EA"/>
    <w:rsid w:val="00D2031B"/>
    <w:rsid w:val="00D22F26"/>
    <w:rsid w:val="00D245B8"/>
    <w:rsid w:val="00D25FE2"/>
    <w:rsid w:val="00D306D8"/>
    <w:rsid w:val="00D31E6C"/>
    <w:rsid w:val="00D348C6"/>
    <w:rsid w:val="00D352FD"/>
    <w:rsid w:val="00D362F4"/>
    <w:rsid w:val="00D40FAF"/>
    <w:rsid w:val="00D43252"/>
    <w:rsid w:val="00D44570"/>
    <w:rsid w:val="00D52DF6"/>
    <w:rsid w:val="00D602D2"/>
    <w:rsid w:val="00D60DAD"/>
    <w:rsid w:val="00D620B9"/>
    <w:rsid w:val="00D66887"/>
    <w:rsid w:val="00D70C58"/>
    <w:rsid w:val="00D72562"/>
    <w:rsid w:val="00D753D8"/>
    <w:rsid w:val="00D814D1"/>
    <w:rsid w:val="00D8737B"/>
    <w:rsid w:val="00D91242"/>
    <w:rsid w:val="00D942C2"/>
    <w:rsid w:val="00D96CC5"/>
    <w:rsid w:val="00D978C6"/>
    <w:rsid w:val="00DA06E8"/>
    <w:rsid w:val="00DA112D"/>
    <w:rsid w:val="00DA67AD"/>
    <w:rsid w:val="00DA6B4F"/>
    <w:rsid w:val="00DA77C8"/>
    <w:rsid w:val="00DB1A7F"/>
    <w:rsid w:val="00DB2AEF"/>
    <w:rsid w:val="00DB3042"/>
    <w:rsid w:val="00DB627B"/>
    <w:rsid w:val="00DC0378"/>
    <w:rsid w:val="00DC5B39"/>
    <w:rsid w:val="00DD274B"/>
    <w:rsid w:val="00DD32CC"/>
    <w:rsid w:val="00DD7410"/>
    <w:rsid w:val="00DE7CA3"/>
    <w:rsid w:val="00DF5494"/>
    <w:rsid w:val="00DF6240"/>
    <w:rsid w:val="00E05B9C"/>
    <w:rsid w:val="00E0769A"/>
    <w:rsid w:val="00E130AB"/>
    <w:rsid w:val="00E315FE"/>
    <w:rsid w:val="00E33838"/>
    <w:rsid w:val="00E35B04"/>
    <w:rsid w:val="00E44927"/>
    <w:rsid w:val="00E50048"/>
    <w:rsid w:val="00E50FDA"/>
    <w:rsid w:val="00E53D59"/>
    <w:rsid w:val="00E55367"/>
    <w:rsid w:val="00E5644E"/>
    <w:rsid w:val="00E611F5"/>
    <w:rsid w:val="00E61340"/>
    <w:rsid w:val="00E706EC"/>
    <w:rsid w:val="00E70B5D"/>
    <w:rsid w:val="00E71518"/>
    <w:rsid w:val="00E7260F"/>
    <w:rsid w:val="00E74795"/>
    <w:rsid w:val="00E76EF5"/>
    <w:rsid w:val="00E83D20"/>
    <w:rsid w:val="00E8535A"/>
    <w:rsid w:val="00E951BD"/>
    <w:rsid w:val="00E96630"/>
    <w:rsid w:val="00EA15FC"/>
    <w:rsid w:val="00EA17B1"/>
    <w:rsid w:val="00EA5668"/>
    <w:rsid w:val="00EA772F"/>
    <w:rsid w:val="00EB04C4"/>
    <w:rsid w:val="00EB380E"/>
    <w:rsid w:val="00EB6832"/>
    <w:rsid w:val="00EC04D8"/>
    <w:rsid w:val="00ED0658"/>
    <w:rsid w:val="00ED2602"/>
    <w:rsid w:val="00ED6653"/>
    <w:rsid w:val="00ED7A2A"/>
    <w:rsid w:val="00EE59FB"/>
    <w:rsid w:val="00EE692B"/>
    <w:rsid w:val="00EF1D7F"/>
    <w:rsid w:val="00EF585E"/>
    <w:rsid w:val="00EF7F8E"/>
    <w:rsid w:val="00F0002D"/>
    <w:rsid w:val="00F046F7"/>
    <w:rsid w:val="00F113D3"/>
    <w:rsid w:val="00F3006C"/>
    <w:rsid w:val="00F30B0A"/>
    <w:rsid w:val="00F33039"/>
    <w:rsid w:val="00F34FA0"/>
    <w:rsid w:val="00F352E5"/>
    <w:rsid w:val="00F40E75"/>
    <w:rsid w:val="00F438AA"/>
    <w:rsid w:val="00F465E0"/>
    <w:rsid w:val="00F4731C"/>
    <w:rsid w:val="00F47A29"/>
    <w:rsid w:val="00F54674"/>
    <w:rsid w:val="00F55012"/>
    <w:rsid w:val="00F61DBB"/>
    <w:rsid w:val="00F61FA2"/>
    <w:rsid w:val="00F67690"/>
    <w:rsid w:val="00F75381"/>
    <w:rsid w:val="00F7751B"/>
    <w:rsid w:val="00F83A4F"/>
    <w:rsid w:val="00F86345"/>
    <w:rsid w:val="00F9483C"/>
    <w:rsid w:val="00F96F9B"/>
    <w:rsid w:val="00FA69F9"/>
    <w:rsid w:val="00FB1BE8"/>
    <w:rsid w:val="00FB232E"/>
    <w:rsid w:val="00FB294E"/>
    <w:rsid w:val="00FB72D6"/>
    <w:rsid w:val="00FB7F4C"/>
    <w:rsid w:val="00FC4AD9"/>
    <w:rsid w:val="00FC4EFC"/>
    <w:rsid w:val="00FC62F5"/>
    <w:rsid w:val="00FC68B7"/>
    <w:rsid w:val="00FD104C"/>
    <w:rsid w:val="00FD14B8"/>
    <w:rsid w:val="00FD2141"/>
    <w:rsid w:val="00FD50F3"/>
    <w:rsid w:val="00FD6B2B"/>
    <w:rsid w:val="00FD6B94"/>
    <w:rsid w:val="00FE1AAA"/>
    <w:rsid w:val="00FE1B0B"/>
    <w:rsid w:val="00FF03BB"/>
    <w:rsid w:val="00FF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rsid w:val="00D91242"/>
    <w:rPr>
      <w:lang w:eastAsia="en-US"/>
    </w:rPr>
  </w:style>
  <w:style w:type="character" w:customStyle="1" w:styleId="HChGChar">
    <w:name w:val="_ H _Ch_G Char"/>
    <w:link w:val="HChG"/>
    <w:locked/>
    <w:rsid w:val="007E7C16"/>
    <w:rPr>
      <w:b/>
      <w:sz w:val="28"/>
      <w:lang w:eastAsia="en-US"/>
    </w:rPr>
  </w:style>
  <w:style w:type="character" w:customStyle="1" w:styleId="H1GChar">
    <w:name w:val="_ H_1_G Char"/>
    <w:link w:val="H1G"/>
    <w:locked/>
    <w:rsid w:val="00893D5C"/>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rsid w:val="00D91242"/>
    <w:rPr>
      <w:lang w:eastAsia="en-US"/>
    </w:rPr>
  </w:style>
  <w:style w:type="character" w:customStyle="1" w:styleId="HChGChar">
    <w:name w:val="_ H _Ch_G Char"/>
    <w:link w:val="HChG"/>
    <w:locked/>
    <w:rsid w:val="007E7C16"/>
    <w:rPr>
      <w:b/>
      <w:sz w:val="28"/>
      <w:lang w:eastAsia="en-US"/>
    </w:rPr>
  </w:style>
  <w:style w:type="character" w:customStyle="1" w:styleId="H1GChar">
    <w:name w:val="_ H_1_G Char"/>
    <w:link w:val="H1G"/>
    <w:locked/>
    <w:rsid w:val="00893D5C"/>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10377">
      <w:bodyDiv w:val="1"/>
      <w:marLeft w:val="0"/>
      <w:marRight w:val="0"/>
      <w:marTop w:val="0"/>
      <w:marBottom w:val="0"/>
      <w:divBdr>
        <w:top w:val="none" w:sz="0" w:space="0" w:color="auto"/>
        <w:left w:val="none" w:sz="0" w:space="0" w:color="auto"/>
        <w:bottom w:val="none" w:sz="0" w:space="0" w:color="auto"/>
        <w:right w:val="none" w:sz="0" w:space="0" w:color="auto"/>
      </w:divBdr>
      <w:divsChild>
        <w:div w:id="13652779">
          <w:marLeft w:val="0"/>
          <w:marRight w:val="0"/>
          <w:marTop w:val="0"/>
          <w:marBottom w:val="0"/>
          <w:divBdr>
            <w:top w:val="none" w:sz="0" w:space="0" w:color="auto"/>
            <w:left w:val="none" w:sz="0" w:space="0" w:color="auto"/>
            <w:bottom w:val="none" w:sz="0" w:space="0" w:color="auto"/>
            <w:right w:val="none" w:sz="0" w:space="0" w:color="auto"/>
          </w:divBdr>
        </w:div>
        <w:div w:id="395712975">
          <w:marLeft w:val="0"/>
          <w:marRight w:val="0"/>
          <w:marTop w:val="0"/>
          <w:marBottom w:val="0"/>
          <w:divBdr>
            <w:top w:val="none" w:sz="0" w:space="0" w:color="auto"/>
            <w:left w:val="none" w:sz="0" w:space="0" w:color="auto"/>
            <w:bottom w:val="none" w:sz="0" w:space="0" w:color="auto"/>
            <w:right w:val="none" w:sz="0" w:space="0" w:color="auto"/>
          </w:divBdr>
        </w:div>
        <w:div w:id="831679034">
          <w:marLeft w:val="0"/>
          <w:marRight w:val="0"/>
          <w:marTop w:val="0"/>
          <w:marBottom w:val="0"/>
          <w:divBdr>
            <w:top w:val="none" w:sz="0" w:space="0" w:color="auto"/>
            <w:left w:val="none" w:sz="0" w:space="0" w:color="auto"/>
            <w:bottom w:val="none" w:sz="0" w:space="0" w:color="auto"/>
            <w:right w:val="none" w:sz="0" w:space="0" w:color="auto"/>
          </w:divBdr>
        </w:div>
        <w:div w:id="911888883">
          <w:marLeft w:val="0"/>
          <w:marRight w:val="0"/>
          <w:marTop w:val="0"/>
          <w:marBottom w:val="0"/>
          <w:divBdr>
            <w:top w:val="none" w:sz="0" w:space="0" w:color="auto"/>
            <w:left w:val="none" w:sz="0" w:space="0" w:color="auto"/>
            <w:bottom w:val="none" w:sz="0" w:space="0" w:color="auto"/>
            <w:right w:val="none" w:sz="0" w:space="0" w:color="auto"/>
          </w:divBdr>
        </w:div>
        <w:div w:id="944077284">
          <w:marLeft w:val="0"/>
          <w:marRight w:val="0"/>
          <w:marTop w:val="0"/>
          <w:marBottom w:val="0"/>
          <w:divBdr>
            <w:top w:val="none" w:sz="0" w:space="0" w:color="auto"/>
            <w:left w:val="none" w:sz="0" w:space="0" w:color="auto"/>
            <w:bottom w:val="none" w:sz="0" w:space="0" w:color="auto"/>
            <w:right w:val="none" w:sz="0" w:space="0" w:color="auto"/>
          </w:divBdr>
        </w:div>
        <w:div w:id="1016156922">
          <w:marLeft w:val="0"/>
          <w:marRight w:val="0"/>
          <w:marTop w:val="0"/>
          <w:marBottom w:val="0"/>
          <w:divBdr>
            <w:top w:val="none" w:sz="0" w:space="0" w:color="auto"/>
            <w:left w:val="none" w:sz="0" w:space="0" w:color="auto"/>
            <w:bottom w:val="none" w:sz="0" w:space="0" w:color="auto"/>
            <w:right w:val="none" w:sz="0" w:space="0" w:color="auto"/>
          </w:divBdr>
        </w:div>
        <w:div w:id="1032653185">
          <w:marLeft w:val="0"/>
          <w:marRight w:val="0"/>
          <w:marTop w:val="0"/>
          <w:marBottom w:val="0"/>
          <w:divBdr>
            <w:top w:val="none" w:sz="0" w:space="0" w:color="auto"/>
            <w:left w:val="none" w:sz="0" w:space="0" w:color="auto"/>
            <w:bottom w:val="none" w:sz="0" w:space="0" w:color="auto"/>
            <w:right w:val="none" w:sz="0" w:space="0" w:color="auto"/>
          </w:divBdr>
        </w:div>
        <w:div w:id="1362591567">
          <w:marLeft w:val="0"/>
          <w:marRight w:val="0"/>
          <w:marTop w:val="0"/>
          <w:marBottom w:val="0"/>
          <w:divBdr>
            <w:top w:val="none" w:sz="0" w:space="0" w:color="auto"/>
            <w:left w:val="none" w:sz="0" w:space="0" w:color="auto"/>
            <w:bottom w:val="none" w:sz="0" w:space="0" w:color="auto"/>
            <w:right w:val="none" w:sz="0" w:space="0" w:color="auto"/>
          </w:divBdr>
        </w:div>
        <w:div w:id="1397240587">
          <w:marLeft w:val="0"/>
          <w:marRight w:val="0"/>
          <w:marTop w:val="0"/>
          <w:marBottom w:val="0"/>
          <w:divBdr>
            <w:top w:val="none" w:sz="0" w:space="0" w:color="auto"/>
            <w:left w:val="none" w:sz="0" w:space="0" w:color="auto"/>
            <w:bottom w:val="none" w:sz="0" w:space="0" w:color="auto"/>
            <w:right w:val="none" w:sz="0" w:space="0" w:color="auto"/>
          </w:divBdr>
        </w:div>
        <w:div w:id="1547714674">
          <w:marLeft w:val="0"/>
          <w:marRight w:val="0"/>
          <w:marTop w:val="0"/>
          <w:marBottom w:val="0"/>
          <w:divBdr>
            <w:top w:val="none" w:sz="0" w:space="0" w:color="auto"/>
            <w:left w:val="none" w:sz="0" w:space="0" w:color="auto"/>
            <w:bottom w:val="none" w:sz="0" w:space="0" w:color="auto"/>
            <w:right w:val="none" w:sz="0" w:space="0" w:color="auto"/>
          </w:divBdr>
        </w:div>
        <w:div w:id="202508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8DA38-696D-4A89-822C-9673CE35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906</Words>
  <Characters>5169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5</cp:revision>
  <cp:lastPrinted>2017-06-27T09:04:00Z</cp:lastPrinted>
  <dcterms:created xsi:type="dcterms:W3CDTF">2017-06-27T07:54:00Z</dcterms:created>
  <dcterms:modified xsi:type="dcterms:W3CDTF">2017-06-27T09:04:00Z</dcterms:modified>
</cp:coreProperties>
</file>