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0" w:tblpY="568"/>
        <w:tblOverlap w:val="never"/>
        <w:tblW w:w="9644" w:type="dxa"/>
        <w:tblLayout w:type="fixed"/>
        <w:tblCellMar>
          <w:left w:w="0" w:type="dxa"/>
          <w:right w:w="0" w:type="dxa"/>
        </w:tblCellMar>
        <w:tblLook w:val="01E0" w:firstRow="1" w:lastRow="1" w:firstColumn="1" w:lastColumn="1" w:noHBand="0" w:noVBand="0"/>
      </w:tblPr>
      <w:tblGrid>
        <w:gridCol w:w="9644"/>
      </w:tblGrid>
      <w:tr w:rsidR="0099001C" w:rsidRPr="007E344F" w14:paraId="4A314927" w14:textId="77777777" w:rsidTr="00DE47FC">
        <w:trPr>
          <w:cantSplit/>
          <w:trHeight w:hRule="exact" w:val="851"/>
        </w:trPr>
        <w:tc>
          <w:tcPr>
            <w:tcW w:w="9644" w:type="dxa"/>
            <w:tcBorders>
              <w:bottom w:val="single" w:sz="4" w:space="0" w:color="auto"/>
            </w:tcBorders>
          </w:tcPr>
          <w:p w14:paraId="59CDE0AE" w14:textId="0E80DF94" w:rsidR="0099001C" w:rsidRPr="007E344F" w:rsidRDefault="0099001C" w:rsidP="008C7943">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0A07EB">
              <w:rPr>
                <w:b/>
                <w:sz w:val="40"/>
                <w:szCs w:val="40"/>
              </w:rPr>
              <w:t>51</w:t>
            </w:r>
            <w:r w:rsidRPr="007E344F">
              <w:rPr>
                <w:b/>
                <w:sz w:val="40"/>
                <w:szCs w:val="40"/>
              </w:rPr>
              <w:t>/INF.</w:t>
            </w:r>
            <w:r w:rsidR="00E34BA6">
              <w:rPr>
                <w:b/>
                <w:sz w:val="40"/>
                <w:szCs w:val="40"/>
              </w:rPr>
              <w:t>1</w:t>
            </w:r>
            <w:r w:rsidR="008C7943">
              <w:rPr>
                <w:b/>
                <w:sz w:val="40"/>
                <w:szCs w:val="40"/>
              </w:rPr>
              <w:t>2</w:t>
            </w:r>
          </w:p>
        </w:tc>
      </w:tr>
      <w:tr w:rsidR="0099001C" w:rsidRPr="007E344F" w14:paraId="0313627A" w14:textId="77777777" w:rsidTr="008C7943">
        <w:trPr>
          <w:cantSplit/>
          <w:trHeight w:hRule="exact" w:val="2846"/>
        </w:trPr>
        <w:tc>
          <w:tcPr>
            <w:tcW w:w="9644" w:type="dxa"/>
            <w:tcBorders>
              <w:top w:val="single" w:sz="4" w:space="0" w:color="auto"/>
            </w:tcBorders>
          </w:tcPr>
          <w:p w14:paraId="5FD0441E" w14:textId="77777777" w:rsidR="00A805EB" w:rsidRPr="007E344F" w:rsidRDefault="00A805EB" w:rsidP="00197785">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14:paraId="53D222C4" w14:textId="22477419" w:rsidR="00A805EB" w:rsidRPr="007E344F" w:rsidRDefault="00A805EB" w:rsidP="00197785">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930EF2">
              <w:rPr>
                <w:b/>
              </w:rPr>
              <w:t>12</w:t>
            </w:r>
            <w:bookmarkStart w:id="0" w:name="_GoBack"/>
            <w:bookmarkEnd w:id="0"/>
            <w:r w:rsidR="00E34BA6">
              <w:rPr>
                <w:b/>
              </w:rPr>
              <w:t xml:space="preserve"> June</w:t>
            </w:r>
            <w:r w:rsidR="000A07EB">
              <w:rPr>
                <w:b/>
              </w:rPr>
              <w:t xml:space="preserve"> 2017</w:t>
            </w:r>
          </w:p>
          <w:p w14:paraId="3F8C9A4F" w14:textId="77777777" w:rsidR="00A805EB" w:rsidRPr="007E344F" w:rsidRDefault="000A07EB" w:rsidP="00197785">
            <w:pPr>
              <w:spacing w:before="120"/>
              <w:rPr>
                <w:b/>
              </w:rPr>
            </w:pPr>
            <w:r>
              <w:rPr>
                <w:b/>
              </w:rPr>
              <w:t>Fifty-first</w:t>
            </w:r>
            <w:r w:rsidR="00DE3A0C" w:rsidRPr="007E344F">
              <w:rPr>
                <w:b/>
              </w:rPr>
              <w:t xml:space="preserve"> </w:t>
            </w:r>
            <w:r w:rsidR="00A805EB" w:rsidRPr="007E344F">
              <w:rPr>
                <w:b/>
              </w:rPr>
              <w:t>session</w:t>
            </w:r>
          </w:p>
          <w:p w14:paraId="1008B220" w14:textId="77777777" w:rsidR="00403098" w:rsidRPr="007E344F" w:rsidRDefault="00403098" w:rsidP="00197785">
            <w:r w:rsidRPr="007E344F">
              <w:t>Geneva</w:t>
            </w:r>
            <w:r w:rsidR="00AA617C">
              <w:t xml:space="preserve">, </w:t>
            </w:r>
            <w:r w:rsidR="000A07EB">
              <w:t>3-7 July 2017</w:t>
            </w:r>
          </w:p>
          <w:p w14:paraId="5CC8167B" w14:textId="297F29B4" w:rsidR="00317F1A" w:rsidRPr="00D63626" w:rsidRDefault="000A07EB" w:rsidP="008C7943">
            <w:r w:rsidRPr="007B2B1F">
              <w:t xml:space="preserve">Item </w:t>
            </w:r>
            <w:r w:rsidR="008C7943">
              <w:t>10 (b)</w:t>
            </w:r>
            <w:r w:rsidRPr="007B2B1F">
              <w:t xml:space="preserve"> of the provisional agenda</w:t>
            </w:r>
            <w:r w:rsidRPr="007B2B1F">
              <w:rPr>
                <w:b/>
              </w:rPr>
              <w:t xml:space="preserve"> </w:t>
            </w:r>
            <w:r w:rsidRPr="007B2B1F">
              <w:rPr>
                <w:b/>
              </w:rPr>
              <w:br/>
            </w:r>
            <w:r w:rsidR="008C7943" w:rsidRPr="008C7943">
              <w:rPr>
                <w:b/>
              </w:rPr>
              <w:t xml:space="preserve">Issues relating to the Globally Harmonized System </w:t>
            </w:r>
            <w:r w:rsidR="008C7943" w:rsidRPr="008C7943">
              <w:rPr>
                <w:b/>
              </w:rPr>
              <w:br/>
              <w:t>of Classification and Labelling of Chemicals: testing of oxidizing substances</w:t>
            </w:r>
          </w:p>
        </w:tc>
      </w:tr>
    </w:tbl>
    <w:p w14:paraId="7AE78D64" w14:textId="1C5B3883" w:rsidR="008C7943" w:rsidRPr="008F3D32" w:rsidRDefault="008C7943" w:rsidP="008C7943">
      <w:pPr>
        <w:pStyle w:val="HChG"/>
        <w:rPr>
          <w:b w:val="0"/>
          <w:szCs w:val="28"/>
          <w:lang w:val="en-US"/>
        </w:rPr>
      </w:pPr>
      <w:r>
        <w:rPr>
          <w:lang w:val="en-CA"/>
        </w:rPr>
        <w:tab/>
      </w:r>
      <w:r>
        <w:rPr>
          <w:lang w:val="en-CA"/>
        </w:rPr>
        <w:tab/>
      </w:r>
      <w:r w:rsidRPr="008F3D32">
        <w:rPr>
          <w:lang w:val="en-US"/>
        </w:rPr>
        <w:t xml:space="preserve">Tests for oxidizing liquids (UN Test O.2) and oxidizing </w:t>
      </w:r>
      <w:proofErr w:type="gramStart"/>
      <w:r w:rsidRPr="008F3D32">
        <w:rPr>
          <w:lang w:val="en-US"/>
        </w:rPr>
        <w:t>solids</w:t>
      </w:r>
      <w:proofErr w:type="gramEnd"/>
      <w:r>
        <w:rPr>
          <w:lang w:val="en-US"/>
        </w:rPr>
        <w:br/>
      </w:r>
      <w:r w:rsidRPr="008F3D32">
        <w:rPr>
          <w:szCs w:val="28"/>
          <w:lang w:val="en-US"/>
        </w:rPr>
        <w:t>(UN Tests O.1 and O.3)</w:t>
      </w:r>
      <w:r>
        <w:rPr>
          <w:szCs w:val="28"/>
          <w:lang w:val="en-US"/>
        </w:rPr>
        <w:br/>
      </w:r>
      <w:r w:rsidRPr="008F3D32">
        <w:rPr>
          <w:szCs w:val="28"/>
          <w:lang w:val="en-US"/>
        </w:rPr>
        <w:t>Consequential amendments of cellulose replacement to test</w:t>
      </w:r>
      <w:r>
        <w:rPr>
          <w:szCs w:val="28"/>
          <w:lang w:val="en-US"/>
        </w:rPr>
        <w:t xml:space="preserve"> </w:t>
      </w:r>
      <w:r w:rsidRPr="008F3D32">
        <w:rPr>
          <w:szCs w:val="28"/>
          <w:lang w:val="en-US"/>
        </w:rPr>
        <w:t>descriptions</w:t>
      </w:r>
      <w:r>
        <w:rPr>
          <w:szCs w:val="28"/>
          <w:lang w:val="en-US"/>
        </w:rPr>
        <w:br/>
      </w:r>
      <w:r w:rsidRPr="008F3D32">
        <w:rPr>
          <w:szCs w:val="28"/>
          <w:lang w:val="en-US"/>
        </w:rPr>
        <w:t>Additional information to document</w:t>
      </w:r>
      <w:r>
        <w:rPr>
          <w:szCs w:val="28"/>
          <w:lang w:val="en-US"/>
        </w:rPr>
        <w:t xml:space="preserve"> S</w:t>
      </w:r>
      <w:r w:rsidRPr="008F3D32">
        <w:rPr>
          <w:szCs w:val="28"/>
          <w:lang w:val="en-US"/>
        </w:rPr>
        <w:t>T/SG/AC.10/C.3/2017/28</w:t>
      </w:r>
    </w:p>
    <w:p w14:paraId="2028408C" w14:textId="283AA1A4" w:rsidR="008C7943" w:rsidRPr="00287306" w:rsidRDefault="008C7943" w:rsidP="008C7943">
      <w:pPr>
        <w:pStyle w:val="H1G"/>
        <w:rPr>
          <w:lang w:val="en-US"/>
        </w:rPr>
      </w:pPr>
      <w:r>
        <w:rPr>
          <w:lang w:val="en-US"/>
        </w:rPr>
        <w:tab/>
      </w:r>
      <w:r>
        <w:rPr>
          <w:lang w:val="en-US"/>
        </w:rPr>
        <w:tab/>
      </w:r>
      <w:r w:rsidRPr="00287306">
        <w:rPr>
          <w:lang w:val="en-US"/>
        </w:rPr>
        <w:t>Transmitted by the expert from France</w:t>
      </w:r>
    </w:p>
    <w:p w14:paraId="2FD88A53" w14:textId="003105EE" w:rsidR="008C7943" w:rsidRPr="00287306" w:rsidRDefault="008C7943" w:rsidP="008C7943">
      <w:pPr>
        <w:pStyle w:val="HChG"/>
        <w:rPr>
          <w:lang w:val="en-US"/>
        </w:rPr>
      </w:pPr>
      <w:r>
        <w:rPr>
          <w:lang w:val="en-US"/>
        </w:rPr>
        <w:tab/>
      </w:r>
      <w:r>
        <w:rPr>
          <w:lang w:val="en-US"/>
        </w:rPr>
        <w:tab/>
      </w:r>
      <w:r w:rsidRPr="00287306">
        <w:rPr>
          <w:lang w:val="en-US"/>
        </w:rPr>
        <w:t>Introduction</w:t>
      </w:r>
    </w:p>
    <w:p w14:paraId="11CB6925" w14:textId="77777777" w:rsidR="008C7943" w:rsidRPr="00287306" w:rsidRDefault="008C7943" w:rsidP="008C7943">
      <w:pPr>
        <w:pStyle w:val="SingleTxtG"/>
        <w:rPr>
          <w:lang w:val="en-US"/>
        </w:rPr>
      </w:pPr>
      <w:r w:rsidRPr="00287306">
        <w:rPr>
          <w:lang w:val="en-US"/>
        </w:rPr>
        <w:t>1.</w:t>
      </w:r>
      <w:r w:rsidRPr="00287306">
        <w:rPr>
          <w:lang w:val="en-US"/>
        </w:rPr>
        <w:tab/>
        <w:t>The purpose of this informal document is to provide the Sub-Committee with additional information in support of the document ST/SG/AC.10/C.3/2017/28 on the consequential amendments of cellulose replacement to tests descriptions for oxidizing liquids (UN Test O.2) and oxidizing solids (UN Tests O.1 and O.3).</w:t>
      </w:r>
    </w:p>
    <w:p w14:paraId="3D1F045E" w14:textId="1E6557A1" w:rsidR="008C7943" w:rsidRPr="00287306" w:rsidRDefault="008C7943" w:rsidP="008C7943">
      <w:pPr>
        <w:pStyle w:val="H1G"/>
        <w:rPr>
          <w:lang w:val="en-US"/>
        </w:rPr>
      </w:pPr>
      <w:r>
        <w:rPr>
          <w:lang w:val="en-US"/>
        </w:rPr>
        <w:tab/>
      </w:r>
      <w:r>
        <w:rPr>
          <w:lang w:val="en-US"/>
        </w:rPr>
        <w:tab/>
      </w:r>
      <w:r w:rsidRPr="00287306">
        <w:rPr>
          <w:lang w:val="en-US"/>
        </w:rPr>
        <w:t>Cellulose replacement</w:t>
      </w:r>
    </w:p>
    <w:p w14:paraId="19EB08A4" w14:textId="77777777" w:rsidR="008C7943" w:rsidRDefault="008C7943" w:rsidP="008C7943">
      <w:pPr>
        <w:pStyle w:val="SingleTxtG"/>
        <w:rPr>
          <w:lang w:val="en-US"/>
        </w:rPr>
      </w:pPr>
      <w:r w:rsidRPr="00287306">
        <w:rPr>
          <w:lang w:val="en-US"/>
        </w:rPr>
        <w:t>2.</w:t>
      </w:r>
      <w:r w:rsidRPr="00287306">
        <w:rPr>
          <w:lang w:val="en-US"/>
        </w:rPr>
        <w:tab/>
        <w:t xml:space="preserve">During the biennium 2015-2016 a Round Robin Testing (RRT) exercise led by INERIS, France was organized with two major steps focusing on the replacement of the cellulose i.e. </w:t>
      </w:r>
      <w:proofErr w:type="spellStart"/>
      <w:r w:rsidRPr="00287306">
        <w:rPr>
          <w:lang w:val="en-US"/>
        </w:rPr>
        <w:t>Whatman</w:t>
      </w:r>
      <w:proofErr w:type="spellEnd"/>
      <w:r w:rsidRPr="00287306">
        <w:rPr>
          <w:lang w:val="en-US"/>
        </w:rPr>
        <w:t xml:space="preserve"> CF11 type used in UN Test O.2 and in UN Test O.3 which is no longer available.</w:t>
      </w:r>
    </w:p>
    <w:p w14:paraId="28F34295" w14:textId="68B7308D" w:rsidR="008C7943" w:rsidRPr="00287306" w:rsidRDefault="008C7943" w:rsidP="008C7943">
      <w:pPr>
        <w:pStyle w:val="SingleTxtG"/>
        <w:rPr>
          <w:lang w:val="en-US"/>
        </w:rPr>
      </w:pPr>
      <w:r w:rsidRPr="00287306">
        <w:rPr>
          <w:lang w:val="en-US"/>
        </w:rPr>
        <w:t>It was concluded by proposals from France which were adopted and the description of replacement cellulose(s) was introduced in the corresponding tests descriptions – see ST/SG/AC.10/44/Add.2, section 34.</w:t>
      </w:r>
    </w:p>
    <w:p w14:paraId="29102CEB" w14:textId="77777777" w:rsidR="008C7943" w:rsidRPr="00287306" w:rsidRDefault="008C7943" w:rsidP="008C7943">
      <w:pPr>
        <w:pStyle w:val="SingleTxtG"/>
        <w:rPr>
          <w:lang w:val="en-US"/>
        </w:rPr>
      </w:pPr>
      <w:r w:rsidRPr="00287306">
        <w:rPr>
          <w:lang w:val="en-US"/>
        </w:rPr>
        <w:t>3.</w:t>
      </w:r>
      <w:r w:rsidRPr="00287306">
        <w:rPr>
          <w:lang w:val="en-US"/>
        </w:rPr>
        <w:tab/>
        <w:t>During this RRT exercise consequential amendments were deemed necessary as the replacement of cellulose may introduce slight variations in tests results.</w:t>
      </w:r>
    </w:p>
    <w:p w14:paraId="07020719" w14:textId="33C2D5B4" w:rsidR="008C7943" w:rsidRPr="00287306" w:rsidRDefault="008C7943" w:rsidP="008C7943">
      <w:pPr>
        <w:pStyle w:val="H1G"/>
        <w:rPr>
          <w:lang w:val="en-US"/>
        </w:rPr>
      </w:pPr>
      <w:r>
        <w:rPr>
          <w:lang w:val="en-US"/>
        </w:rPr>
        <w:tab/>
      </w:r>
      <w:r>
        <w:rPr>
          <w:lang w:val="en-US"/>
        </w:rPr>
        <w:tab/>
      </w:r>
      <w:r w:rsidRPr="00287306">
        <w:rPr>
          <w:lang w:val="en-US"/>
        </w:rPr>
        <w:t>Consequential amendments</w:t>
      </w:r>
    </w:p>
    <w:p w14:paraId="1AB5DE05" w14:textId="77777777" w:rsidR="008C7943" w:rsidRPr="00287306" w:rsidRDefault="008C7943" w:rsidP="008C7943">
      <w:pPr>
        <w:pStyle w:val="SingleTxtG"/>
        <w:rPr>
          <w:lang w:val="en-US"/>
        </w:rPr>
      </w:pPr>
      <w:r w:rsidRPr="00287306">
        <w:rPr>
          <w:lang w:val="en-US"/>
        </w:rPr>
        <w:t>4.</w:t>
      </w:r>
      <w:r w:rsidRPr="00287306">
        <w:rPr>
          <w:lang w:val="en-US"/>
        </w:rPr>
        <w:tab/>
        <w:t xml:space="preserve">A preliminary overview has been made of such consequential amendments. The items to be considered are listed hereafter and proposed ways to proceed </w:t>
      </w:r>
      <w:r>
        <w:rPr>
          <w:lang w:val="en-US"/>
        </w:rPr>
        <w:t>are suggested</w:t>
      </w:r>
      <w:r w:rsidRPr="00287306">
        <w:rPr>
          <w:lang w:val="en-US"/>
        </w:rPr>
        <w:t>.</w:t>
      </w:r>
    </w:p>
    <w:p w14:paraId="46DD69F0" w14:textId="6181FD48" w:rsidR="008C7943" w:rsidRPr="00287306" w:rsidRDefault="008C7943" w:rsidP="008C7943">
      <w:pPr>
        <w:pStyle w:val="H1G"/>
        <w:spacing w:before="240" w:after="120"/>
        <w:rPr>
          <w:lang w:val="en-US"/>
        </w:rPr>
      </w:pPr>
      <w:r>
        <w:rPr>
          <w:lang w:val="en-US"/>
        </w:rPr>
        <w:lastRenderedPageBreak/>
        <w:tab/>
      </w:r>
      <w:r>
        <w:rPr>
          <w:lang w:val="en-US"/>
        </w:rPr>
        <w:tab/>
      </w:r>
      <w:r w:rsidRPr="00287306">
        <w:rPr>
          <w:lang w:val="en-US"/>
        </w:rPr>
        <w:t>Test UN O.2 – Reference substances</w:t>
      </w:r>
    </w:p>
    <w:p w14:paraId="2D099242" w14:textId="77777777" w:rsidR="008C7943" w:rsidRPr="00287306" w:rsidRDefault="008C7943" w:rsidP="008C7943">
      <w:pPr>
        <w:pStyle w:val="SingleTxtG"/>
        <w:rPr>
          <w:lang w:val="en-US"/>
        </w:rPr>
      </w:pPr>
      <w:r w:rsidRPr="00287306">
        <w:rPr>
          <w:lang w:val="en-US"/>
        </w:rPr>
        <w:t>5.</w:t>
      </w:r>
      <w:r w:rsidRPr="00287306">
        <w:rPr>
          <w:lang w:val="en-US"/>
        </w:rPr>
        <w:tab/>
        <w:t xml:space="preserve">The reference substance for allocating to PGII [in 1/1 mixture with cellulose] i.e. 40% aqueous sodium chlorate solution </w:t>
      </w:r>
      <w:r>
        <w:rPr>
          <w:lang w:val="en-US"/>
        </w:rPr>
        <w:t xml:space="preserve">seems from the RRT results </w:t>
      </w:r>
      <w:r w:rsidRPr="00287306">
        <w:rPr>
          <w:lang w:val="en-US"/>
        </w:rPr>
        <w:t>not sufficiently discriminatory from reference substance for allocation to PGIII [in 1/1 mixture with cellulose] i.e. 65% aqueous nitric acid.</w:t>
      </w:r>
    </w:p>
    <w:p w14:paraId="2C29A15A" w14:textId="77777777" w:rsidR="008C7943" w:rsidRPr="00287306" w:rsidRDefault="008C7943" w:rsidP="008C7943">
      <w:pPr>
        <w:pStyle w:val="SingleTxtG"/>
        <w:rPr>
          <w:lang w:val="en-US"/>
        </w:rPr>
      </w:pPr>
      <w:r w:rsidRPr="00287306">
        <w:rPr>
          <w:lang w:val="en-US"/>
        </w:rPr>
        <w:t>6.</w:t>
      </w:r>
      <w:r w:rsidRPr="00287306">
        <w:rPr>
          <w:lang w:val="en-US"/>
        </w:rPr>
        <w:tab/>
        <w:t xml:space="preserve">France is considering </w:t>
      </w:r>
      <w:r>
        <w:rPr>
          <w:lang w:val="en-US"/>
        </w:rPr>
        <w:t xml:space="preserve">to identify if such a difficulty is solely based on the above reference substances and if so to assess </w:t>
      </w:r>
      <w:r w:rsidRPr="00287306">
        <w:rPr>
          <w:lang w:val="en-US"/>
        </w:rPr>
        <w:t xml:space="preserve">diluted aqueous solutions of </w:t>
      </w:r>
      <w:proofErr w:type="spellStart"/>
      <w:r w:rsidRPr="00287306">
        <w:rPr>
          <w:lang w:val="en-US"/>
        </w:rPr>
        <w:t>perchloric</w:t>
      </w:r>
      <w:proofErr w:type="spellEnd"/>
      <w:r w:rsidRPr="00287306">
        <w:rPr>
          <w:lang w:val="en-US"/>
        </w:rPr>
        <w:t xml:space="preserve"> acid, in the range of 30-40</w:t>
      </w:r>
      <w:r>
        <w:rPr>
          <w:lang w:val="en-US"/>
        </w:rPr>
        <w:t xml:space="preserve">%, for a possible replacement of </w:t>
      </w:r>
      <w:r w:rsidRPr="00287306">
        <w:rPr>
          <w:lang w:val="en-US"/>
        </w:rPr>
        <w:t>the 40% aqueous sodium chlorate solution as reference substance for PGII.</w:t>
      </w:r>
    </w:p>
    <w:p w14:paraId="761990A8" w14:textId="61C13032" w:rsidR="008C7943" w:rsidRPr="00287306" w:rsidRDefault="008C7943" w:rsidP="008C7943">
      <w:pPr>
        <w:pStyle w:val="H1G"/>
        <w:spacing w:before="240" w:after="120"/>
        <w:rPr>
          <w:lang w:val="en-US"/>
        </w:rPr>
      </w:pPr>
      <w:r>
        <w:rPr>
          <w:lang w:val="en-US"/>
        </w:rPr>
        <w:tab/>
      </w:r>
      <w:r>
        <w:rPr>
          <w:lang w:val="en-US"/>
        </w:rPr>
        <w:tab/>
      </w:r>
      <w:r w:rsidRPr="00287306">
        <w:rPr>
          <w:lang w:val="en-US"/>
        </w:rPr>
        <w:t>Test UN O.3 – Reference oxidizer</w:t>
      </w:r>
    </w:p>
    <w:p w14:paraId="29581753" w14:textId="77777777" w:rsidR="008C7943" w:rsidRPr="00287306" w:rsidRDefault="008C7943" w:rsidP="008C7943">
      <w:pPr>
        <w:pStyle w:val="SingleTxtG"/>
        <w:rPr>
          <w:lang w:val="en-US"/>
        </w:rPr>
      </w:pPr>
      <w:r>
        <w:rPr>
          <w:lang w:val="en-US"/>
        </w:rPr>
        <w:t>7</w:t>
      </w:r>
      <w:r w:rsidRPr="00287306">
        <w:rPr>
          <w:lang w:val="en-US"/>
        </w:rPr>
        <w:t>.</w:t>
      </w:r>
      <w:r w:rsidRPr="00287306">
        <w:rPr>
          <w:lang w:val="en-US"/>
        </w:rPr>
        <w:tab/>
      </w:r>
      <w:r>
        <w:rPr>
          <w:lang w:val="en-US"/>
        </w:rPr>
        <w:t>UN O.3 test results may be influenced by several factors including the specifications of reference oxidizer, namely its concentration.</w:t>
      </w:r>
    </w:p>
    <w:p w14:paraId="5AD96767" w14:textId="77777777" w:rsidR="008C7943" w:rsidRPr="00287306" w:rsidRDefault="008C7943" w:rsidP="008C7943">
      <w:pPr>
        <w:pStyle w:val="SingleTxtG"/>
        <w:rPr>
          <w:lang w:val="en-US"/>
        </w:rPr>
      </w:pPr>
      <w:r>
        <w:rPr>
          <w:lang w:val="en-US"/>
        </w:rPr>
        <w:t>8</w:t>
      </w:r>
      <w:r w:rsidRPr="00287306">
        <w:rPr>
          <w:lang w:val="en-US"/>
        </w:rPr>
        <w:t>.</w:t>
      </w:r>
      <w:r w:rsidRPr="00287306">
        <w:rPr>
          <w:lang w:val="en-US"/>
        </w:rPr>
        <w:tab/>
        <w:t>The reference oxidizer i.e. calcium perox</w:t>
      </w:r>
      <w:r>
        <w:rPr>
          <w:lang w:val="en-US"/>
        </w:rPr>
        <w:t>ide with a concentration of 75% </w:t>
      </w:r>
      <w:r w:rsidRPr="00287306">
        <w:rPr>
          <w:lang w:val="en-US"/>
        </w:rPr>
        <w:t>±</w:t>
      </w:r>
      <w:r>
        <w:rPr>
          <w:lang w:val="en-US"/>
        </w:rPr>
        <w:t> </w:t>
      </w:r>
      <w:r w:rsidRPr="00287306">
        <w:rPr>
          <w:lang w:val="en-US"/>
        </w:rPr>
        <w:t>0.5% is originating from different sources i.e. suppliers in Europe or in other parts of the world which may not respect the whole specifications given in the test description.</w:t>
      </w:r>
    </w:p>
    <w:p w14:paraId="6160C710" w14:textId="77777777" w:rsidR="008C7943" w:rsidRPr="00287306" w:rsidRDefault="008C7943" w:rsidP="008C7943">
      <w:pPr>
        <w:pStyle w:val="SingleTxtG"/>
        <w:rPr>
          <w:lang w:val="en-US"/>
        </w:rPr>
      </w:pPr>
      <w:r w:rsidRPr="00287306">
        <w:rPr>
          <w:lang w:val="en-US"/>
        </w:rPr>
        <w:t>During the RRT exercise it appeared that such a situation might introduce discrepancies in test results due in addition to the fact that such a reference oxidizer is not able to sustain along the time that concentration i.e. "natural" loss in calcium peroxide concentration.</w:t>
      </w:r>
    </w:p>
    <w:p w14:paraId="161EA141" w14:textId="77777777" w:rsidR="008C7943" w:rsidRPr="00287306" w:rsidRDefault="008C7943" w:rsidP="008C7943">
      <w:pPr>
        <w:pStyle w:val="SingleTxtG"/>
        <w:rPr>
          <w:lang w:val="en-US"/>
        </w:rPr>
      </w:pPr>
      <w:r>
        <w:rPr>
          <w:lang w:val="en-US"/>
        </w:rPr>
        <w:t>9</w:t>
      </w:r>
      <w:r w:rsidRPr="00287306">
        <w:rPr>
          <w:lang w:val="en-US"/>
        </w:rPr>
        <w:t>.</w:t>
      </w:r>
      <w:r w:rsidRPr="00287306">
        <w:rPr>
          <w:lang w:val="en-US"/>
        </w:rPr>
        <w:tab/>
        <w:t xml:space="preserve">France is considering </w:t>
      </w:r>
      <w:proofErr w:type="gramStart"/>
      <w:r w:rsidRPr="00287306">
        <w:rPr>
          <w:lang w:val="en-US"/>
        </w:rPr>
        <w:t>to introduce</w:t>
      </w:r>
      <w:proofErr w:type="gramEnd"/>
      <w:r w:rsidRPr="00287306">
        <w:rPr>
          <w:lang w:val="en-US"/>
        </w:rPr>
        <w:t xml:space="preserve"> the need for checking the concentration of calcium peroxide before testing.</w:t>
      </w:r>
    </w:p>
    <w:p w14:paraId="799552A2" w14:textId="4B2534EA" w:rsidR="008C7943" w:rsidRPr="00287306" w:rsidRDefault="008C7943" w:rsidP="008C7943">
      <w:pPr>
        <w:pStyle w:val="H1G"/>
        <w:spacing w:before="240" w:after="120"/>
        <w:rPr>
          <w:lang w:val="en-US"/>
        </w:rPr>
      </w:pPr>
      <w:r>
        <w:rPr>
          <w:lang w:val="en-US"/>
        </w:rPr>
        <w:tab/>
      </w:r>
      <w:r>
        <w:rPr>
          <w:lang w:val="en-US"/>
        </w:rPr>
        <w:tab/>
      </w:r>
      <w:r w:rsidRPr="00287306">
        <w:rPr>
          <w:lang w:val="en-US"/>
        </w:rPr>
        <w:t>Test UN O.3 – Coefficient of correlation and standard deviation of test results</w:t>
      </w:r>
    </w:p>
    <w:p w14:paraId="5E61A07E" w14:textId="77777777" w:rsidR="008C7943" w:rsidRPr="00287306" w:rsidRDefault="008C7943" w:rsidP="008C7943">
      <w:pPr>
        <w:pStyle w:val="SingleTxtG"/>
        <w:rPr>
          <w:lang w:val="en-US"/>
        </w:rPr>
      </w:pPr>
      <w:r>
        <w:rPr>
          <w:lang w:val="en-US"/>
        </w:rPr>
        <w:t>10</w:t>
      </w:r>
      <w:r w:rsidRPr="00287306">
        <w:rPr>
          <w:lang w:val="en-US"/>
        </w:rPr>
        <w:t>.</w:t>
      </w:r>
      <w:r w:rsidRPr="00287306">
        <w:rPr>
          <w:lang w:val="en-US"/>
        </w:rPr>
        <w:tab/>
        <w:t>From the full RRT results – see UN/SCETDG/49/INF.47, annex 2 – it appears that the required values of coefficient of correlation R</w:t>
      </w:r>
      <w:r w:rsidRPr="00287306">
        <w:rPr>
          <w:vertAlign w:val="superscript"/>
          <w:lang w:val="en-US"/>
        </w:rPr>
        <w:t>2</w:t>
      </w:r>
      <w:r w:rsidRPr="00287306">
        <w:rPr>
          <w:lang w:val="en-US"/>
        </w:rPr>
        <w:t xml:space="preserve"> i.e. at least 0.95 and standard deviation i.e. not exceeding 10% are not easily attainable.</w:t>
      </w:r>
    </w:p>
    <w:p w14:paraId="3DF6B0E0" w14:textId="77777777" w:rsidR="008C7943" w:rsidRPr="00287306" w:rsidRDefault="008C7943" w:rsidP="008C7943">
      <w:pPr>
        <w:pStyle w:val="SingleTxtG"/>
        <w:rPr>
          <w:lang w:val="en-US"/>
        </w:rPr>
      </w:pPr>
      <w:r>
        <w:rPr>
          <w:lang w:val="en-US"/>
        </w:rPr>
        <w:t>11</w:t>
      </w:r>
      <w:r w:rsidRPr="00287306">
        <w:rPr>
          <w:lang w:val="en-US"/>
        </w:rPr>
        <w:t>.</w:t>
      </w:r>
      <w:r w:rsidRPr="00287306">
        <w:rPr>
          <w:lang w:val="en-US"/>
        </w:rPr>
        <w:tab/>
        <w:t>France is considering to move to at least 0.90 for R</w:t>
      </w:r>
      <w:r w:rsidRPr="00287306">
        <w:rPr>
          <w:vertAlign w:val="superscript"/>
          <w:lang w:val="en-US"/>
        </w:rPr>
        <w:t>2</w:t>
      </w:r>
      <w:r w:rsidRPr="00287306">
        <w:rPr>
          <w:lang w:val="en-US"/>
        </w:rPr>
        <w:t xml:space="preserve"> and to not exceeding 20% for standard deviation respectively.</w:t>
      </w:r>
    </w:p>
    <w:p w14:paraId="501E7954" w14:textId="5B66F274" w:rsidR="008C7943" w:rsidRPr="00287306" w:rsidRDefault="008C7943" w:rsidP="008C7943">
      <w:pPr>
        <w:pStyle w:val="H1G"/>
        <w:spacing w:before="240" w:after="120"/>
        <w:rPr>
          <w:lang w:val="en-US"/>
        </w:rPr>
      </w:pPr>
      <w:r>
        <w:rPr>
          <w:lang w:val="en-US"/>
        </w:rPr>
        <w:tab/>
      </w:r>
      <w:r>
        <w:rPr>
          <w:lang w:val="en-US"/>
        </w:rPr>
        <w:tab/>
      </w:r>
      <w:r w:rsidRPr="00287306">
        <w:rPr>
          <w:lang w:val="en-US"/>
        </w:rPr>
        <w:t>Test UN O.3 – Inert metal wire as ignition source</w:t>
      </w:r>
    </w:p>
    <w:p w14:paraId="67B02BF0" w14:textId="77777777" w:rsidR="008C7943" w:rsidRPr="00287306" w:rsidRDefault="008C7943" w:rsidP="008C7943">
      <w:pPr>
        <w:pStyle w:val="SingleTxtG"/>
        <w:rPr>
          <w:lang w:val="en-US"/>
        </w:rPr>
      </w:pPr>
      <w:r>
        <w:rPr>
          <w:lang w:val="en-US"/>
        </w:rPr>
        <w:t>12</w:t>
      </w:r>
      <w:r w:rsidRPr="00287306">
        <w:rPr>
          <w:lang w:val="en-US"/>
        </w:rPr>
        <w:t>.</w:t>
      </w:r>
      <w:r w:rsidRPr="00287306">
        <w:rPr>
          <w:lang w:val="en-US"/>
        </w:rPr>
        <w:tab/>
        <w:t>During the RRT exercise, various types of metal wire were used – see UN/SCETDG/49/INF.47, annex 2, para 2.5.1.1 -. Up to 50% of participants i.e. 6 participants observed more or less frequent breakages of the wire during the runs.</w:t>
      </w:r>
    </w:p>
    <w:p w14:paraId="49B544A5" w14:textId="77777777" w:rsidR="008C7943" w:rsidRPr="00287306" w:rsidRDefault="008C7943" w:rsidP="008C7943">
      <w:pPr>
        <w:pStyle w:val="SingleTxtG"/>
        <w:rPr>
          <w:lang w:val="en-US"/>
        </w:rPr>
      </w:pPr>
      <w:r>
        <w:rPr>
          <w:lang w:val="en-US"/>
        </w:rPr>
        <w:t>13</w:t>
      </w:r>
      <w:r w:rsidRPr="00287306">
        <w:rPr>
          <w:lang w:val="en-US"/>
        </w:rPr>
        <w:t>.</w:t>
      </w:r>
      <w:r w:rsidRPr="00287306">
        <w:rPr>
          <w:lang w:val="en-US"/>
        </w:rPr>
        <w:tab/>
        <w:t>France is considering to explore more in details the possible reasons for such breakages and to propose if need be to adapt the corresponding description i.e. specifications of the actual wire.</w:t>
      </w:r>
    </w:p>
    <w:p w14:paraId="7A6312BD" w14:textId="77777777" w:rsidR="008C7943" w:rsidRDefault="008C7943" w:rsidP="008C7943">
      <w:pPr>
        <w:pStyle w:val="SingleTxtG"/>
        <w:rPr>
          <w:lang w:val="en-US"/>
        </w:rPr>
      </w:pPr>
      <w:r>
        <w:rPr>
          <w:lang w:val="en-US"/>
        </w:rPr>
        <w:t>14</w:t>
      </w:r>
      <w:r w:rsidRPr="00287306">
        <w:rPr>
          <w:lang w:val="en-US"/>
        </w:rPr>
        <w:t>.</w:t>
      </w:r>
      <w:r w:rsidRPr="00287306">
        <w:rPr>
          <w:lang w:val="en-US"/>
        </w:rPr>
        <w:tab/>
        <w:t>The same may hold for metal wire description in UN Test O.1.</w:t>
      </w:r>
    </w:p>
    <w:p w14:paraId="1CCB143B" w14:textId="051EA833" w:rsidR="008C7943" w:rsidRDefault="008C7943" w:rsidP="008C7943">
      <w:pPr>
        <w:pStyle w:val="H1G"/>
        <w:keepNext w:val="0"/>
        <w:keepLines w:val="0"/>
        <w:spacing w:before="240" w:after="120"/>
        <w:rPr>
          <w:lang w:val="en-US"/>
        </w:rPr>
      </w:pPr>
      <w:r>
        <w:rPr>
          <w:lang w:val="en-US"/>
        </w:rPr>
        <w:tab/>
      </w:r>
      <w:r>
        <w:rPr>
          <w:lang w:val="en-US"/>
        </w:rPr>
        <w:tab/>
        <w:t>Further step</w:t>
      </w:r>
    </w:p>
    <w:p w14:paraId="1E3EDE12" w14:textId="77777777" w:rsidR="008C7943" w:rsidRDefault="008C7943" w:rsidP="008C7943">
      <w:pPr>
        <w:pStyle w:val="SingleTxtG"/>
        <w:rPr>
          <w:lang w:val="en-US"/>
        </w:rPr>
      </w:pPr>
      <w:r>
        <w:rPr>
          <w:lang w:val="en-US"/>
        </w:rPr>
        <w:t>15.</w:t>
      </w:r>
      <w:r>
        <w:rPr>
          <w:lang w:val="en-US"/>
        </w:rPr>
        <w:tab/>
        <w:t>France suggests to collect all additional comments within this frame and to prepare a working document for the next session giving all proposed amendments to tests descriptions, including criteria if necessary.</w:t>
      </w:r>
    </w:p>
    <w:p w14:paraId="4D93FA4C" w14:textId="4B5CF5A9" w:rsidR="001B20FF" w:rsidRDefault="008C7943" w:rsidP="008C7943">
      <w:pPr>
        <w:tabs>
          <w:tab w:val="left" w:pos="567"/>
        </w:tabs>
        <w:spacing w:before="240"/>
        <w:ind w:left="1134" w:right="1134"/>
        <w:jc w:val="center"/>
        <w:rPr>
          <w:lang w:val="en-US"/>
        </w:rPr>
      </w:pPr>
      <w:r>
        <w:rPr>
          <w:u w:val="single"/>
          <w:lang w:val="en-US"/>
        </w:rPr>
        <w:tab/>
      </w:r>
      <w:r>
        <w:rPr>
          <w:u w:val="single"/>
          <w:lang w:val="en-US"/>
        </w:rPr>
        <w:tab/>
      </w:r>
      <w:r>
        <w:rPr>
          <w:u w:val="single"/>
          <w:lang w:val="en-US"/>
        </w:rPr>
        <w:tab/>
      </w:r>
    </w:p>
    <w:p w14:paraId="36A9787B" w14:textId="3B17A8BE" w:rsidR="00D63626" w:rsidRPr="003F30D7" w:rsidRDefault="00D63626" w:rsidP="008C7943">
      <w:pPr>
        <w:pStyle w:val="HChG"/>
        <w:keepNext w:val="0"/>
        <w:keepLines w:val="0"/>
      </w:pPr>
    </w:p>
    <w:sectPr w:rsidR="00D63626" w:rsidRPr="003F30D7" w:rsidSect="0099001C">
      <w:headerReference w:type="even" r:id="rId9"/>
      <w:headerReference w:type="default" r:id="rId10"/>
      <w:footerReference w:type="even" r:id="rId11"/>
      <w:footerReference w:type="default" r:id="rId12"/>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50812" w14:textId="77777777" w:rsidR="00535F9E" w:rsidRDefault="00535F9E"/>
  </w:endnote>
  <w:endnote w:type="continuationSeparator" w:id="0">
    <w:p w14:paraId="5E887D0C" w14:textId="77777777" w:rsidR="00535F9E" w:rsidRDefault="00535F9E"/>
  </w:endnote>
  <w:endnote w:type="continuationNotice" w:id="1">
    <w:p w14:paraId="5D136279" w14:textId="77777777" w:rsidR="00535F9E" w:rsidRDefault="00535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23016" w14:textId="77777777" w:rsidR="00DE47FC" w:rsidRPr="0099001C" w:rsidRDefault="00DE47FC"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930EF2">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199A7" w14:textId="77777777" w:rsidR="00DE47FC" w:rsidRPr="0099001C" w:rsidRDefault="00DE47FC"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930EF2">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C125B" w14:textId="77777777" w:rsidR="00535F9E" w:rsidRPr="000B175B" w:rsidRDefault="00535F9E" w:rsidP="000B175B">
      <w:pPr>
        <w:tabs>
          <w:tab w:val="right" w:pos="2155"/>
        </w:tabs>
        <w:spacing w:after="80"/>
        <w:ind w:left="680"/>
        <w:rPr>
          <w:u w:val="single"/>
        </w:rPr>
      </w:pPr>
      <w:r>
        <w:rPr>
          <w:u w:val="single"/>
        </w:rPr>
        <w:tab/>
      </w:r>
    </w:p>
  </w:footnote>
  <w:footnote w:type="continuationSeparator" w:id="0">
    <w:p w14:paraId="692A7139" w14:textId="77777777" w:rsidR="00535F9E" w:rsidRPr="00FC68B7" w:rsidRDefault="00535F9E" w:rsidP="00FC68B7">
      <w:pPr>
        <w:tabs>
          <w:tab w:val="left" w:pos="2155"/>
        </w:tabs>
        <w:spacing w:after="80"/>
        <w:ind w:left="680"/>
        <w:rPr>
          <w:u w:val="single"/>
        </w:rPr>
      </w:pPr>
      <w:r>
        <w:rPr>
          <w:u w:val="single"/>
        </w:rPr>
        <w:tab/>
      </w:r>
    </w:p>
  </w:footnote>
  <w:footnote w:type="continuationNotice" w:id="1">
    <w:p w14:paraId="594D4DB0" w14:textId="77777777" w:rsidR="00535F9E" w:rsidRDefault="00535F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4FF" w14:textId="77CFACB1" w:rsidR="00DE47FC" w:rsidRPr="0099001C" w:rsidRDefault="001B20FF" w:rsidP="00DE3A0C">
    <w:pPr>
      <w:pStyle w:val="Header"/>
    </w:pPr>
    <w:r>
      <w:t>UN/SCETDG/5</w:t>
    </w:r>
    <w:r w:rsidR="008C7943">
      <w:t>1/INF.12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0B807" w14:textId="77777777" w:rsidR="00DE47FC" w:rsidRPr="0099001C" w:rsidRDefault="00DE47FC" w:rsidP="00DE3A0C">
    <w:pPr>
      <w:pStyle w:val="Header"/>
      <w:jc w:val="right"/>
    </w:pPr>
    <w:r w:rsidRPr="007E344F">
      <w:t>UN/SCETDG/37/INF.</w:t>
    </w:r>
    <w:r>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333B0CC4"/>
    <w:multiLevelType w:val="hybridMultilevel"/>
    <w:tmpl w:val="F0546AB0"/>
    <w:lvl w:ilvl="0" w:tplc="A19A3C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4378"/>
    <w:rsid w:val="0003119F"/>
    <w:rsid w:val="00050F6B"/>
    <w:rsid w:val="00072C8C"/>
    <w:rsid w:val="000931C0"/>
    <w:rsid w:val="0009555B"/>
    <w:rsid w:val="000A07EB"/>
    <w:rsid w:val="000B175B"/>
    <w:rsid w:val="000B3A0F"/>
    <w:rsid w:val="000C6041"/>
    <w:rsid w:val="000E0415"/>
    <w:rsid w:val="00100D07"/>
    <w:rsid w:val="00111DF0"/>
    <w:rsid w:val="001220B8"/>
    <w:rsid w:val="00150F95"/>
    <w:rsid w:val="00161D70"/>
    <w:rsid w:val="00180C41"/>
    <w:rsid w:val="00197785"/>
    <w:rsid w:val="001A0FC9"/>
    <w:rsid w:val="001B20FF"/>
    <w:rsid w:val="001B2357"/>
    <w:rsid w:val="001B4B04"/>
    <w:rsid w:val="001B5ACD"/>
    <w:rsid w:val="001C6663"/>
    <w:rsid w:val="001C7895"/>
    <w:rsid w:val="001D26DF"/>
    <w:rsid w:val="001D3183"/>
    <w:rsid w:val="001E0674"/>
    <w:rsid w:val="00201ADA"/>
    <w:rsid w:val="002101F1"/>
    <w:rsid w:val="00211E0B"/>
    <w:rsid w:val="0022014D"/>
    <w:rsid w:val="002405A7"/>
    <w:rsid w:val="00274D48"/>
    <w:rsid w:val="00284DC3"/>
    <w:rsid w:val="00285F28"/>
    <w:rsid w:val="002A78B1"/>
    <w:rsid w:val="002C5CF3"/>
    <w:rsid w:val="002E21F0"/>
    <w:rsid w:val="002E42C4"/>
    <w:rsid w:val="00307FFE"/>
    <w:rsid w:val="003107FA"/>
    <w:rsid w:val="00314A63"/>
    <w:rsid w:val="00317F1A"/>
    <w:rsid w:val="003229D8"/>
    <w:rsid w:val="00334311"/>
    <w:rsid w:val="0033745A"/>
    <w:rsid w:val="003452D6"/>
    <w:rsid w:val="003503B1"/>
    <w:rsid w:val="003660FF"/>
    <w:rsid w:val="00391D76"/>
    <w:rsid w:val="0039277A"/>
    <w:rsid w:val="003972E0"/>
    <w:rsid w:val="0039784F"/>
    <w:rsid w:val="003B0606"/>
    <w:rsid w:val="003B7450"/>
    <w:rsid w:val="003C2CC4"/>
    <w:rsid w:val="003C3936"/>
    <w:rsid w:val="003C6B13"/>
    <w:rsid w:val="003D3365"/>
    <w:rsid w:val="003D338E"/>
    <w:rsid w:val="003D4B23"/>
    <w:rsid w:val="003F1ED3"/>
    <w:rsid w:val="003F30D7"/>
    <w:rsid w:val="00403098"/>
    <w:rsid w:val="00404E53"/>
    <w:rsid w:val="00417B26"/>
    <w:rsid w:val="004270F6"/>
    <w:rsid w:val="004325CB"/>
    <w:rsid w:val="00437DB4"/>
    <w:rsid w:val="00446DE4"/>
    <w:rsid w:val="0045190E"/>
    <w:rsid w:val="00451982"/>
    <w:rsid w:val="00453178"/>
    <w:rsid w:val="004A41CA"/>
    <w:rsid w:val="004E302A"/>
    <w:rsid w:val="004F15A6"/>
    <w:rsid w:val="004F537F"/>
    <w:rsid w:val="00503228"/>
    <w:rsid w:val="00504608"/>
    <w:rsid w:val="00505384"/>
    <w:rsid w:val="00510C3B"/>
    <w:rsid w:val="00535F9E"/>
    <w:rsid w:val="005420F2"/>
    <w:rsid w:val="0054603C"/>
    <w:rsid w:val="005627B5"/>
    <w:rsid w:val="00564203"/>
    <w:rsid w:val="00564A8C"/>
    <w:rsid w:val="005A3220"/>
    <w:rsid w:val="005B3DB3"/>
    <w:rsid w:val="005D1C32"/>
    <w:rsid w:val="005F0DD1"/>
    <w:rsid w:val="005F72E1"/>
    <w:rsid w:val="00600B19"/>
    <w:rsid w:val="00602B95"/>
    <w:rsid w:val="00611FC4"/>
    <w:rsid w:val="006176FB"/>
    <w:rsid w:val="00627ED0"/>
    <w:rsid w:val="0063050A"/>
    <w:rsid w:val="00640B26"/>
    <w:rsid w:val="0066387E"/>
    <w:rsid w:val="00665595"/>
    <w:rsid w:val="00685B23"/>
    <w:rsid w:val="006A7392"/>
    <w:rsid w:val="006B7086"/>
    <w:rsid w:val="006E32FA"/>
    <w:rsid w:val="006E3B52"/>
    <w:rsid w:val="006E535C"/>
    <w:rsid w:val="006E564B"/>
    <w:rsid w:val="006F73EE"/>
    <w:rsid w:val="00701292"/>
    <w:rsid w:val="007017DA"/>
    <w:rsid w:val="00724962"/>
    <w:rsid w:val="0072632A"/>
    <w:rsid w:val="007303B2"/>
    <w:rsid w:val="00730810"/>
    <w:rsid w:val="00732639"/>
    <w:rsid w:val="00733AAE"/>
    <w:rsid w:val="0079511F"/>
    <w:rsid w:val="00797762"/>
    <w:rsid w:val="007B4BEC"/>
    <w:rsid w:val="007B6BA5"/>
    <w:rsid w:val="007B7918"/>
    <w:rsid w:val="007C3390"/>
    <w:rsid w:val="007C4F4B"/>
    <w:rsid w:val="007D22FD"/>
    <w:rsid w:val="007E344F"/>
    <w:rsid w:val="007F0B83"/>
    <w:rsid w:val="007F4FCD"/>
    <w:rsid w:val="007F6611"/>
    <w:rsid w:val="008010DD"/>
    <w:rsid w:val="00802579"/>
    <w:rsid w:val="008056BE"/>
    <w:rsid w:val="008175E9"/>
    <w:rsid w:val="00817F27"/>
    <w:rsid w:val="00822414"/>
    <w:rsid w:val="008242D7"/>
    <w:rsid w:val="00827E05"/>
    <w:rsid w:val="008311A3"/>
    <w:rsid w:val="00835EB6"/>
    <w:rsid w:val="00871FD5"/>
    <w:rsid w:val="00886119"/>
    <w:rsid w:val="00895C06"/>
    <w:rsid w:val="008979B1"/>
    <w:rsid w:val="008A6B25"/>
    <w:rsid w:val="008A6C4F"/>
    <w:rsid w:val="008C7943"/>
    <w:rsid w:val="008D0F3F"/>
    <w:rsid w:val="008E0675"/>
    <w:rsid w:val="008E0E46"/>
    <w:rsid w:val="008E35B1"/>
    <w:rsid w:val="008E3A43"/>
    <w:rsid w:val="008F02A0"/>
    <w:rsid w:val="008F321A"/>
    <w:rsid w:val="00906526"/>
    <w:rsid w:val="00907AD2"/>
    <w:rsid w:val="009111C7"/>
    <w:rsid w:val="00915D65"/>
    <w:rsid w:val="0092654D"/>
    <w:rsid w:val="00930EF2"/>
    <w:rsid w:val="009334FE"/>
    <w:rsid w:val="00963CBA"/>
    <w:rsid w:val="00974A8D"/>
    <w:rsid w:val="0099001C"/>
    <w:rsid w:val="00991261"/>
    <w:rsid w:val="009A00F2"/>
    <w:rsid w:val="009A1A51"/>
    <w:rsid w:val="009D04D9"/>
    <w:rsid w:val="009D2BF9"/>
    <w:rsid w:val="009F277A"/>
    <w:rsid w:val="009F3A17"/>
    <w:rsid w:val="009F3AEC"/>
    <w:rsid w:val="00A11117"/>
    <w:rsid w:val="00A1427D"/>
    <w:rsid w:val="00A178D3"/>
    <w:rsid w:val="00A36006"/>
    <w:rsid w:val="00A50936"/>
    <w:rsid w:val="00A72F22"/>
    <w:rsid w:val="00A748A6"/>
    <w:rsid w:val="00A74999"/>
    <w:rsid w:val="00A805EB"/>
    <w:rsid w:val="00A80961"/>
    <w:rsid w:val="00A879A4"/>
    <w:rsid w:val="00AA426C"/>
    <w:rsid w:val="00AA617C"/>
    <w:rsid w:val="00AD741B"/>
    <w:rsid w:val="00AE1A34"/>
    <w:rsid w:val="00B16223"/>
    <w:rsid w:val="00B30179"/>
    <w:rsid w:val="00B33EC0"/>
    <w:rsid w:val="00B81E12"/>
    <w:rsid w:val="00B82575"/>
    <w:rsid w:val="00B84573"/>
    <w:rsid w:val="00B902A6"/>
    <w:rsid w:val="00BA02A0"/>
    <w:rsid w:val="00BA177E"/>
    <w:rsid w:val="00BA1781"/>
    <w:rsid w:val="00BB2C95"/>
    <w:rsid w:val="00BC413E"/>
    <w:rsid w:val="00BC74E9"/>
    <w:rsid w:val="00BD2146"/>
    <w:rsid w:val="00BE4F74"/>
    <w:rsid w:val="00BE52DC"/>
    <w:rsid w:val="00BE618E"/>
    <w:rsid w:val="00BF3C7D"/>
    <w:rsid w:val="00BF4485"/>
    <w:rsid w:val="00BF4F5D"/>
    <w:rsid w:val="00C00341"/>
    <w:rsid w:val="00C14072"/>
    <w:rsid w:val="00C17699"/>
    <w:rsid w:val="00C36701"/>
    <w:rsid w:val="00C41A28"/>
    <w:rsid w:val="00C463DD"/>
    <w:rsid w:val="00C745C3"/>
    <w:rsid w:val="00CE4A8F"/>
    <w:rsid w:val="00D2031B"/>
    <w:rsid w:val="00D25FE2"/>
    <w:rsid w:val="00D317BB"/>
    <w:rsid w:val="00D33331"/>
    <w:rsid w:val="00D36BEB"/>
    <w:rsid w:val="00D43252"/>
    <w:rsid w:val="00D56172"/>
    <w:rsid w:val="00D63626"/>
    <w:rsid w:val="00D7433B"/>
    <w:rsid w:val="00D81BB9"/>
    <w:rsid w:val="00D83CD1"/>
    <w:rsid w:val="00D87B56"/>
    <w:rsid w:val="00D978C6"/>
    <w:rsid w:val="00DA67AD"/>
    <w:rsid w:val="00DB5D0F"/>
    <w:rsid w:val="00DB5E48"/>
    <w:rsid w:val="00DC3242"/>
    <w:rsid w:val="00DD6A25"/>
    <w:rsid w:val="00DE3A0C"/>
    <w:rsid w:val="00DE47FC"/>
    <w:rsid w:val="00DF12F7"/>
    <w:rsid w:val="00E02C81"/>
    <w:rsid w:val="00E130AB"/>
    <w:rsid w:val="00E31970"/>
    <w:rsid w:val="00E34BA6"/>
    <w:rsid w:val="00E56114"/>
    <w:rsid w:val="00E61967"/>
    <w:rsid w:val="00E66A1A"/>
    <w:rsid w:val="00E7260F"/>
    <w:rsid w:val="00E87921"/>
    <w:rsid w:val="00E903CF"/>
    <w:rsid w:val="00E96630"/>
    <w:rsid w:val="00EA264E"/>
    <w:rsid w:val="00ED7A2A"/>
    <w:rsid w:val="00EE20B2"/>
    <w:rsid w:val="00EF1D7F"/>
    <w:rsid w:val="00F033C8"/>
    <w:rsid w:val="00F10CCD"/>
    <w:rsid w:val="00F16F22"/>
    <w:rsid w:val="00F4068E"/>
    <w:rsid w:val="00F43682"/>
    <w:rsid w:val="00F53544"/>
    <w:rsid w:val="00F53EDA"/>
    <w:rsid w:val="00F7753D"/>
    <w:rsid w:val="00F830AD"/>
    <w:rsid w:val="00F842C1"/>
    <w:rsid w:val="00F85F34"/>
    <w:rsid w:val="00F938F6"/>
    <w:rsid w:val="00FA06F7"/>
    <w:rsid w:val="00FA6BA2"/>
    <w:rsid w:val="00FB0AC7"/>
    <w:rsid w:val="00FB171A"/>
    <w:rsid w:val="00FC68B7"/>
    <w:rsid w:val="00FC715F"/>
    <w:rsid w:val="00FD7BF6"/>
    <w:rsid w:val="00FF2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5C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0A07EB"/>
    <w:rPr>
      <w:b/>
      <w:sz w:val="24"/>
      <w:lang w:eastAsia="en-US"/>
    </w:rPr>
  </w:style>
  <w:style w:type="paragraph" w:styleId="ListParagraph">
    <w:name w:val="List Paragraph"/>
    <w:basedOn w:val="Normal"/>
    <w:uiPriority w:val="34"/>
    <w:qFormat/>
    <w:rsid w:val="00100D07"/>
    <w:pPr>
      <w:ind w:left="720"/>
      <w:contextualSpacing/>
    </w:pPr>
  </w:style>
  <w:style w:type="character" w:customStyle="1" w:styleId="SingleTxtGChar">
    <w:name w:val="_ Single Txt_G Char"/>
    <w:link w:val="SingleTxtG"/>
    <w:rsid w:val="001B20F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0A07EB"/>
    <w:rPr>
      <w:b/>
      <w:sz w:val="24"/>
      <w:lang w:eastAsia="en-US"/>
    </w:rPr>
  </w:style>
  <w:style w:type="paragraph" w:styleId="ListParagraph">
    <w:name w:val="List Paragraph"/>
    <w:basedOn w:val="Normal"/>
    <w:uiPriority w:val="34"/>
    <w:qFormat/>
    <w:rsid w:val="00100D07"/>
    <w:pPr>
      <w:ind w:left="720"/>
      <w:contextualSpacing/>
    </w:pPr>
  </w:style>
  <w:style w:type="character" w:customStyle="1" w:styleId="SingleTxtGChar">
    <w:name w:val="_ Single Txt_G Char"/>
    <w:link w:val="SingleTxtG"/>
    <w:rsid w:val="001B20F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3648">
      <w:bodyDiv w:val="1"/>
      <w:marLeft w:val="0"/>
      <w:marRight w:val="0"/>
      <w:marTop w:val="0"/>
      <w:marBottom w:val="0"/>
      <w:divBdr>
        <w:top w:val="none" w:sz="0" w:space="0" w:color="auto"/>
        <w:left w:val="none" w:sz="0" w:space="0" w:color="auto"/>
        <w:bottom w:val="none" w:sz="0" w:space="0" w:color="auto"/>
        <w:right w:val="none" w:sz="0" w:space="0" w:color="auto"/>
      </w:divBdr>
    </w:div>
    <w:div w:id="221141905">
      <w:bodyDiv w:val="1"/>
      <w:marLeft w:val="0"/>
      <w:marRight w:val="0"/>
      <w:marTop w:val="0"/>
      <w:marBottom w:val="0"/>
      <w:divBdr>
        <w:top w:val="none" w:sz="0" w:space="0" w:color="auto"/>
        <w:left w:val="none" w:sz="0" w:space="0" w:color="auto"/>
        <w:bottom w:val="none" w:sz="0" w:space="0" w:color="auto"/>
        <w:right w:val="none" w:sz="0" w:space="0" w:color="auto"/>
      </w:divBdr>
    </w:div>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378552972">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 w:id="13309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90C5D-E347-4C53-9BED-6E125464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7</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2017-06-09T13:54:00Z</cp:lastPrinted>
  <dcterms:created xsi:type="dcterms:W3CDTF">2017-06-09T13:47:00Z</dcterms:created>
  <dcterms:modified xsi:type="dcterms:W3CDTF">2017-06-12T08:45:00Z</dcterms:modified>
</cp:coreProperties>
</file>