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6476E1">
        <w:trPr>
          <w:trHeight w:val="851"/>
        </w:trPr>
        <w:tc>
          <w:tcPr>
            <w:tcW w:w="1259" w:type="dxa"/>
            <w:tcBorders>
              <w:top w:val="nil"/>
              <w:left w:val="nil"/>
              <w:bottom w:val="single" w:sz="4" w:space="0" w:color="auto"/>
              <w:right w:val="nil"/>
            </w:tcBorders>
          </w:tcPr>
          <w:p w:rsidR="00E52109" w:rsidRPr="002A32CB" w:rsidRDefault="00E52109" w:rsidP="006476E1">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9C6AA9" w:rsidP="009C6AA9">
            <w:pPr>
              <w:suppressAutoHyphens w:val="0"/>
              <w:spacing w:after="20"/>
              <w:jc w:val="right"/>
            </w:pPr>
            <w:r w:rsidRPr="009C6AA9">
              <w:rPr>
                <w:sz w:val="40"/>
              </w:rPr>
              <w:t>ST</w:t>
            </w:r>
            <w:r>
              <w:t>/SG/AC.10/C.3/2017/6</w:t>
            </w:r>
          </w:p>
        </w:tc>
      </w:tr>
      <w:tr w:rsidR="00E52109" w:rsidTr="006476E1">
        <w:trPr>
          <w:trHeight w:val="2835"/>
        </w:trPr>
        <w:tc>
          <w:tcPr>
            <w:tcW w:w="1259" w:type="dxa"/>
            <w:tcBorders>
              <w:top w:val="single" w:sz="4" w:space="0" w:color="auto"/>
              <w:left w:val="nil"/>
              <w:bottom w:val="single" w:sz="12" w:space="0" w:color="auto"/>
              <w:right w:val="nil"/>
            </w:tcBorders>
          </w:tcPr>
          <w:p w:rsidR="00E52109" w:rsidRDefault="00E52109" w:rsidP="006476E1">
            <w:pPr>
              <w:spacing w:before="120"/>
              <w:jc w:val="center"/>
            </w:pPr>
            <w:r>
              <w:rPr>
                <w:noProof/>
                <w:lang w:eastAsia="en-GB"/>
              </w:rPr>
              <w:drawing>
                <wp:inline distT="0" distB="0" distL="0" distR="0" wp14:anchorId="2EE67DCB" wp14:editId="5B74AE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D94B05" w:rsidRDefault="009C6AA9" w:rsidP="009C6AA9">
            <w:pPr>
              <w:suppressAutoHyphens w:val="0"/>
              <w:spacing w:before="240" w:line="240" w:lineRule="exact"/>
            </w:pPr>
            <w:r>
              <w:t>Distr.: General</w:t>
            </w:r>
          </w:p>
          <w:p w:rsidR="009C6AA9" w:rsidRDefault="00B576A2" w:rsidP="009C6AA9">
            <w:pPr>
              <w:suppressAutoHyphens w:val="0"/>
            </w:pPr>
            <w:r>
              <w:t>28 March</w:t>
            </w:r>
            <w:r w:rsidR="009C6AA9">
              <w:t xml:space="preserve"> 2017</w:t>
            </w:r>
          </w:p>
          <w:p w:rsidR="009C6AA9" w:rsidRDefault="009C6AA9" w:rsidP="009C6AA9">
            <w:pPr>
              <w:suppressAutoHyphens w:val="0"/>
            </w:pPr>
            <w:r>
              <w:t>English</w:t>
            </w:r>
          </w:p>
          <w:p w:rsidR="009C6AA9" w:rsidRDefault="009C6AA9" w:rsidP="009C6AA9">
            <w:pPr>
              <w:suppressAutoHyphens w:val="0"/>
            </w:pPr>
            <w:r>
              <w:t>Original: French</w:t>
            </w:r>
          </w:p>
        </w:tc>
      </w:tr>
    </w:tbl>
    <w:p w:rsidR="009C6AA9" w:rsidRPr="00B576A2" w:rsidRDefault="009C6AA9" w:rsidP="009C6AA9">
      <w:pPr>
        <w:spacing w:before="120"/>
        <w:rPr>
          <w:b/>
          <w:sz w:val="24"/>
          <w:szCs w:val="24"/>
        </w:rPr>
      </w:pPr>
      <w:r w:rsidRPr="00B576A2">
        <w:rPr>
          <w:b/>
          <w:sz w:val="24"/>
          <w:szCs w:val="24"/>
        </w:rPr>
        <w:t>Committee of Experts on the Transport of Dangerous Goods</w:t>
      </w:r>
      <w:r w:rsidRPr="00B576A2">
        <w:rPr>
          <w:b/>
          <w:sz w:val="24"/>
          <w:szCs w:val="24"/>
        </w:rPr>
        <w:br/>
        <w:t>and on the Globally Harmonized System of Classification</w:t>
      </w:r>
      <w:r w:rsidRPr="00B576A2">
        <w:rPr>
          <w:b/>
          <w:sz w:val="24"/>
          <w:szCs w:val="24"/>
        </w:rPr>
        <w:br/>
        <w:t>and Labelling of Chemicals</w:t>
      </w:r>
    </w:p>
    <w:p w:rsidR="009C6AA9" w:rsidRPr="00B576A2" w:rsidRDefault="009C6AA9" w:rsidP="009C6AA9">
      <w:pPr>
        <w:spacing w:before="120"/>
        <w:rPr>
          <w:b/>
          <w:bCs/>
        </w:rPr>
      </w:pPr>
      <w:r w:rsidRPr="00B576A2">
        <w:rPr>
          <w:b/>
          <w:bCs/>
        </w:rPr>
        <w:t>Sub-Committee of Experts on the Transport of Dangerous Goods</w:t>
      </w:r>
    </w:p>
    <w:p w:rsidR="009C6AA9" w:rsidRPr="00B576A2" w:rsidRDefault="009C6AA9" w:rsidP="009C6AA9">
      <w:pPr>
        <w:spacing w:before="120"/>
      </w:pPr>
      <w:r w:rsidRPr="00B576A2">
        <w:rPr>
          <w:b/>
          <w:bCs/>
        </w:rPr>
        <w:t xml:space="preserve">Fifty-first </w:t>
      </w:r>
      <w:proofErr w:type="gramStart"/>
      <w:r w:rsidRPr="00B576A2">
        <w:rPr>
          <w:b/>
          <w:bCs/>
        </w:rPr>
        <w:t>session</w:t>
      </w:r>
      <w:proofErr w:type="gramEnd"/>
      <w:r w:rsidRPr="00B576A2">
        <w:rPr>
          <w:b/>
          <w:bCs/>
        </w:rPr>
        <w:br/>
      </w:r>
      <w:r w:rsidRPr="00B576A2">
        <w:t>Geneva, 3-7 July 2017</w:t>
      </w:r>
      <w:r w:rsidRPr="00B576A2">
        <w:br/>
        <w:t>Item 4 (c) of the provisional agenda</w:t>
      </w:r>
      <w:r w:rsidRPr="00B576A2">
        <w:br/>
      </w:r>
      <w:r w:rsidRPr="00B576A2">
        <w:rPr>
          <w:b/>
          <w:bCs/>
        </w:rPr>
        <w:t>Electric storage systems: Transport provisions</w:t>
      </w:r>
    </w:p>
    <w:p w:rsidR="00D223FD" w:rsidRPr="00B576A2" w:rsidRDefault="00D223FD" w:rsidP="00D223FD">
      <w:pPr>
        <w:pStyle w:val="HChG"/>
      </w:pPr>
      <w:r w:rsidRPr="00B576A2">
        <w:tab/>
      </w:r>
      <w:r w:rsidRPr="00B576A2">
        <w:tab/>
        <w:t>Exemption of batteries installed in vehicles under UN No. 3166</w:t>
      </w:r>
    </w:p>
    <w:p w:rsidR="00D223FD" w:rsidRPr="00B576A2" w:rsidRDefault="00D223FD" w:rsidP="00D223FD">
      <w:pPr>
        <w:pStyle w:val="HChG"/>
        <w:rPr>
          <w:b w:val="0"/>
          <w:bCs/>
          <w:sz w:val="20"/>
        </w:rPr>
      </w:pPr>
      <w:r w:rsidRPr="00B576A2">
        <w:tab/>
      </w:r>
      <w:r w:rsidRPr="00B576A2">
        <w:tab/>
        <w:t>Transmitted by the expert from Switzerland</w:t>
      </w:r>
      <w:r w:rsidRPr="00B576A2">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37"/>
      </w:tblGrid>
      <w:tr w:rsidR="00D223FD" w:rsidRPr="00B576A2" w:rsidTr="00D223FD">
        <w:trPr>
          <w:jc w:val="center"/>
        </w:trPr>
        <w:tc>
          <w:tcPr>
            <w:tcW w:w="9637" w:type="dxa"/>
            <w:tcBorders>
              <w:bottom w:val="nil"/>
            </w:tcBorders>
          </w:tcPr>
          <w:p w:rsidR="00D223FD" w:rsidRPr="00B576A2" w:rsidRDefault="00D223FD" w:rsidP="00D223FD">
            <w:pPr>
              <w:tabs>
                <w:tab w:val="left" w:pos="255"/>
              </w:tabs>
              <w:suppressAutoHyphens w:val="0"/>
              <w:spacing w:before="240" w:after="120"/>
              <w:rPr>
                <w:sz w:val="24"/>
                <w:lang w:val="en-GB"/>
              </w:rPr>
            </w:pPr>
            <w:r w:rsidRPr="00B576A2">
              <w:rPr>
                <w:lang w:val="en-GB"/>
              </w:rPr>
              <w:tab/>
            </w:r>
            <w:r w:rsidRPr="00B576A2">
              <w:rPr>
                <w:i/>
                <w:sz w:val="24"/>
                <w:lang w:val="en-GB"/>
              </w:rPr>
              <w:t>Summary</w:t>
            </w:r>
          </w:p>
        </w:tc>
      </w:tr>
      <w:tr w:rsidR="00D223FD" w:rsidRPr="00B576A2" w:rsidTr="00D223FD">
        <w:trPr>
          <w:jc w:val="center"/>
        </w:trPr>
        <w:tc>
          <w:tcPr>
            <w:tcW w:w="9637" w:type="dxa"/>
            <w:tcBorders>
              <w:top w:val="nil"/>
              <w:bottom w:val="nil"/>
            </w:tcBorders>
            <w:shd w:val="clear" w:color="auto" w:fill="auto"/>
          </w:tcPr>
          <w:p w:rsidR="00D223FD" w:rsidRPr="00B576A2" w:rsidRDefault="00D223FD" w:rsidP="00D223FD">
            <w:pPr>
              <w:pStyle w:val="SingleTxtG"/>
              <w:tabs>
                <w:tab w:val="left" w:pos="2278"/>
              </w:tabs>
              <w:ind w:hanging="851"/>
              <w:rPr>
                <w:lang w:val="en-GB"/>
              </w:rPr>
            </w:pPr>
            <w:r w:rsidRPr="00B576A2">
              <w:rPr>
                <w:b/>
                <w:bCs/>
                <w:lang w:val="en-GB"/>
              </w:rPr>
              <w:t>Executive summary</w:t>
            </w:r>
            <w:r w:rsidRPr="00B576A2">
              <w:rPr>
                <w:lang w:val="en-GB"/>
              </w:rPr>
              <w:t>:</w:t>
            </w:r>
            <w:r w:rsidRPr="00B576A2">
              <w:rPr>
                <w:lang w:val="en-GB"/>
              </w:rPr>
              <w:tab/>
              <w:t xml:space="preserve">The last sentence of SP 239 for batteries under UN No. 3292 should also </w:t>
            </w:r>
            <w:r w:rsidRPr="00B576A2">
              <w:rPr>
                <w:lang w:val="en-GB"/>
              </w:rPr>
              <w:tab/>
              <w:t xml:space="preserve">refer to UN No. 3166 in order to avoid a contradiction between the </w:t>
            </w:r>
            <w:r w:rsidRPr="00B576A2">
              <w:rPr>
                <w:lang w:val="en-GB"/>
              </w:rPr>
              <w:tab/>
              <w:t>penultimate paragraph of SP 388 relating to UN No. 3166, and SP 239</w:t>
            </w:r>
          </w:p>
        </w:tc>
      </w:tr>
      <w:tr w:rsidR="00D223FD" w:rsidRPr="00B576A2" w:rsidTr="00D223FD">
        <w:trPr>
          <w:jc w:val="center"/>
        </w:trPr>
        <w:tc>
          <w:tcPr>
            <w:tcW w:w="9637" w:type="dxa"/>
            <w:tcBorders>
              <w:top w:val="nil"/>
              <w:bottom w:val="nil"/>
            </w:tcBorders>
            <w:shd w:val="clear" w:color="auto" w:fill="auto"/>
          </w:tcPr>
          <w:p w:rsidR="00D223FD" w:rsidRPr="00B576A2" w:rsidRDefault="00D223FD" w:rsidP="00D223FD">
            <w:pPr>
              <w:pStyle w:val="SingleTxtG"/>
              <w:tabs>
                <w:tab w:val="left" w:pos="2278"/>
              </w:tabs>
              <w:ind w:hanging="851"/>
              <w:rPr>
                <w:lang w:val="en-GB"/>
              </w:rPr>
            </w:pPr>
            <w:r w:rsidRPr="00B576A2">
              <w:rPr>
                <w:b/>
                <w:bCs/>
                <w:lang w:val="en-GB"/>
              </w:rPr>
              <w:t>Action to be taken</w:t>
            </w:r>
            <w:r w:rsidRPr="00B576A2">
              <w:rPr>
                <w:lang w:val="en-GB"/>
              </w:rPr>
              <w:t>:</w:t>
            </w:r>
            <w:r w:rsidRPr="00B576A2">
              <w:rPr>
                <w:lang w:val="en-GB"/>
              </w:rPr>
              <w:tab/>
              <w:t xml:space="preserve">Add </w:t>
            </w:r>
            <w:r w:rsidR="00B576A2">
              <w:rPr>
                <w:lang w:val="en-GB"/>
              </w:rPr>
              <w:t>“</w:t>
            </w:r>
            <w:r w:rsidRPr="00B576A2">
              <w:rPr>
                <w:lang w:val="en-GB"/>
              </w:rPr>
              <w:t>and 3166</w:t>
            </w:r>
            <w:r w:rsidR="00B576A2">
              <w:rPr>
                <w:lang w:val="en-GB"/>
              </w:rPr>
              <w:t>”</w:t>
            </w:r>
            <w:r w:rsidRPr="00B576A2">
              <w:rPr>
                <w:lang w:val="en-GB"/>
              </w:rPr>
              <w:t xml:space="preserve"> after </w:t>
            </w:r>
            <w:r w:rsidR="00B576A2">
              <w:rPr>
                <w:lang w:val="en-GB"/>
              </w:rPr>
              <w:t>“</w:t>
            </w:r>
            <w:r w:rsidRPr="00B576A2">
              <w:rPr>
                <w:lang w:val="en-GB"/>
              </w:rPr>
              <w:t>3171</w:t>
            </w:r>
            <w:r w:rsidR="00B576A2">
              <w:rPr>
                <w:lang w:val="en-GB"/>
              </w:rPr>
              <w:t>”</w:t>
            </w:r>
            <w:r w:rsidRPr="00B576A2">
              <w:rPr>
                <w:lang w:val="en-GB"/>
              </w:rPr>
              <w:t xml:space="preserve"> in the brackets in the last sentence of special </w:t>
            </w:r>
            <w:r w:rsidRPr="00B576A2">
              <w:rPr>
                <w:lang w:val="en-GB"/>
              </w:rPr>
              <w:tab/>
              <w:t>provision 239.</w:t>
            </w:r>
          </w:p>
        </w:tc>
      </w:tr>
      <w:tr w:rsidR="00D223FD" w:rsidRPr="00B576A2" w:rsidTr="00D223FD">
        <w:trPr>
          <w:jc w:val="center"/>
        </w:trPr>
        <w:tc>
          <w:tcPr>
            <w:tcW w:w="9637" w:type="dxa"/>
            <w:tcBorders>
              <w:top w:val="nil"/>
              <w:bottom w:val="nil"/>
            </w:tcBorders>
            <w:shd w:val="clear" w:color="auto" w:fill="auto"/>
          </w:tcPr>
          <w:p w:rsidR="00D223FD" w:rsidRPr="00B576A2" w:rsidRDefault="00D223FD" w:rsidP="00D223FD">
            <w:pPr>
              <w:pStyle w:val="SingleTxtG"/>
              <w:tabs>
                <w:tab w:val="left" w:pos="2278"/>
              </w:tabs>
              <w:ind w:hanging="851"/>
              <w:rPr>
                <w:lang w:val="en-GB"/>
              </w:rPr>
            </w:pPr>
            <w:r w:rsidRPr="00B576A2">
              <w:rPr>
                <w:b/>
                <w:bCs/>
                <w:lang w:val="en-GB"/>
              </w:rPr>
              <w:t>Reference documents</w:t>
            </w:r>
            <w:r w:rsidRPr="00B576A2">
              <w:rPr>
                <w:lang w:val="en-GB"/>
              </w:rPr>
              <w:t>:</w:t>
            </w:r>
            <w:r w:rsidRPr="00B576A2">
              <w:rPr>
                <w:lang w:val="en-GB"/>
              </w:rPr>
              <w:tab/>
              <w:t>ST/SG/AC.10/44/Add.1.</w:t>
            </w:r>
          </w:p>
        </w:tc>
      </w:tr>
      <w:tr w:rsidR="00D223FD" w:rsidRPr="00B576A2" w:rsidTr="00D223FD">
        <w:trPr>
          <w:jc w:val="center"/>
        </w:trPr>
        <w:tc>
          <w:tcPr>
            <w:tcW w:w="9637" w:type="dxa"/>
            <w:tcBorders>
              <w:top w:val="nil"/>
            </w:tcBorders>
          </w:tcPr>
          <w:p w:rsidR="00D223FD" w:rsidRPr="00B576A2" w:rsidRDefault="00D223FD" w:rsidP="00D223FD">
            <w:pPr>
              <w:suppressAutoHyphens w:val="0"/>
              <w:rPr>
                <w:lang w:val="en-GB"/>
              </w:rPr>
            </w:pPr>
          </w:p>
        </w:tc>
      </w:tr>
    </w:tbl>
    <w:p w:rsidR="00D223FD" w:rsidRPr="00B576A2" w:rsidRDefault="00D223FD" w:rsidP="00D223FD">
      <w:pPr>
        <w:pStyle w:val="HChG"/>
      </w:pPr>
      <w:r w:rsidRPr="00B576A2">
        <w:tab/>
      </w:r>
      <w:r w:rsidRPr="00B576A2">
        <w:tab/>
        <w:t>Introduction</w:t>
      </w:r>
    </w:p>
    <w:p w:rsidR="00D223FD" w:rsidRPr="00B576A2" w:rsidRDefault="00D223FD" w:rsidP="00D223FD">
      <w:pPr>
        <w:pStyle w:val="SingleTxtG"/>
      </w:pPr>
      <w:r w:rsidRPr="00B576A2">
        <w:t>1.</w:t>
      </w:r>
      <w:r w:rsidRPr="00B576A2">
        <w:tab/>
        <w:t xml:space="preserve">Special provision 388 was assigned to entries under UN Nos. 3166 and 3171 (see ST/SG/AC.10/44/Add.1). The penultimate paragraph of SP 388 exempts cells and batteries necessary to the performance or the safety of the vehicle from the Regulations. The last sentence of special provision 239, which is assigned to the entries under UN No. 3292 BATTERIES, CONTAINING SODIUM, or CELLS, CONTAINING SODIUM, exempts batteries installed in vehicles. </w:t>
      </w:r>
      <w:proofErr w:type="gramStart"/>
      <w:r w:rsidRPr="00B576A2">
        <w:t>However only UN No. 3171 appears in the brackets.</w:t>
      </w:r>
      <w:proofErr w:type="gramEnd"/>
      <w:r w:rsidRPr="00B576A2">
        <w:t xml:space="preserve"> Given that SP 388 also applies to UN No. 3166, in order to avoid any contradiction, for UN No. </w:t>
      </w:r>
      <w:r w:rsidRPr="00B576A2">
        <w:lastRenderedPageBreak/>
        <w:t>3166, between the penultimate paragraph of SP 239 and SP 388, the last sentence of SP 239 should also refer to UN No. 3166.</w:t>
      </w:r>
    </w:p>
    <w:p w:rsidR="00D223FD" w:rsidRPr="00B576A2" w:rsidRDefault="00D223FD" w:rsidP="00D223FD">
      <w:pPr>
        <w:pStyle w:val="HChG"/>
      </w:pPr>
      <w:r w:rsidRPr="00B576A2">
        <w:tab/>
      </w:r>
      <w:r w:rsidRPr="00B576A2">
        <w:tab/>
        <w:t>Proposal</w:t>
      </w:r>
    </w:p>
    <w:p w:rsidR="00D223FD" w:rsidRPr="00B576A2" w:rsidRDefault="00D223FD" w:rsidP="00D223FD">
      <w:pPr>
        <w:pStyle w:val="SingleTxtG"/>
      </w:pPr>
      <w:r w:rsidRPr="00B576A2">
        <w:t>2.</w:t>
      </w:r>
      <w:r w:rsidRPr="00B576A2">
        <w:tab/>
        <w:t>Amend the last sentence of special provision 239 as follows (added text underlined in bold):</w:t>
      </w:r>
    </w:p>
    <w:p w:rsidR="00D223FD" w:rsidRPr="00B576A2" w:rsidRDefault="00B576A2" w:rsidP="00D223FD">
      <w:pPr>
        <w:pStyle w:val="SingleTxtG"/>
        <w:ind w:left="1701"/>
      </w:pPr>
      <w:r>
        <w:t>“</w:t>
      </w:r>
      <w:r w:rsidR="00D223FD" w:rsidRPr="00B576A2">
        <w:t xml:space="preserve">Except for air transport, batteries installed in vehicles (UN Nos. 3171 </w:t>
      </w:r>
      <w:r w:rsidR="00D223FD" w:rsidRPr="00B576A2">
        <w:rPr>
          <w:b/>
          <w:bCs/>
          <w:u w:val="single"/>
        </w:rPr>
        <w:t>and 3166</w:t>
      </w:r>
      <w:r w:rsidR="00D223FD" w:rsidRPr="00B576A2">
        <w:t>) are not subject to these Regulations.</w:t>
      </w:r>
      <w:r>
        <w:t>”</w:t>
      </w:r>
    </w:p>
    <w:p w:rsidR="00D223FD" w:rsidRPr="00B576A2" w:rsidRDefault="00D223FD">
      <w:pPr>
        <w:spacing w:before="240"/>
        <w:jc w:val="center"/>
        <w:rPr>
          <w:u w:val="single"/>
        </w:rPr>
      </w:pPr>
      <w:r w:rsidRPr="00B576A2">
        <w:rPr>
          <w:u w:val="single"/>
        </w:rPr>
        <w:tab/>
      </w:r>
      <w:r w:rsidRPr="00B576A2">
        <w:rPr>
          <w:u w:val="single"/>
        </w:rPr>
        <w:tab/>
      </w:r>
      <w:r w:rsidRPr="00B576A2">
        <w:rPr>
          <w:u w:val="single"/>
        </w:rPr>
        <w:tab/>
      </w:r>
    </w:p>
    <w:sectPr w:rsidR="00D223FD" w:rsidRPr="00B576A2" w:rsidSect="009C6AA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AE" w:rsidRPr="00C47B2E" w:rsidRDefault="009274AE" w:rsidP="00C47B2E">
      <w:pPr>
        <w:pStyle w:val="Footer"/>
      </w:pPr>
    </w:p>
  </w:endnote>
  <w:endnote w:type="continuationSeparator" w:id="0">
    <w:p w:rsidR="009274AE" w:rsidRPr="00C47B2E" w:rsidRDefault="009274AE" w:rsidP="00C47B2E">
      <w:pPr>
        <w:pStyle w:val="Footer"/>
      </w:pPr>
    </w:p>
  </w:endnote>
  <w:endnote w:type="continuationNotice" w:id="1">
    <w:p w:rsidR="009274AE" w:rsidRPr="00C47B2E" w:rsidRDefault="009274A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D94B05" w:rsidRDefault="009C6AA9" w:rsidP="00B576A2">
    <w:pPr>
      <w:pStyle w:val="Footer"/>
      <w:tabs>
        <w:tab w:val="right" w:pos="9598"/>
      </w:tabs>
    </w:pPr>
    <w:r w:rsidRPr="009C6AA9">
      <w:rPr>
        <w:sz w:val="18"/>
      </w:rPr>
      <w:fldChar w:fldCharType="begin"/>
    </w:r>
    <w:r w:rsidRPr="009C6AA9">
      <w:rPr>
        <w:sz w:val="18"/>
      </w:rPr>
      <w:instrText xml:space="preserve"> PAGE  \* MERGEFORMAT </w:instrText>
    </w:r>
    <w:r w:rsidRPr="009C6AA9">
      <w:rPr>
        <w:sz w:val="18"/>
      </w:rPr>
      <w:fldChar w:fldCharType="separate"/>
    </w:r>
    <w:r w:rsidR="00541973">
      <w:rPr>
        <w:noProof/>
        <w:sz w:val="18"/>
      </w:rPr>
      <w:t>2</w:t>
    </w:r>
    <w:r w:rsidRPr="009C6AA9">
      <w:rPr>
        <w:sz w:val="18"/>
      </w:rPr>
      <w:fldChar w:fldCharType="end"/>
    </w:r>
    <w:r>
      <w:rPr>
        <w:b/>
        <w:sz w:val="18"/>
      </w:rPr>
      <w:tab/>
    </w:r>
    <w:r>
      <w:rPr>
        <w:b/>
      </w:rPr>
      <w:t>GE.17-04928</w:t>
    </w:r>
    <w:r w:rsidR="00D94B05" w:rsidRPr="00D94B05">
      <w:rPr>
        <w:b/>
        <w:sz w:val="18"/>
      </w:rPr>
      <w:fldChar w:fldCharType="begin"/>
    </w:r>
    <w:r w:rsidR="00D94B05" w:rsidRPr="00D94B05">
      <w:rPr>
        <w:b/>
        <w:sz w:val="18"/>
      </w:rPr>
      <w:instrText xml:space="preserve"> PAGE  \* MERGEFORMAT </w:instrText>
    </w:r>
    <w:r w:rsidR="00D94B05" w:rsidRPr="00D94B05">
      <w:rPr>
        <w:b/>
        <w:sz w:val="18"/>
      </w:rPr>
      <w:fldChar w:fldCharType="separate"/>
    </w:r>
    <w:r w:rsidR="00541973">
      <w:rPr>
        <w:b/>
        <w:noProof/>
        <w:sz w:val="18"/>
      </w:rPr>
      <w:t>2</w:t>
    </w:r>
    <w:r w:rsidR="00D94B05" w:rsidRPr="00D94B0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9C6AA9" w:rsidRDefault="009C6AA9" w:rsidP="00D94B05">
    <w:pPr>
      <w:pStyle w:val="Footer"/>
      <w:tabs>
        <w:tab w:val="right" w:pos="9598"/>
      </w:tabs>
      <w:rPr>
        <w:sz w:val="18"/>
      </w:rPr>
    </w:pPr>
    <w:r>
      <w:t>GE.17-04928</w:t>
    </w:r>
    <w:r w:rsidR="00D94B05">
      <w:t>GE.16-05296</w:t>
    </w:r>
    <w:r w:rsidR="00D94B05">
      <w:tab/>
    </w:r>
    <w:r w:rsidR="00D94B05" w:rsidRPr="00D94B05">
      <w:rPr>
        <w:b/>
        <w:sz w:val="18"/>
      </w:rPr>
      <w:fldChar w:fldCharType="begin"/>
    </w:r>
    <w:r w:rsidR="00D94B05" w:rsidRPr="00D94B05">
      <w:rPr>
        <w:b/>
        <w:sz w:val="18"/>
      </w:rPr>
      <w:instrText xml:space="preserve"> PAGE  \* MERGEFORMAT </w:instrText>
    </w:r>
    <w:r w:rsidR="00D94B05" w:rsidRPr="00D94B05">
      <w:rPr>
        <w:b/>
        <w:sz w:val="18"/>
      </w:rPr>
      <w:fldChar w:fldCharType="separate"/>
    </w:r>
    <w:r>
      <w:rPr>
        <w:b/>
        <w:noProof/>
        <w:sz w:val="18"/>
      </w:rPr>
      <w:t>3</w:t>
    </w:r>
    <w:r w:rsidR="00D94B05" w:rsidRPr="00D94B05">
      <w:rPr>
        <w:b/>
        <w:sz w:val="18"/>
      </w:rPr>
      <w:fldChar w:fldCharType="end"/>
    </w:r>
    <w:r>
      <w:rPr>
        <w:b/>
        <w:sz w:val="18"/>
      </w:rPr>
      <w:tab/>
    </w:r>
    <w:r w:rsidRPr="009C6AA9">
      <w:rPr>
        <w:sz w:val="18"/>
      </w:rPr>
      <w:fldChar w:fldCharType="begin"/>
    </w:r>
    <w:r w:rsidRPr="009C6AA9">
      <w:rPr>
        <w:sz w:val="18"/>
      </w:rPr>
      <w:instrText xml:space="preserve"> PAGE  \* MERGEFORMAT </w:instrText>
    </w:r>
    <w:r w:rsidRPr="009C6AA9">
      <w:rPr>
        <w:sz w:val="18"/>
      </w:rPr>
      <w:fldChar w:fldCharType="separate"/>
    </w:r>
    <w:r>
      <w:rPr>
        <w:noProof/>
        <w:sz w:val="18"/>
      </w:rPr>
      <w:t>3</w:t>
    </w:r>
    <w:r w:rsidRPr="009C6AA9">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Default="00E52109" w:rsidP="00764440">
    <w:pPr>
      <w:pStyle w:val="Footer"/>
      <w:rPr>
        <w:rFonts w:asciiTheme="majorBidi" w:hAnsiTheme="majorBidi" w:cstheme="majorBidi"/>
        <w:sz w:val="20"/>
      </w:rPr>
    </w:pPr>
    <w:r>
      <w:rPr>
        <w:noProof/>
        <w:lang w:eastAsia="en-GB"/>
      </w:rPr>
      <w:drawing>
        <wp:anchor distT="0" distB="0" distL="114300" distR="114300" simplePos="0" relativeHeight="251659264" behindDoc="0" locked="1" layoutInCell="1" allowOverlap="1" wp14:anchorId="6E033DD3" wp14:editId="0D67A88A">
          <wp:simplePos x="0" y="0"/>
          <wp:positionH relativeFrom="margin">
            <wp:posOffset>4319905</wp:posOffset>
          </wp:positionH>
          <wp:positionV relativeFrom="margin">
            <wp:posOffset>9144000</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AA9" w:rsidRDefault="009C6AA9" w:rsidP="009C6AA9">
    <w:pPr>
      <w:pStyle w:val="Footer"/>
      <w:rPr>
        <w:rFonts w:asciiTheme="majorBidi" w:hAnsiTheme="majorBidi" w:cstheme="majorBidi"/>
        <w:sz w:val="20"/>
      </w:rPr>
    </w:pPr>
    <w:r>
      <w:rPr>
        <w:rFonts w:asciiTheme="majorBidi" w:hAnsiTheme="majorBidi" w:cstheme="majorBidi"/>
        <w:sz w:val="20"/>
      </w:rPr>
      <w:t>GE.17-</w:t>
    </w:r>
    <w:proofErr w:type="gramStart"/>
    <w:r>
      <w:rPr>
        <w:rFonts w:asciiTheme="majorBidi" w:hAnsiTheme="majorBidi" w:cstheme="majorBidi"/>
        <w:sz w:val="20"/>
      </w:rPr>
      <w:t>04928  (</w:t>
    </w:r>
    <w:proofErr w:type="gramEnd"/>
    <w:r>
      <w:rPr>
        <w:rFonts w:asciiTheme="majorBidi" w:hAnsiTheme="majorBidi" w:cstheme="majorBidi"/>
        <w:sz w:val="20"/>
      </w:rPr>
      <w:t>E)</w:t>
    </w:r>
    <w:r w:rsidR="00B576A2">
      <w:rPr>
        <w:rFonts w:asciiTheme="majorBidi" w:hAnsiTheme="majorBidi" w:cstheme="majorBidi"/>
        <w:sz w:val="20"/>
      </w:rPr>
      <w:t xml:space="preserve">    310317    030417</w:t>
    </w:r>
  </w:p>
  <w:p w:rsidR="009C6AA9" w:rsidRPr="009C6AA9" w:rsidRDefault="009C6AA9" w:rsidP="009C6AA9">
    <w:pPr>
      <w:pStyle w:val="Footer"/>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lang w:eastAsia="en-GB"/>
      </w:rPr>
      <w:drawing>
        <wp:anchor distT="0" distB="0" distL="114300" distR="114300" simplePos="0" relativeHeight="251660288" behindDoc="0" locked="0" layoutInCell="1" allowOverlap="1" wp14:anchorId="5CB9645D" wp14:editId="4F4C2065">
          <wp:simplePos x="0" y="0"/>
          <wp:positionH relativeFrom="margin">
            <wp:posOffset>5489575</wp:posOffset>
          </wp:positionH>
          <wp:positionV relativeFrom="margin">
            <wp:posOffset>8891905</wp:posOffset>
          </wp:positionV>
          <wp:extent cx="636104" cy="636104"/>
          <wp:effectExtent l="0" t="0" r="0" b="0"/>
          <wp:wrapNone/>
          <wp:docPr id="3" name="Picture 1" descr="http://undocs.org/m2/QRCode.ashx?DS=ST/SG/AC.10/C.3/2017/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7/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AE" w:rsidRPr="00C47B2E" w:rsidRDefault="009274AE" w:rsidP="00C47B2E">
      <w:pPr>
        <w:tabs>
          <w:tab w:val="right" w:pos="2155"/>
        </w:tabs>
        <w:spacing w:after="80" w:line="240" w:lineRule="auto"/>
        <w:ind w:left="680"/>
      </w:pPr>
      <w:r>
        <w:rPr>
          <w:u w:val="single"/>
        </w:rPr>
        <w:tab/>
      </w:r>
    </w:p>
  </w:footnote>
  <w:footnote w:type="continuationSeparator" w:id="0">
    <w:p w:rsidR="009274AE" w:rsidRPr="00C47B2E" w:rsidRDefault="009274AE" w:rsidP="005E716E">
      <w:pPr>
        <w:tabs>
          <w:tab w:val="right" w:pos="2155"/>
        </w:tabs>
        <w:spacing w:after="80" w:line="240" w:lineRule="auto"/>
        <w:ind w:left="680"/>
      </w:pPr>
      <w:r>
        <w:rPr>
          <w:u w:val="single"/>
        </w:rPr>
        <w:tab/>
      </w:r>
    </w:p>
  </w:footnote>
  <w:footnote w:type="continuationNotice" w:id="1">
    <w:p w:rsidR="009274AE" w:rsidRPr="00C47B2E" w:rsidRDefault="009274AE" w:rsidP="00C47B2E">
      <w:pPr>
        <w:pStyle w:val="Footer"/>
      </w:pPr>
    </w:p>
  </w:footnote>
  <w:footnote w:id="2">
    <w:p w:rsidR="00D223FD" w:rsidRPr="00D223FD" w:rsidRDefault="00D223FD" w:rsidP="00A41DDA">
      <w:pPr>
        <w:pStyle w:val="FootnoteText"/>
      </w:pPr>
      <w:r>
        <w:rPr>
          <w:rStyle w:val="FootnoteReference"/>
        </w:rPr>
        <w:tab/>
      </w:r>
      <w:r w:rsidRPr="00D223FD">
        <w:rPr>
          <w:rStyle w:val="FootnoteReference"/>
          <w:sz w:val="20"/>
          <w:vertAlign w:val="baseline"/>
        </w:rPr>
        <w:t>*</w:t>
      </w:r>
      <w:r>
        <w:rPr>
          <w:rStyle w:val="FootnoteReference"/>
          <w:sz w:val="20"/>
          <w:vertAlign w:val="baseline"/>
        </w:rPr>
        <w:tab/>
      </w:r>
      <w:r>
        <w:t>In accordance with the programme of work of the Sub-Committee for the biennium 2017</w:t>
      </w:r>
      <w:r w:rsidR="00A41DDA">
        <w:t>-</w:t>
      </w:r>
      <w:r>
        <w:t>2018 approved by the Committee at its eighth session (see ST/SG/AC.10/C.3/100, para</w:t>
      </w:r>
      <w:r w:rsidR="00A41DDA">
        <w:t>.</w:t>
      </w:r>
      <w:r>
        <w:t xml:space="preserve"> 98 and ST/SG/AC.10/44, para.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D94B05" w:rsidRDefault="009C6AA9" w:rsidP="009C6AA9">
    <w:pPr>
      <w:pStyle w:val="Header"/>
    </w:pPr>
    <w:r w:rsidRPr="009C6AA9">
      <w:t>ST/SG/AC.10/C.3/2017/6</w:t>
    </w:r>
    <w:r w:rsidR="00D94B05" w:rsidRPr="00D94B05">
      <w:t>ST/SG/AC.10/C.3/2016/14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D94B05" w:rsidRDefault="009C6AA9" w:rsidP="009C6AA9">
    <w:pPr>
      <w:pStyle w:val="Header"/>
      <w:jc w:val="right"/>
    </w:pPr>
    <w:r w:rsidRPr="009C6AA9">
      <w:t>ST/SG/AC.10/C.3/2017/6</w:t>
    </w:r>
    <w:r w:rsidR="00D94B05" w:rsidRPr="00D94B05">
      <w:t>ST/SG/AC.10/C.3/2016/14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6C4A17"/>
    <w:multiLevelType w:val="hybridMultilevel"/>
    <w:tmpl w:val="1954FCD6"/>
    <w:lvl w:ilvl="0" w:tplc="3D3469FA">
      <w:start w:val="1"/>
      <w:numFmt w:val="lowerRoman"/>
      <w:lvlText w:val="(%1)"/>
      <w:lvlJc w:val="left"/>
      <w:pPr>
        <w:tabs>
          <w:tab w:val="num" w:pos="1080"/>
        </w:tabs>
        <w:ind w:left="1080" w:hanging="720"/>
      </w:pPr>
      <w:rPr>
        <w:rFonts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2"/>
  </w:num>
  <w:num w:numId="8">
    <w:abstractNumId w:val="1"/>
  </w:num>
  <w:num w:numId="9">
    <w:abstractNumId w:val="8"/>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74AE"/>
    <w:rsid w:val="00046E92"/>
    <w:rsid w:val="00063C90"/>
    <w:rsid w:val="00101B98"/>
    <w:rsid w:val="00247E2C"/>
    <w:rsid w:val="002A32CB"/>
    <w:rsid w:val="002D6C53"/>
    <w:rsid w:val="002F5595"/>
    <w:rsid w:val="00334F6A"/>
    <w:rsid w:val="00342AC8"/>
    <w:rsid w:val="003979DE"/>
    <w:rsid w:val="003B4550"/>
    <w:rsid w:val="003D2A18"/>
    <w:rsid w:val="00461253"/>
    <w:rsid w:val="004A2814"/>
    <w:rsid w:val="004C0622"/>
    <w:rsid w:val="005042C2"/>
    <w:rsid w:val="00541973"/>
    <w:rsid w:val="00586B5C"/>
    <w:rsid w:val="005E716E"/>
    <w:rsid w:val="006476E1"/>
    <w:rsid w:val="006604DF"/>
    <w:rsid w:val="00671529"/>
    <w:rsid w:val="0070489D"/>
    <w:rsid w:val="007268F9"/>
    <w:rsid w:val="00764440"/>
    <w:rsid w:val="007C52B0"/>
    <w:rsid w:val="008147C8"/>
    <w:rsid w:val="0081753A"/>
    <w:rsid w:val="009274AE"/>
    <w:rsid w:val="009411B4"/>
    <w:rsid w:val="009C6AA9"/>
    <w:rsid w:val="009D0139"/>
    <w:rsid w:val="009D717D"/>
    <w:rsid w:val="009F5CDC"/>
    <w:rsid w:val="00A41DDA"/>
    <w:rsid w:val="00A775CF"/>
    <w:rsid w:val="00AD1A9C"/>
    <w:rsid w:val="00AF5DE1"/>
    <w:rsid w:val="00B06045"/>
    <w:rsid w:val="00B52EF4"/>
    <w:rsid w:val="00B576A2"/>
    <w:rsid w:val="00C03015"/>
    <w:rsid w:val="00C0358D"/>
    <w:rsid w:val="00C35A27"/>
    <w:rsid w:val="00C47B2E"/>
    <w:rsid w:val="00D223FD"/>
    <w:rsid w:val="00D63CD2"/>
    <w:rsid w:val="00D94B05"/>
    <w:rsid w:val="00E02C2B"/>
    <w:rsid w:val="00E21C27"/>
    <w:rsid w:val="00E52109"/>
    <w:rsid w:val="00E7531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57CA-977F-477B-B879-414FC8A5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1704928</vt:lpstr>
    </vt:vector>
  </TitlesOfParts>
  <Company>DCM</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1704928</dc:title>
  <dc:subject>ST/SG/AC.10/C.3/2017/6</dc:subject>
  <dc:creator>Giltsoff</dc:creator>
  <dc:description>Final</dc:description>
  <cp:lastModifiedBy>Laurence Berthet</cp:lastModifiedBy>
  <cp:revision>2</cp:revision>
  <cp:lastPrinted>2017-04-04T14:26:00Z</cp:lastPrinted>
  <dcterms:created xsi:type="dcterms:W3CDTF">2017-04-04T14:27:00Z</dcterms:created>
  <dcterms:modified xsi:type="dcterms:W3CDTF">2017-04-04T14:27:00Z</dcterms:modified>
</cp:coreProperties>
</file>