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E600A6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176658">
              <w:t>4</w:t>
            </w:r>
            <w:r w:rsidR="00E600A6">
              <w:t>2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8C64AA" w:rsidP="006D12B1">
            <w:pPr>
              <w:spacing w:line="240" w:lineRule="exact"/>
            </w:pPr>
            <w:r>
              <w:t>4 September</w:t>
            </w:r>
            <w:bookmarkStart w:id="0" w:name="_GoBack"/>
            <w:bookmarkEnd w:id="0"/>
            <w:r w:rsidR="00922550">
              <w:t xml:space="preserve">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332C07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176658">
            <w:pPr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>
              <w:rPr>
                <w:b/>
              </w:rPr>
              <w:t>ifty-</w:t>
            </w:r>
            <w:r w:rsidR="001410D2">
              <w:rPr>
                <w:b/>
              </w:rPr>
              <w:t>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76658">
              <w:t>27 November-</w:t>
            </w:r>
            <w:r w:rsidR="001410D2">
              <w:t>6</w:t>
            </w:r>
            <w:r>
              <w:t xml:space="preserve"> </w:t>
            </w:r>
            <w:r w:rsidR="001410D2">
              <w:t>December</w:t>
            </w:r>
            <w:r w:rsidRPr="00876878">
              <w:t xml:space="preserve"> 201</w:t>
            </w:r>
            <w:r>
              <w:t>7</w:t>
            </w:r>
          </w:p>
          <w:p w:rsidR="009B371C" w:rsidRPr="00876878" w:rsidRDefault="009B371C" w:rsidP="004E05DD">
            <w:pPr>
              <w:ind w:right="57"/>
            </w:pPr>
            <w:r w:rsidRPr="00876878">
              <w:t xml:space="preserve">Item </w:t>
            </w:r>
            <w:r w:rsidR="00E600A6">
              <w:t>3</w:t>
            </w:r>
            <w:r>
              <w:t xml:space="preserve"> </w:t>
            </w:r>
            <w:r w:rsidRPr="00876878">
              <w:t>of the provisional agenda</w:t>
            </w:r>
          </w:p>
          <w:p w:rsidR="009B371C" w:rsidRPr="00E600A6" w:rsidRDefault="00E600A6" w:rsidP="00176658">
            <w:pPr>
              <w:spacing w:after="120"/>
              <w:ind w:right="199"/>
              <w:rPr>
                <w:b/>
              </w:rPr>
            </w:pPr>
            <w:r w:rsidRPr="00E600A6">
              <w:rPr>
                <w:b/>
              </w:rPr>
              <w:t>Listing, classification and packing</w:t>
            </w:r>
          </w:p>
        </w:tc>
      </w:tr>
    </w:tbl>
    <w:p w:rsidR="00E600A6" w:rsidRPr="006F6375" w:rsidRDefault="00E600A6" w:rsidP="00E600A6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Assignment of packing groups to Class 6.2 infectious substances</w:t>
      </w:r>
    </w:p>
    <w:p w:rsidR="00E600A6" w:rsidRPr="006F6375" w:rsidRDefault="00E600A6" w:rsidP="00E600A6">
      <w:pPr>
        <w:pStyle w:val="H1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6F6375">
        <w:rPr>
          <w:lang w:val="en-CA"/>
        </w:rPr>
        <w:t>Transmitted by the expert from Canada</w:t>
      </w:r>
      <w:r>
        <w:rPr>
          <w:rStyle w:val="FootnoteReference"/>
          <w:lang w:val="en-CA"/>
        </w:rPr>
        <w:footnoteReference w:id="2"/>
      </w:r>
    </w:p>
    <w:p w:rsidR="00E600A6" w:rsidRDefault="00E600A6" w:rsidP="00E600A6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Objective</w:t>
      </w:r>
    </w:p>
    <w:p w:rsidR="00E600A6" w:rsidRDefault="00E600A6" w:rsidP="00E600A6">
      <w:pPr>
        <w:pStyle w:val="SingleTxtG"/>
        <w:rPr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  <w:t xml:space="preserve">To remove the packing group assigned to UN 3291 </w:t>
      </w:r>
      <w:r w:rsidRPr="009C3DD7">
        <w:rPr>
          <w:lang w:val="en-US"/>
        </w:rPr>
        <w:t>CLI</w:t>
      </w:r>
      <w:r>
        <w:rPr>
          <w:lang w:val="en-US"/>
        </w:rPr>
        <w:t>NICAL WASTE UNSPECIFIED, N.O.S. or</w:t>
      </w:r>
      <w:r w:rsidRPr="009C3DD7">
        <w:rPr>
          <w:lang w:val="en-US"/>
        </w:rPr>
        <w:t xml:space="preserve"> (BIO) MEDICAL WASTE, N.O.S. or REGULATED MEDICAL WASTE, N.O.S.</w:t>
      </w:r>
      <w:r>
        <w:rPr>
          <w:lang w:val="en-US"/>
        </w:rPr>
        <w:t xml:space="preserve"> </w:t>
      </w:r>
      <w:r>
        <w:rPr>
          <w:lang w:val="en-CA"/>
        </w:rPr>
        <w:t xml:space="preserve">in Table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of Chapter 3.2 (dangerous goods list) of the Model Regulation.  </w:t>
      </w:r>
    </w:p>
    <w:p w:rsidR="00E600A6" w:rsidRPr="00BB498B" w:rsidRDefault="00E600A6" w:rsidP="00E600A6">
      <w:pPr>
        <w:pStyle w:val="SingleTxtG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This correction is proposed to resolve the discrepancy between the general principle set out in section 2.0.1.3 and the dangerous goods list entry for UN 3291.</w:t>
      </w:r>
    </w:p>
    <w:p w:rsidR="00E600A6" w:rsidRPr="006F6375" w:rsidRDefault="00E600A6" w:rsidP="00E600A6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6F6375">
        <w:rPr>
          <w:lang w:val="en-CA"/>
        </w:rPr>
        <w:t>Introduction</w:t>
      </w:r>
    </w:p>
    <w:p w:rsidR="00E600A6" w:rsidRDefault="00E600A6" w:rsidP="00E600A6">
      <w:pPr>
        <w:pStyle w:val="SingleTxtG"/>
      </w:pPr>
      <w:r>
        <w:t>3.</w:t>
      </w:r>
      <w:r>
        <w:tab/>
        <w:t>Section</w:t>
      </w:r>
      <w:r w:rsidRPr="009C3DD7">
        <w:t xml:space="preserve"> 2.0.1.3 specifies that for packing purposes, </w:t>
      </w:r>
      <w:r>
        <w:t>substances of division 6.2 are not assigned to packing groups</w:t>
      </w:r>
      <w:r w:rsidRPr="009C3DD7">
        <w:t>.</w:t>
      </w:r>
      <w:r>
        <w:t xml:space="preserve"> However, a </w:t>
      </w:r>
      <w:r w:rsidRPr="009C3DD7">
        <w:t>review of the dangerous goods list shows that a packing grou</w:t>
      </w:r>
      <w:r>
        <w:t>p is assigned to UN 3291.</w:t>
      </w:r>
    </w:p>
    <w:p w:rsidR="00E600A6" w:rsidRPr="00BB498B" w:rsidRDefault="00E600A6" w:rsidP="00E600A6">
      <w:pPr>
        <w:pStyle w:val="SingleTxtG"/>
      </w:pPr>
      <w:r>
        <w:t>4.</w:t>
      </w:r>
      <w:r>
        <w:tab/>
        <w:t>That same section</w:t>
      </w:r>
      <w:r w:rsidRPr="005058CF">
        <w:t xml:space="preserve"> also specifies that </w:t>
      </w:r>
      <w:r>
        <w:t xml:space="preserve">when </w:t>
      </w:r>
      <w:r w:rsidRPr="005058CF">
        <w:t xml:space="preserve">a substance </w:t>
      </w:r>
      <w:r>
        <w:t xml:space="preserve">is </w:t>
      </w:r>
      <w:r w:rsidRPr="005058CF">
        <w:t xml:space="preserve">not assigned to a packing group, the assignation to a specific packaging performance level is set out in the applicable </w:t>
      </w:r>
      <w:r w:rsidRPr="00463CAC">
        <w:t>packing instruction</w:t>
      </w:r>
      <w:r w:rsidRPr="005058CF">
        <w:t>.  A review of packing inst</w:t>
      </w:r>
      <w:r>
        <w:t xml:space="preserve">ructions P621, IBC620 and LP621, the three packing instructions assigned to UN3291, </w:t>
      </w:r>
      <w:r w:rsidRPr="005058CF">
        <w:t>shows that the packaging performance</w:t>
      </w:r>
      <w:r>
        <w:t xml:space="preserve"> level II is already set out in the three packing instructions.</w:t>
      </w:r>
    </w:p>
    <w:p w:rsidR="00E600A6" w:rsidRPr="009C3DD7" w:rsidRDefault="00E600A6" w:rsidP="00E600A6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9C3DD7">
        <w:rPr>
          <w:lang w:val="en-US"/>
        </w:rPr>
        <w:t>Proposal</w:t>
      </w:r>
    </w:p>
    <w:p w:rsidR="00E600A6" w:rsidRDefault="00E600A6" w:rsidP="00E600A6">
      <w:pPr>
        <w:pStyle w:val="SingleTxtG"/>
      </w:pPr>
      <w:r>
        <w:t>5.</w:t>
      </w:r>
      <w:r>
        <w:tab/>
      </w:r>
      <w:r w:rsidRPr="00BB498B">
        <w:t xml:space="preserve">The expert from Canada recommends </w:t>
      </w:r>
      <w:proofErr w:type="gramStart"/>
      <w:r w:rsidRPr="00BB498B">
        <w:t xml:space="preserve">to </w:t>
      </w:r>
      <w:r>
        <w:t>amend</w:t>
      </w:r>
      <w:proofErr w:type="gramEnd"/>
      <w:r w:rsidRPr="00BB498B">
        <w:t xml:space="preserve"> the dangerous goods list </w:t>
      </w:r>
      <w:r>
        <w:t>to remove the packing group II associated with UN 3291 in column 5 as this information is already included in the three packing instructions associated with this UN number and is contrary to the principle set out in section 2.0.1.3.</w:t>
      </w:r>
    </w:p>
    <w:p w:rsidR="00E600A6" w:rsidRDefault="00E600A6" w:rsidP="00E600A6">
      <w:pPr>
        <w:pStyle w:val="SingleTxtG"/>
      </w:pPr>
      <w:r>
        <w:t>6.</w:t>
      </w:r>
      <w:r>
        <w:tab/>
        <w:t xml:space="preserve">This correction is fairly simple as no consequential amendment will be required since a </w:t>
      </w:r>
      <w:r w:rsidRPr="005058CF">
        <w:t>packaging performance</w:t>
      </w:r>
      <w:r>
        <w:t xml:space="preserve"> level II is already set out in packing instructions </w:t>
      </w:r>
      <w:r w:rsidRPr="005058CF">
        <w:t>P621, IBC620 and LP621</w:t>
      </w:r>
      <w:r>
        <w:t>.</w:t>
      </w:r>
    </w:p>
    <w:p w:rsidR="00E600A6" w:rsidRDefault="00E600A6" w:rsidP="00E600A6">
      <w:pPr>
        <w:pStyle w:val="SingleTxtG"/>
        <w:rPr>
          <w:lang w:val="en-US"/>
        </w:rPr>
      </w:pPr>
      <w:r>
        <w:rPr>
          <w:lang w:val="en-US"/>
        </w:rPr>
        <w:t xml:space="preserve">The following proposed amendment for UN 3291 will remove the inconsistency.  Deleted text is </w:t>
      </w:r>
      <w:r w:rsidRPr="00F46410">
        <w:rPr>
          <w:strike/>
          <w:lang w:val="en-US"/>
        </w:rPr>
        <w:t>strikethrough</w:t>
      </w:r>
      <w:r>
        <w:rPr>
          <w:lang w:val="en-US"/>
        </w:rPr>
        <w:t>:</w:t>
      </w:r>
    </w:p>
    <w:tbl>
      <w:tblPr>
        <w:tblW w:w="9836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7"/>
        <w:gridCol w:w="756"/>
        <w:gridCol w:w="966"/>
        <w:gridCol w:w="798"/>
        <w:gridCol w:w="729"/>
        <w:gridCol w:w="531"/>
        <w:gridCol w:w="509"/>
        <w:gridCol w:w="974"/>
        <w:gridCol w:w="938"/>
        <w:gridCol w:w="1036"/>
        <w:gridCol w:w="952"/>
      </w:tblGrid>
      <w:tr w:rsidR="000374EB" w:rsidRPr="000374EB" w:rsidTr="000374EB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UN No.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Name and description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Class or division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600A6" w:rsidRPr="000374EB" w:rsidRDefault="00E600A6" w:rsidP="000374E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Subsidiary hazard</w:t>
            </w:r>
          </w:p>
        </w:tc>
        <w:tc>
          <w:tcPr>
            <w:tcW w:w="79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UN packing group</w:t>
            </w:r>
          </w:p>
        </w:tc>
        <w:tc>
          <w:tcPr>
            <w:tcW w:w="72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 xml:space="preserve">Special </w:t>
            </w:r>
            <w:proofErr w:type="spellStart"/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provi-sions</w:t>
            </w:r>
            <w:proofErr w:type="spellEnd"/>
          </w:p>
        </w:tc>
        <w:tc>
          <w:tcPr>
            <w:tcW w:w="1040" w:type="dxa"/>
            <w:gridSpan w:val="2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Limited and excepted quantities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proofErr w:type="spellStart"/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Packagings</w:t>
            </w:r>
            <w:proofErr w:type="spellEnd"/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 xml:space="preserve"> and IBCs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Portable tanks and bulk containers</w:t>
            </w:r>
          </w:p>
        </w:tc>
      </w:tr>
      <w:tr w:rsidR="000374EB" w:rsidRPr="000374EB" w:rsidTr="000374E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79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72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974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Packing instruction</w:t>
            </w:r>
          </w:p>
        </w:tc>
        <w:tc>
          <w:tcPr>
            <w:tcW w:w="93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Special packing provisions</w:t>
            </w:r>
          </w:p>
        </w:tc>
        <w:tc>
          <w:tcPr>
            <w:tcW w:w="103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Instructions</w:t>
            </w:r>
          </w:p>
        </w:tc>
        <w:tc>
          <w:tcPr>
            <w:tcW w:w="952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b/>
                <w:color w:val="000000"/>
                <w:sz w:val="14"/>
                <w:szCs w:val="14"/>
                <w:lang w:val="en-CA"/>
              </w:rPr>
              <w:t>Special provisions</w:t>
            </w:r>
          </w:p>
        </w:tc>
      </w:tr>
      <w:tr w:rsidR="000374EB" w:rsidRPr="000374EB" w:rsidTr="000374EB">
        <w:trPr>
          <w:jc w:val="center"/>
        </w:trPr>
        <w:tc>
          <w:tcPr>
            <w:tcW w:w="540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(1)</w:t>
            </w:r>
          </w:p>
        </w:tc>
        <w:tc>
          <w:tcPr>
            <w:tcW w:w="1107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(2)</w:t>
            </w:r>
          </w:p>
        </w:tc>
        <w:tc>
          <w:tcPr>
            <w:tcW w:w="75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(3)</w:t>
            </w:r>
          </w:p>
        </w:tc>
        <w:tc>
          <w:tcPr>
            <w:tcW w:w="96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(4)</w:t>
            </w:r>
          </w:p>
        </w:tc>
        <w:tc>
          <w:tcPr>
            <w:tcW w:w="79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(5)</w:t>
            </w:r>
          </w:p>
        </w:tc>
        <w:tc>
          <w:tcPr>
            <w:tcW w:w="72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b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(6)</w:t>
            </w:r>
          </w:p>
        </w:tc>
        <w:tc>
          <w:tcPr>
            <w:tcW w:w="531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(7a)</w:t>
            </w:r>
          </w:p>
        </w:tc>
        <w:tc>
          <w:tcPr>
            <w:tcW w:w="50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(7b)</w:t>
            </w:r>
          </w:p>
        </w:tc>
        <w:tc>
          <w:tcPr>
            <w:tcW w:w="974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(8)</w:t>
            </w:r>
          </w:p>
        </w:tc>
        <w:tc>
          <w:tcPr>
            <w:tcW w:w="93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(9)</w:t>
            </w:r>
          </w:p>
        </w:tc>
        <w:tc>
          <w:tcPr>
            <w:tcW w:w="103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(10)</w:t>
            </w:r>
          </w:p>
        </w:tc>
        <w:tc>
          <w:tcPr>
            <w:tcW w:w="952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(11)</w:t>
            </w:r>
          </w:p>
        </w:tc>
      </w:tr>
      <w:tr w:rsidR="000374EB" w:rsidRPr="000374EB" w:rsidTr="000374EB">
        <w:trPr>
          <w:jc w:val="center"/>
        </w:trPr>
        <w:tc>
          <w:tcPr>
            <w:tcW w:w="540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3.1.2</w:t>
            </w:r>
          </w:p>
        </w:tc>
        <w:tc>
          <w:tcPr>
            <w:tcW w:w="75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2.0</w:t>
            </w:r>
          </w:p>
        </w:tc>
        <w:tc>
          <w:tcPr>
            <w:tcW w:w="96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2.0</w:t>
            </w:r>
          </w:p>
        </w:tc>
        <w:tc>
          <w:tcPr>
            <w:tcW w:w="79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2.0.1.3</w:t>
            </w:r>
          </w:p>
        </w:tc>
        <w:tc>
          <w:tcPr>
            <w:tcW w:w="72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3.3</w:t>
            </w:r>
          </w:p>
        </w:tc>
        <w:tc>
          <w:tcPr>
            <w:tcW w:w="531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3.4</w:t>
            </w:r>
          </w:p>
        </w:tc>
        <w:tc>
          <w:tcPr>
            <w:tcW w:w="50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3.5</w:t>
            </w:r>
          </w:p>
        </w:tc>
        <w:tc>
          <w:tcPr>
            <w:tcW w:w="974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4.1.4</w:t>
            </w:r>
          </w:p>
        </w:tc>
        <w:tc>
          <w:tcPr>
            <w:tcW w:w="93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4.1.4</w:t>
            </w:r>
          </w:p>
        </w:tc>
        <w:tc>
          <w:tcPr>
            <w:tcW w:w="103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4.2.5/4.3.2</w:t>
            </w:r>
          </w:p>
        </w:tc>
        <w:tc>
          <w:tcPr>
            <w:tcW w:w="952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4.2.5</w:t>
            </w:r>
          </w:p>
        </w:tc>
      </w:tr>
      <w:tr w:rsidR="000374EB" w:rsidRPr="000374EB" w:rsidTr="000374EB">
        <w:trPr>
          <w:jc w:val="center"/>
        </w:trPr>
        <w:tc>
          <w:tcPr>
            <w:tcW w:w="540" w:type="dxa"/>
            <w:shd w:val="clear" w:color="auto" w:fill="auto"/>
          </w:tcPr>
          <w:p w:rsidR="00E600A6" w:rsidRPr="000374EB" w:rsidRDefault="00E600A6" w:rsidP="008266CB">
            <w:pPr>
              <w:ind w:right="43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UN</w:t>
            </w:r>
            <w:r w:rsidR="000374EB" w:rsidRPr="000374EB">
              <w:rPr>
                <w:color w:val="000000"/>
                <w:sz w:val="14"/>
                <w:szCs w:val="14"/>
                <w:lang w:val="en-CA"/>
              </w:rPr>
              <w:br/>
            </w:r>
            <w:r w:rsidRPr="000374EB">
              <w:rPr>
                <w:color w:val="000000"/>
                <w:sz w:val="14"/>
                <w:szCs w:val="14"/>
                <w:lang w:val="en-CA"/>
              </w:rPr>
              <w:t>3291</w:t>
            </w:r>
          </w:p>
        </w:tc>
        <w:tc>
          <w:tcPr>
            <w:tcW w:w="1107" w:type="dxa"/>
            <w:shd w:val="clear" w:color="auto" w:fill="auto"/>
          </w:tcPr>
          <w:p w:rsidR="00E600A6" w:rsidRPr="000374EB" w:rsidRDefault="000374EB" w:rsidP="008266CB">
            <w:pPr>
              <w:ind w:right="43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CLINICAL WASTE, UNSPECFIED</w:t>
            </w:r>
            <w:r w:rsidR="00E600A6" w:rsidRPr="000374EB">
              <w:rPr>
                <w:color w:val="000000"/>
                <w:sz w:val="14"/>
                <w:szCs w:val="14"/>
                <w:lang w:val="en-CA"/>
              </w:rPr>
              <w:t>N.O.S. or</w:t>
            </w:r>
          </w:p>
          <w:p w:rsidR="00E600A6" w:rsidRPr="000374EB" w:rsidRDefault="0081461B" w:rsidP="008266CB">
            <w:pPr>
              <w:ind w:right="43"/>
              <w:rPr>
                <w:color w:val="000000"/>
                <w:sz w:val="14"/>
                <w:szCs w:val="14"/>
                <w:lang w:val="en-CA"/>
              </w:rPr>
            </w:pPr>
            <w:r>
              <w:rPr>
                <w:color w:val="000000"/>
                <w:sz w:val="14"/>
                <w:szCs w:val="14"/>
                <w:lang w:val="en-CA"/>
              </w:rPr>
              <w:t>(BIO) MEDICAL WAS</w:t>
            </w:r>
            <w:r w:rsidR="00E600A6" w:rsidRPr="000374EB">
              <w:rPr>
                <w:color w:val="000000"/>
                <w:sz w:val="14"/>
                <w:szCs w:val="14"/>
                <w:lang w:val="en-CA"/>
              </w:rPr>
              <w:t>TE, N.O.S.</w:t>
            </w:r>
          </w:p>
          <w:p w:rsidR="00E600A6" w:rsidRPr="000374EB" w:rsidRDefault="00E600A6" w:rsidP="008266CB">
            <w:pPr>
              <w:ind w:right="43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or REGULATED MEDICAL WASTE, N.O.S.</w:t>
            </w:r>
          </w:p>
        </w:tc>
        <w:tc>
          <w:tcPr>
            <w:tcW w:w="75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6.2</w:t>
            </w:r>
          </w:p>
        </w:tc>
        <w:tc>
          <w:tcPr>
            <w:tcW w:w="96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79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strike/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strike/>
                <w:color w:val="000000"/>
                <w:sz w:val="14"/>
                <w:szCs w:val="14"/>
                <w:lang w:val="en-CA"/>
              </w:rPr>
              <w:t>II</w:t>
            </w:r>
          </w:p>
        </w:tc>
        <w:tc>
          <w:tcPr>
            <w:tcW w:w="72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531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E0</w:t>
            </w:r>
          </w:p>
        </w:tc>
        <w:tc>
          <w:tcPr>
            <w:tcW w:w="974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P621</w:t>
            </w:r>
          </w:p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IBC620</w:t>
            </w:r>
          </w:p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LP621</w:t>
            </w:r>
          </w:p>
        </w:tc>
        <w:tc>
          <w:tcPr>
            <w:tcW w:w="938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</w:p>
        </w:tc>
        <w:tc>
          <w:tcPr>
            <w:tcW w:w="1036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  <w:r w:rsidRPr="000374EB">
              <w:rPr>
                <w:color w:val="000000"/>
                <w:sz w:val="14"/>
                <w:szCs w:val="14"/>
                <w:lang w:val="en-CA"/>
              </w:rPr>
              <w:t>BK2</w:t>
            </w:r>
          </w:p>
        </w:tc>
        <w:tc>
          <w:tcPr>
            <w:tcW w:w="952" w:type="dxa"/>
            <w:shd w:val="clear" w:color="auto" w:fill="auto"/>
          </w:tcPr>
          <w:p w:rsidR="00E600A6" w:rsidRPr="000374EB" w:rsidRDefault="00E600A6" w:rsidP="008266CB">
            <w:pPr>
              <w:ind w:right="43"/>
              <w:jc w:val="center"/>
              <w:rPr>
                <w:color w:val="000000"/>
                <w:sz w:val="14"/>
                <w:szCs w:val="14"/>
                <w:lang w:val="en-CA"/>
              </w:rPr>
            </w:pPr>
          </w:p>
        </w:tc>
      </w:tr>
    </w:tbl>
    <w:p w:rsidR="00E600A6" w:rsidRPr="00E600A6" w:rsidRDefault="00E600A6" w:rsidP="00E600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0A6" w:rsidRDefault="00E600A6" w:rsidP="00E600A6">
      <w:pPr>
        <w:pStyle w:val="SingleTxtG"/>
        <w:jc w:val="center"/>
      </w:pPr>
    </w:p>
    <w:p w:rsidR="00E600A6" w:rsidRPr="00EC0856" w:rsidRDefault="00E600A6" w:rsidP="00E600A6">
      <w:pPr>
        <w:pStyle w:val="SingleTxtG"/>
        <w:jc w:val="center"/>
      </w:pPr>
    </w:p>
    <w:sectPr w:rsidR="00E600A6" w:rsidRPr="00EC0856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46" w:rsidRDefault="001A7E46"/>
  </w:endnote>
  <w:endnote w:type="continuationSeparator" w:id="0">
    <w:p w:rsidR="001A7E46" w:rsidRDefault="001A7E46"/>
  </w:endnote>
  <w:endnote w:type="continuationNotice" w:id="1">
    <w:p w:rsidR="001A7E46" w:rsidRDefault="001A7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-24318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658" w:rsidRPr="00176658" w:rsidRDefault="00176658">
        <w:pPr>
          <w:pStyle w:val="Footer"/>
          <w:rPr>
            <w:szCs w:val="16"/>
          </w:rPr>
        </w:pPr>
        <w:r w:rsidRPr="00176658">
          <w:rPr>
            <w:szCs w:val="16"/>
          </w:rPr>
          <w:fldChar w:fldCharType="begin"/>
        </w:r>
        <w:r w:rsidRPr="00176658">
          <w:rPr>
            <w:szCs w:val="16"/>
          </w:rPr>
          <w:instrText xml:space="preserve"> PAGE   \* MERGEFORMAT </w:instrText>
        </w:r>
        <w:r w:rsidRPr="00176658">
          <w:rPr>
            <w:szCs w:val="16"/>
          </w:rPr>
          <w:fldChar w:fldCharType="separate"/>
        </w:r>
        <w:r w:rsidR="008C64AA">
          <w:rPr>
            <w:noProof/>
            <w:szCs w:val="16"/>
          </w:rPr>
          <w:t>2</w:t>
        </w:r>
        <w:r w:rsidRPr="00176658">
          <w:rPr>
            <w:noProof/>
            <w:szCs w:val="16"/>
          </w:rPr>
          <w:fldChar w:fldCharType="end"/>
        </w:r>
      </w:p>
    </w:sdtContent>
  </w:sdt>
  <w:p w:rsidR="00176658" w:rsidRDefault="00176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658" w:rsidRDefault="00176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658" w:rsidRDefault="00176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46" w:rsidRPr="000B175B" w:rsidRDefault="001A7E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E46" w:rsidRPr="00FC68B7" w:rsidRDefault="001A7E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7E46" w:rsidRDefault="001A7E46"/>
  </w:footnote>
  <w:footnote w:id="2">
    <w:p w:rsidR="00E600A6" w:rsidRPr="00E600A6" w:rsidRDefault="00E600A6" w:rsidP="00E600A6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58" w:rsidRPr="00176658" w:rsidRDefault="00E600A6">
    <w:pPr>
      <w:pStyle w:val="Header"/>
      <w:rPr>
        <w:lang w:val="fr-CH"/>
      </w:rPr>
    </w:pPr>
    <w:r>
      <w:rPr>
        <w:lang w:val="fr-CH"/>
      </w:rPr>
      <w:t>ST/SG/AC.10/C.3/2017/42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58" w:rsidRPr="00176658" w:rsidRDefault="00176658" w:rsidP="00176658">
    <w:pPr>
      <w:pStyle w:val="Header"/>
      <w:jc w:val="right"/>
      <w:rPr>
        <w:lang w:val="fr-CH"/>
      </w:rPr>
    </w:pPr>
    <w:r>
      <w:rPr>
        <w:lang w:val="fr-CH"/>
      </w:rPr>
      <w:t>ST/SG/AC.10/C.3/2017/41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58" w:rsidRDefault="00176658" w:rsidP="0017665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64CD"/>
    <w:multiLevelType w:val="hybridMultilevel"/>
    <w:tmpl w:val="A3F67CD8"/>
    <w:lvl w:ilvl="0" w:tplc="6B3C75F6">
      <w:start w:val="6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44B84"/>
    <w:multiLevelType w:val="hybridMultilevel"/>
    <w:tmpl w:val="81DC493A"/>
    <w:lvl w:ilvl="0" w:tplc="CE96D52A">
      <w:start w:val="1"/>
      <w:numFmt w:val="decimal"/>
      <w:pStyle w:val="UNPara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A0A6003"/>
    <w:multiLevelType w:val="hybridMultilevel"/>
    <w:tmpl w:val="787E20B6"/>
    <w:lvl w:ilvl="0" w:tplc="E4B2178E">
      <w:start w:val="2"/>
      <w:numFmt w:val="decimal"/>
      <w:lvlText w:val="%1."/>
      <w:lvlJc w:val="left"/>
      <w:pPr>
        <w:ind w:left="72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3038B"/>
    <w:multiLevelType w:val="hybridMultilevel"/>
    <w:tmpl w:val="1E2AAD48"/>
    <w:lvl w:ilvl="0" w:tplc="40845D06">
      <w:start w:val="2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320E72"/>
    <w:multiLevelType w:val="hybridMultilevel"/>
    <w:tmpl w:val="0EAE7490"/>
    <w:lvl w:ilvl="0" w:tplc="66CC37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431F3FE8"/>
    <w:multiLevelType w:val="hybridMultilevel"/>
    <w:tmpl w:val="6A4C7CB6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6EC50FF"/>
    <w:multiLevelType w:val="hybridMultilevel"/>
    <w:tmpl w:val="28CA5BEC"/>
    <w:lvl w:ilvl="0" w:tplc="89D42BA4">
      <w:start w:val="7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4B9351A"/>
    <w:multiLevelType w:val="hybridMultilevel"/>
    <w:tmpl w:val="D7C651A2"/>
    <w:lvl w:ilvl="0" w:tplc="8368B1BC">
      <w:start w:val="3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A4E1F"/>
    <w:multiLevelType w:val="hybridMultilevel"/>
    <w:tmpl w:val="9E42D622"/>
    <w:lvl w:ilvl="0" w:tplc="22046D3C">
      <w:start w:val="6"/>
      <w:numFmt w:val="decimal"/>
      <w:lvlText w:val="%1."/>
      <w:lvlJc w:val="left"/>
      <w:pPr>
        <w:ind w:left="72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3"/>
  </w:num>
  <w:num w:numId="14">
    <w:abstractNumId w:val="28"/>
  </w:num>
  <w:num w:numId="15">
    <w:abstractNumId w:val="32"/>
  </w:num>
  <w:num w:numId="16">
    <w:abstractNumId w:val="18"/>
  </w:num>
  <w:num w:numId="17">
    <w:abstractNumId w:val="21"/>
  </w:num>
  <w:num w:numId="18">
    <w:abstractNumId w:val="20"/>
  </w:num>
  <w:num w:numId="19">
    <w:abstractNumId w:val="30"/>
  </w:num>
  <w:num w:numId="20">
    <w:abstractNumId w:val="25"/>
  </w:num>
  <w:num w:numId="21">
    <w:abstractNumId w:val="19"/>
  </w:num>
  <w:num w:numId="22">
    <w:abstractNumId w:val="12"/>
  </w:num>
  <w:num w:numId="23">
    <w:abstractNumId w:val="29"/>
  </w:num>
  <w:num w:numId="24">
    <w:abstractNumId w:val="22"/>
  </w:num>
  <w:num w:numId="25">
    <w:abstractNumId w:val="11"/>
  </w:num>
  <w:num w:numId="26">
    <w:abstractNumId w:val="27"/>
  </w:num>
  <w:num w:numId="27">
    <w:abstractNumId w:val="14"/>
  </w:num>
  <w:num w:numId="28">
    <w:abstractNumId w:val="33"/>
  </w:num>
  <w:num w:numId="29">
    <w:abstractNumId w:val="23"/>
  </w:num>
  <w:num w:numId="30">
    <w:abstractNumId w:val="15"/>
  </w:num>
  <w:num w:numId="31">
    <w:abstractNumId w:val="31"/>
  </w:num>
  <w:num w:numId="32">
    <w:abstractNumId w:val="10"/>
  </w:num>
  <w:num w:numId="33">
    <w:abstractNumId w:val="24"/>
  </w:num>
  <w:num w:numId="3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15350"/>
    <w:rsid w:val="00023F08"/>
    <w:rsid w:val="0002663C"/>
    <w:rsid w:val="0003228B"/>
    <w:rsid w:val="00033D53"/>
    <w:rsid w:val="000374EB"/>
    <w:rsid w:val="00047D68"/>
    <w:rsid w:val="00047F82"/>
    <w:rsid w:val="000504CE"/>
    <w:rsid w:val="00050F6B"/>
    <w:rsid w:val="00072C8C"/>
    <w:rsid w:val="00081D7D"/>
    <w:rsid w:val="00083B73"/>
    <w:rsid w:val="00086DA9"/>
    <w:rsid w:val="00091419"/>
    <w:rsid w:val="0009150D"/>
    <w:rsid w:val="000931C0"/>
    <w:rsid w:val="000A254F"/>
    <w:rsid w:val="000A5147"/>
    <w:rsid w:val="000B04EF"/>
    <w:rsid w:val="000B175B"/>
    <w:rsid w:val="000B3A0F"/>
    <w:rsid w:val="000B6007"/>
    <w:rsid w:val="000B7FAC"/>
    <w:rsid w:val="000C1239"/>
    <w:rsid w:val="000C2086"/>
    <w:rsid w:val="000C6266"/>
    <w:rsid w:val="000D38D6"/>
    <w:rsid w:val="000D4983"/>
    <w:rsid w:val="000D58F6"/>
    <w:rsid w:val="000E0415"/>
    <w:rsid w:val="000F7AB3"/>
    <w:rsid w:val="00115234"/>
    <w:rsid w:val="00115C6E"/>
    <w:rsid w:val="00117787"/>
    <w:rsid w:val="001206C9"/>
    <w:rsid w:val="0012607E"/>
    <w:rsid w:val="00131D42"/>
    <w:rsid w:val="001410D2"/>
    <w:rsid w:val="001633FB"/>
    <w:rsid w:val="0016430C"/>
    <w:rsid w:val="00167786"/>
    <w:rsid w:val="00176658"/>
    <w:rsid w:val="00177478"/>
    <w:rsid w:val="00180B19"/>
    <w:rsid w:val="0019328C"/>
    <w:rsid w:val="001A537C"/>
    <w:rsid w:val="001A7E46"/>
    <w:rsid w:val="001B4B04"/>
    <w:rsid w:val="001C0631"/>
    <w:rsid w:val="001C6663"/>
    <w:rsid w:val="001C7526"/>
    <w:rsid w:val="001C7895"/>
    <w:rsid w:val="001D26DF"/>
    <w:rsid w:val="001D2FDC"/>
    <w:rsid w:val="001D31FD"/>
    <w:rsid w:val="001D4752"/>
    <w:rsid w:val="001D79DB"/>
    <w:rsid w:val="001E187E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46A1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E1E65"/>
    <w:rsid w:val="002E3E7B"/>
    <w:rsid w:val="002F1579"/>
    <w:rsid w:val="002F5DD6"/>
    <w:rsid w:val="0030379C"/>
    <w:rsid w:val="00306458"/>
    <w:rsid w:val="003107FA"/>
    <w:rsid w:val="003109A8"/>
    <w:rsid w:val="0032058E"/>
    <w:rsid w:val="003229D8"/>
    <w:rsid w:val="00331AD2"/>
    <w:rsid w:val="00332C07"/>
    <w:rsid w:val="00337633"/>
    <w:rsid w:val="00343A24"/>
    <w:rsid w:val="0034759C"/>
    <w:rsid w:val="003518D4"/>
    <w:rsid w:val="0036127B"/>
    <w:rsid w:val="00373BF8"/>
    <w:rsid w:val="003764A9"/>
    <w:rsid w:val="00376774"/>
    <w:rsid w:val="003770E6"/>
    <w:rsid w:val="0039277A"/>
    <w:rsid w:val="00397267"/>
    <w:rsid w:val="003972E0"/>
    <w:rsid w:val="003A0C75"/>
    <w:rsid w:val="003A25EB"/>
    <w:rsid w:val="003A2B0C"/>
    <w:rsid w:val="003A58B0"/>
    <w:rsid w:val="003B3726"/>
    <w:rsid w:val="003B5D30"/>
    <w:rsid w:val="003C24C1"/>
    <w:rsid w:val="003C2CC4"/>
    <w:rsid w:val="003C5AAE"/>
    <w:rsid w:val="003C6F33"/>
    <w:rsid w:val="003C7B41"/>
    <w:rsid w:val="003D4B23"/>
    <w:rsid w:val="003E211B"/>
    <w:rsid w:val="003E403E"/>
    <w:rsid w:val="003E5B28"/>
    <w:rsid w:val="0042233A"/>
    <w:rsid w:val="004325CB"/>
    <w:rsid w:val="00437F3F"/>
    <w:rsid w:val="00440D45"/>
    <w:rsid w:val="00442673"/>
    <w:rsid w:val="00442DF8"/>
    <w:rsid w:val="00446DE4"/>
    <w:rsid w:val="00454036"/>
    <w:rsid w:val="00464E54"/>
    <w:rsid w:val="00465AFB"/>
    <w:rsid w:val="00477705"/>
    <w:rsid w:val="00477D30"/>
    <w:rsid w:val="00482E6D"/>
    <w:rsid w:val="00483009"/>
    <w:rsid w:val="00485492"/>
    <w:rsid w:val="004B2C9D"/>
    <w:rsid w:val="004C1373"/>
    <w:rsid w:val="004C6FBA"/>
    <w:rsid w:val="004D56C3"/>
    <w:rsid w:val="004E05DD"/>
    <w:rsid w:val="004F0881"/>
    <w:rsid w:val="004F3384"/>
    <w:rsid w:val="004F44C4"/>
    <w:rsid w:val="004F4CB7"/>
    <w:rsid w:val="00526318"/>
    <w:rsid w:val="00527910"/>
    <w:rsid w:val="00534038"/>
    <w:rsid w:val="0054132A"/>
    <w:rsid w:val="005420F2"/>
    <w:rsid w:val="005500DD"/>
    <w:rsid w:val="005501BE"/>
    <w:rsid w:val="005569E8"/>
    <w:rsid w:val="00563498"/>
    <w:rsid w:val="005649C7"/>
    <w:rsid w:val="00566C4F"/>
    <w:rsid w:val="00575122"/>
    <w:rsid w:val="00590144"/>
    <w:rsid w:val="00590E9D"/>
    <w:rsid w:val="00591271"/>
    <w:rsid w:val="0059588D"/>
    <w:rsid w:val="005A7C8C"/>
    <w:rsid w:val="005B03C6"/>
    <w:rsid w:val="005B151F"/>
    <w:rsid w:val="005B3DB3"/>
    <w:rsid w:val="005B77F6"/>
    <w:rsid w:val="005C7602"/>
    <w:rsid w:val="005D5A03"/>
    <w:rsid w:val="005E40FE"/>
    <w:rsid w:val="005E5C0F"/>
    <w:rsid w:val="005F7326"/>
    <w:rsid w:val="00600B82"/>
    <w:rsid w:val="00611FC4"/>
    <w:rsid w:val="006176FB"/>
    <w:rsid w:val="00625E3D"/>
    <w:rsid w:val="00630C9C"/>
    <w:rsid w:val="00632868"/>
    <w:rsid w:val="0063369F"/>
    <w:rsid w:val="0063419C"/>
    <w:rsid w:val="00640B26"/>
    <w:rsid w:val="0064599F"/>
    <w:rsid w:val="006500BA"/>
    <w:rsid w:val="00652CE0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B2181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3652"/>
    <w:rsid w:val="00755330"/>
    <w:rsid w:val="00755888"/>
    <w:rsid w:val="00774DC9"/>
    <w:rsid w:val="00784DCB"/>
    <w:rsid w:val="00790791"/>
    <w:rsid w:val="0079329B"/>
    <w:rsid w:val="00796AE1"/>
    <w:rsid w:val="007A022A"/>
    <w:rsid w:val="007B08A0"/>
    <w:rsid w:val="007B1A7E"/>
    <w:rsid w:val="007B6BA5"/>
    <w:rsid w:val="007B77FB"/>
    <w:rsid w:val="007C2411"/>
    <w:rsid w:val="007C3390"/>
    <w:rsid w:val="007C4F4B"/>
    <w:rsid w:val="007E79E3"/>
    <w:rsid w:val="007F0BBC"/>
    <w:rsid w:val="007F6611"/>
    <w:rsid w:val="00800367"/>
    <w:rsid w:val="0081461B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3543"/>
    <w:rsid w:val="008A6B25"/>
    <w:rsid w:val="008A6C4F"/>
    <w:rsid w:val="008C177B"/>
    <w:rsid w:val="008C64AA"/>
    <w:rsid w:val="008D53CE"/>
    <w:rsid w:val="008D5C03"/>
    <w:rsid w:val="008E071B"/>
    <w:rsid w:val="008E0E46"/>
    <w:rsid w:val="008F7287"/>
    <w:rsid w:val="008F79EE"/>
    <w:rsid w:val="00904B37"/>
    <w:rsid w:val="00922550"/>
    <w:rsid w:val="009255A2"/>
    <w:rsid w:val="009266F8"/>
    <w:rsid w:val="00940839"/>
    <w:rsid w:val="00945A5D"/>
    <w:rsid w:val="00946A04"/>
    <w:rsid w:val="0095534D"/>
    <w:rsid w:val="0095690E"/>
    <w:rsid w:val="00957117"/>
    <w:rsid w:val="00963CBA"/>
    <w:rsid w:val="00977EC3"/>
    <w:rsid w:val="009854F2"/>
    <w:rsid w:val="0099124E"/>
    <w:rsid w:val="00991261"/>
    <w:rsid w:val="00991E50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420E"/>
    <w:rsid w:val="00A34EBE"/>
    <w:rsid w:val="00A357CC"/>
    <w:rsid w:val="00A50007"/>
    <w:rsid w:val="00A538E1"/>
    <w:rsid w:val="00A60C34"/>
    <w:rsid w:val="00A663DC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1BB2"/>
    <w:rsid w:val="00A93914"/>
    <w:rsid w:val="00A93EFD"/>
    <w:rsid w:val="00A9451B"/>
    <w:rsid w:val="00AA6ADE"/>
    <w:rsid w:val="00AC12E0"/>
    <w:rsid w:val="00AC4017"/>
    <w:rsid w:val="00AD3BCC"/>
    <w:rsid w:val="00AE06E2"/>
    <w:rsid w:val="00AF17E0"/>
    <w:rsid w:val="00AF523B"/>
    <w:rsid w:val="00B06293"/>
    <w:rsid w:val="00B30179"/>
    <w:rsid w:val="00B3094C"/>
    <w:rsid w:val="00B3317B"/>
    <w:rsid w:val="00B4226A"/>
    <w:rsid w:val="00B431FF"/>
    <w:rsid w:val="00B54EF2"/>
    <w:rsid w:val="00B707EC"/>
    <w:rsid w:val="00B81E12"/>
    <w:rsid w:val="00B85A05"/>
    <w:rsid w:val="00B93068"/>
    <w:rsid w:val="00B94CD7"/>
    <w:rsid w:val="00BB0133"/>
    <w:rsid w:val="00BB027F"/>
    <w:rsid w:val="00BC3972"/>
    <w:rsid w:val="00BC603D"/>
    <w:rsid w:val="00BC74E9"/>
    <w:rsid w:val="00BC7FA8"/>
    <w:rsid w:val="00BD36F7"/>
    <w:rsid w:val="00BE618E"/>
    <w:rsid w:val="00BE7441"/>
    <w:rsid w:val="00BF169C"/>
    <w:rsid w:val="00BF7DE7"/>
    <w:rsid w:val="00C03417"/>
    <w:rsid w:val="00C15417"/>
    <w:rsid w:val="00C32725"/>
    <w:rsid w:val="00C379CC"/>
    <w:rsid w:val="00C44E98"/>
    <w:rsid w:val="00C463DD"/>
    <w:rsid w:val="00C62F76"/>
    <w:rsid w:val="00C667E3"/>
    <w:rsid w:val="00C745C3"/>
    <w:rsid w:val="00C7487E"/>
    <w:rsid w:val="00C97788"/>
    <w:rsid w:val="00C97FD7"/>
    <w:rsid w:val="00CA2FB6"/>
    <w:rsid w:val="00CB1674"/>
    <w:rsid w:val="00CB2693"/>
    <w:rsid w:val="00CB64AE"/>
    <w:rsid w:val="00CC5473"/>
    <w:rsid w:val="00CC5FB1"/>
    <w:rsid w:val="00CD3225"/>
    <w:rsid w:val="00CD5FED"/>
    <w:rsid w:val="00CE46BA"/>
    <w:rsid w:val="00CE4A8F"/>
    <w:rsid w:val="00CE57DA"/>
    <w:rsid w:val="00CF03B5"/>
    <w:rsid w:val="00CF0666"/>
    <w:rsid w:val="00CF5E82"/>
    <w:rsid w:val="00CF7E49"/>
    <w:rsid w:val="00D1167D"/>
    <w:rsid w:val="00D1626A"/>
    <w:rsid w:val="00D16E60"/>
    <w:rsid w:val="00D2031B"/>
    <w:rsid w:val="00D22885"/>
    <w:rsid w:val="00D233C9"/>
    <w:rsid w:val="00D24605"/>
    <w:rsid w:val="00D25FE2"/>
    <w:rsid w:val="00D327F7"/>
    <w:rsid w:val="00D35BDD"/>
    <w:rsid w:val="00D36689"/>
    <w:rsid w:val="00D43252"/>
    <w:rsid w:val="00D46231"/>
    <w:rsid w:val="00D54756"/>
    <w:rsid w:val="00D625F6"/>
    <w:rsid w:val="00D65A46"/>
    <w:rsid w:val="00D71E33"/>
    <w:rsid w:val="00D729F2"/>
    <w:rsid w:val="00D753D8"/>
    <w:rsid w:val="00D83B2B"/>
    <w:rsid w:val="00D9148C"/>
    <w:rsid w:val="00D96CC5"/>
    <w:rsid w:val="00D978C6"/>
    <w:rsid w:val="00DA67AD"/>
    <w:rsid w:val="00DB194F"/>
    <w:rsid w:val="00DB2840"/>
    <w:rsid w:val="00DB3BF3"/>
    <w:rsid w:val="00DD0E01"/>
    <w:rsid w:val="00DD5574"/>
    <w:rsid w:val="00DD62B9"/>
    <w:rsid w:val="00DD66D0"/>
    <w:rsid w:val="00DF18E3"/>
    <w:rsid w:val="00DF79E9"/>
    <w:rsid w:val="00E130AB"/>
    <w:rsid w:val="00E1345B"/>
    <w:rsid w:val="00E1679E"/>
    <w:rsid w:val="00E16E90"/>
    <w:rsid w:val="00E207EC"/>
    <w:rsid w:val="00E4004D"/>
    <w:rsid w:val="00E44F16"/>
    <w:rsid w:val="00E50F61"/>
    <w:rsid w:val="00E5644E"/>
    <w:rsid w:val="00E600A6"/>
    <w:rsid w:val="00E7260F"/>
    <w:rsid w:val="00E81230"/>
    <w:rsid w:val="00E8535A"/>
    <w:rsid w:val="00E871E9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4A4"/>
    <w:rsid w:val="00ED4A3F"/>
    <w:rsid w:val="00ED708D"/>
    <w:rsid w:val="00ED7A2A"/>
    <w:rsid w:val="00EE5020"/>
    <w:rsid w:val="00EE7FDC"/>
    <w:rsid w:val="00EF1D7F"/>
    <w:rsid w:val="00EF6977"/>
    <w:rsid w:val="00F0135D"/>
    <w:rsid w:val="00F04A9C"/>
    <w:rsid w:val="00F22FBC"/>
    <w:rsid w:val="00F37510"/>
    <w:rsid w:val="00F40E75"/>
    <w:rsid w:val="00F42084"/>
    <w:rsid w:val="00F45755"/>
    <w:rsid w:val="00F46C61"/>
    <w:rsid w:val="00F52545"/>
    <w:rsid w:val="00F54674"/>
    <w:rsid w:val="00F608CD"/>
    <w:rsid w:val="00F9331F"/>
    <w:rsid w:val="00F941DC"/>
    <w:rsid w:val="00FA21AA"/>
    <w:rsid w:val="00FA4C91"/>
    <w:rsid w:val="00FB7353"/>
    <w:rsid w:val="00FC4A05"/>
    <w:rsid w:val="00FC68B7"/>
    <w:rsid w:val="00FD6B2B"/>
    <w:rsid w:val="00FE1F53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uiPriority w:val="99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UNPara">
    <w:name w:val="UN Para"/>
    <w:basedOn w:val="Normal"/>
    <w:link w:val="UNParaChar"/>
    <w:qFormat/>
    <w:rsid w:val="000B04EF"/>
    <w:pPr>
      <w:numPr>
        <w:numId w:val="25"/>
      </w:numPr>
      <w:tabs>
        <w:tab w:val="left" w:pos="1792"/>
      </w:tabs>
      <w:spacing w:after="120"/>
      <w:ind w:left="1134" w:right="45" w:firstLine="0"/>
      <w:jc w:val="both"/>
    </w:pPr>
    <w:rPr>
      <w:color w:val="000000"/>
      <w:sz w:val="22"/>
      <w:szCs w:val="22"/>
      <w:lang w:val="en-CA"/>
    </w:rPr>
  </w:style>
  <w:style w:type="character" w:customStyle="1" w:styleId="UNParaChar">
    <w:name w:val="UN Para Char"/>
    <w:link w:val="UNPara"/>
    <w:rsid w:val="000B04EF"/>
    <w:rPr>
      <w:color w:val="000000"/>
      <w:sz w:val="22"/>
      <w:szCs w:val="22"/>
      <w:lang w:val="en-CA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76658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uiPriority w:val="99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UNPara">
    <w:name w:val="UN Para"/>
    <w:basedOn w:val="Normal"/>
    <w:link w:val="UNParaChar"/>
    <w:qFormat/>
    <w:rsid w:val="000B04EF"/>
    <w:pPr>
      <w:numPr>
        <w:numId w:val="25"/>
      </w:numPr>
      <w:tabs>
        <w:tab w:val="left" w:pos="1792"/>
      </w:tabs>
      <w:spacing w:after="120"/>
      <w:ind w:left="1134" w:right="45" w:firstLine="0"/>
      <w:jc w:val="both"/>
    </w:pPr>
    <w:rPr>
      <w:color w:val="000000"/>
      <w:sz w:val="22"/>
      <w:szCs w:val="22"/>
      <w:lang w:val="en-CA"/>
    </w:rPr>
  </w:style>
  <w:style w:type="character" w:customStyle="1" w:styleId="UNParaChar">
    <w:name w:val="UN Para Char"/>
    <w:link w:val="UNPara"/>
    <w:rsid w:val="000B04EF"/>
    <w:rPr>
      <w:color w:val="000000"/>
      <w:sz w:val="22"/>
      <w:szCs w:val="22"/>
      <w:lang w:val="en-CA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76658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2416375-778E-4887-8009-C38E5D6F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2746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9</cp:revision>
  <cp:lastPrinted>2017-09-04T13:17:00Z</cp:lastPrinted>
  <dcterms:created xsi:type="dcterms:W3CDTF">2017-08-31T05:39:00Z</dcterms:created>
  <dcterms:modified xsi:type="dcterms:W3CDTF">2017-09-04T13:17:00Z</dcterms:modified>
</cp:coreProperties>
</file>