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A32EAF">
            <w:pPr>
              <w:jc w:val="right"/>
              <w:rPr>
                <w:lang w:val="en-US"/>
              </w:rPr>
            </w:pPr>
            <w:r w:rsidRPr="007E25DA">
              <w:rPr>
                <w:sz w:val="40"/>
              </w:rPr>
              <w:t>ST</w:t>
            </w:r>
            <w:r w:rsidR="00CB75C1">
              <w:t>/SG/AC.10/C.3/201</w:t>
            </w:r>
            <w:r w:rsidR="00F62ED1">
              <w:t>7</w:t>
            </w:r>
            <w:r>
              <w:t>/</w:t>
            </w:r>
            <w:r w:rsidR="00A32EAF">
              <w:t>22</w:t>
            </w:r>
          </w:p>
        </w:tc>
      </w:tr>
      <w:tr w:rsidR="00B31474">
        <w:trPr>
          <w:trHeight w:hRule="exact" w:val="2835"/>
        </w:trPr>
        <w:tc>
          <w:tcPr>
            <w:tcW w:w="1276" w:type="dxa"/>
            <w:tcBorders>
              <w:top w:val="single" w:sz="4" w:space="0" w:color="auto"/>
              <w:bottom w:val="single" w:sz="12" w:space="0" w:color="auto"/>
            </w:tcBorders>
          </w:tcPr>
          <w:p w:rsidR="00B31474" w:rsidRDefault="002475A5">
            <w:pPr>
              <w:spacing w:before="120"/>
              <w:jc w:val="center"/>
            </w:pPr>
            <w:r>
              <w:rPr>
                <w:noProof/>
                <w:lang w:val="en-GB" w:eastAsia="en-GB"/>
              </w:rPr>
              <w:drawing>
                <wp:inline distT="0" distB="0" distL="0" distR="0">
                  <wp:extent cx="71120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B31474" w:rsidRDefault="00B31474">
            <w:pPr>
              <w:spacing w:before="240" w:line="240" w:lineRule="exact"/>
            </w:pPr>
            <w:proofErr w:type="spellStart"/>
            <w:r>
              <w:t>Distr</w:t>
            </w:r>
            <w:proofErr w:type="spellEnd"/>
            <w:r>
              <w:t>. générale</w:t>
            </w:r>
          </w:p>
          <w:p w:rsidR="00B31474" w:rsidRDefault="00A32EAF">
            <w:pPr>
              <w:spacing w:line="240" w:lineRule="exact"/>
            </w:pPr>
            <w:r>
              <w:t>6</w:t>
            </w:r>
            <w:r w:rsidR="00D71359">
              <w:t xml:space="preserve"> avril</w:t>
            </w:r>
            <w:r w:rsidR="008A0233">
              <w:t xml:space="preserve"> 2017</w:t>
            </w:r>
            <w:r w:rsidR="008A0233">
              <w:br/>
            </w:r>
          </w:p>
          <w:p w:rsidR="00B31474" w:rsidRDefault="00B31474">
            <w:pPr>
              <w:spacing w:line="240" w:lineRule="exact"/>
            </w:pPr>
            <w:r>
              <w:t>Original: français</w:t>
            </w:r>
            <w:r w:rsidR="00FE6A6C">
              <w:t xml:space="preserve"> </w:t>
            </w:r>
          </w:p>
        </w:tc>
      </w:tr>
    </w:tbl>
    <w:p w:rsidR="00F24FAC" w:rsidRDefault="00F24FAC" w:rsidP="00F24FAC">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F24FAC" w:rsidRDefault="00F24FAC" w:rsidP="00F24FAC">
      <w:pPr>
        <w:spacing w:before="120"/>
        <w:rPr>
          <w:b/>
        </w:rPr>
      </w:pPr>
      <w:r>
        <w:rPr>
          <w:b/>
        </w:rPr>
        <w:t>Sous-Comité d’experts du transport des marchandises dangereuses</w:t>
      </w:r>
    </w:p>
    <w:p w:rsidR="00F24FAC" w:rsidRDefault="00F24FAC" w:rsidP="00F24FAC">
      <w:pPr>
        <w:spacing w:before="120"/>
        <w:rPr>
          <w:b/>
        </w:rPr>
      </w:pPr>
      <w:r>
        <w:rPr>
          <w:b/>
          <w:lang w:val="fr-FR"/>
        </w:rPr>
        <w:t xml:space="preserve">Cinquante et unième </w:t>
      </w:r>
      <w:r>
        <w:rPr>
          <w:b/>
        </w:rPr>
        <w:t>session</w:t>
      </w:r>
    </w:p>
    <w:p w:rsidR="00F24FAC" w:rsidRDefault="00F24FAC" w:rsidP="00F24FAC">
      <w:pPr>
        <w:rPr>
          <w:lang w:eastAsia="it-IT"/>
        </w:rPr>
      </w:pPr>
      <w:r>
        <w:t xml:space="preserve">Genève, </w:t>
      </w:r>
      <w:r>
        <w:rPr>
          <w:lang w:eastAsia="it-IT"/>
        </w:rPr>
        <w:t>3-7 juillet 2017</w:t>
      </w:r>
    </w:p>
    <w:p w:rsidR="008A0233" w:rsidRPr="00D71359" w:rsidRDefault="008A0233" w:rsidP="008A0233">
      <w:pPr>
        <w:rPr>
          <w:b/>
        </w:rPr>
      </w:pPr>
      <w:r>
        <w:t>Point </w:t>
      </w:r>
      <w:r w:rsidR="00D71359">
        <w:t>4 c)</w:t>
      </w:r>
      <w:r w:rsidRPr="00AD6354">
        <w:t xml:space="preserve"> de l’ordre du jour provisoire</w:t>
      </w:r>
      <w:r>
        <w:br/>
      </w:r>
      <w:r w:rsidR="00D71359" w:rsidRPr="00D71359">
        <w:rPr>
          <w:b/>
          <w:lang w:val="fr-FR"/>
        </w:rPr>
        <w:t>Systèmes de stockage de l’électricité: dispositions relatives au transport</w:t>
      </w:r>
    </w:p>
    <w:p w:rsidR="004969DF" w:rsidRDefault="00B90BC5" w:rsidP="0026107C">
      <w:pPr>
        <w:pStyle w:val="HChG"/>
        <w:rPr>
          <w:lang w:val="fr-FR"/>
        </w:rPr>
      </w:pPr>
      <w:r>
        <w:rPr>
          <w:lang w:val="fr-FR"/>
        </w:rPr>
        <w:tab/>
      </w:r>
      <w:r>
        <w:rPr>
          <w:lang w:val="fr-FR"/>
        </w:rPr>
        <w:tab/>
      </w:r>
      <w:r w:rsidR="00C77778">
        <w:rPr>
          <w:lang w:val="fr-FR"/>
        </w:rPr>
        <w:t xml:space="preserve">Champ d’application de l’exemption 1.1.1.2 </w:t>
      </w:r>
    </w:p>
    <w:p w:rsidR="00E72C4C" w:rsidRDefault="00E72C4C" w:rsidP="00734DB1">
      <w:pPr>
        <w:pStyle w:val="H1G"/>
        <w:keepNext w:val="0"/>
        <w:keepLines w:val="0"/>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8A0233">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734DB1" w:rsidTr="00E6328D">
        <w:trPr>
          <w:jc w:val="center"/>
        </w:trPr>
        <w:tc>
          <w:tcPr>
            <w:tcW w:w="9637" w:type="dxa"/>
          </w:tcPr>
          <w:p w:rsidR="00734DB1" w:rsidRDefault="00734DB1" w:rsidP="00E6328D">
            <w:pPr>
              <w:spacing w:before="240" w:after="120"/>
              <w:ind w:left="255"/>
              <w:rPr>
                <w:rFonts w:eastAsia="Arial"/>
                <w:i/>
                <w:sz w:val="24"/>
                <w:lang w:val="fr-FR"/>
              </w:rPr>
            </w:pPr>
            <w:r>
              <w:rPr>
                <w:rFonts w:eastAsia="Arial"/>
                <w:i/>
                <w:sz w:val="24"/>
                <w:lang w:val="fr-FR"/>
              </w:rPr>
              <w:t xml:space="preserve">Résumé </w:t>
            </w:r>
          </w:p>
        </w:tc>
      </w:tr>
      <w:tr w:rsidR="00734DB1" w:rsidTr="00E6328D">
        <w:trPr>
          <w:jc w:val="center"/>
        </w:trPr>
        <w:tc>
          <w:tcPr>
            <w:tcW w:w="9637" w:type="dxa"/>
          </w:tcPr>
          <w:p w:rsidR="00734DB1" w:rsidRDefault="00734DB1" w:rsidP="00AE43F0">
            <w:pPr>
              <w:pStyle w:val="SingleTxtG"/>
              <w:ind w:left="2499" w:hanging="2248"/>
              <w:rPr>
                <w:rFonts w:eastAsia="Arial"/>
                <w:b/>
                <w:lang w:val="fr-FR"/>
              </w:rPr>
            </w:pPr>
            <w:r>
              <w:rPr>
                <w:b/>
                <w:lang w:val="fr-FR"/>
              </w:rPr>
              <w:t>Résumé analytique:</w:t>
            </w:r>
            <w:r>
              <w:rPr>
                <w:b/>
                <w:sz w:val="24"/>
                <w:szCs w:val="24"/>
                <w:lang w:val="fr-FR"/>
              </w:rPr>
              <w:tab/>
            </w:r>
            <w:r w:rsidR="00AE43F0">
              <w:rPr>
                <w:lang w:val="fr-FR"/>
              </w:rPr>
              <w:t xml:space="preserve">L’exemption du Règlement du 1.1.1.2 devrait être précisée et s’étendre aux équipements nécessaires durant le transport qui ne font pas partie du moyen de transport tels qu’ordinateurs portables, horloges, radios, systèmes de guidage (GPS) ou </w:t>
            </w:r>
            <w:r w:rsidR="00AE43F0">
              <w:t>dispositifs de localisation de conteneur</w:t>
            </w:r>
            <w:r w:rsidR="003E3088">
              <w:t>s ou d’emballages</w:t>
            </w:r>
            <w:r w:rsidR="004969DF">
              <w:t>.</w:t>
            </w:r>
          </w:p>
        </w:tc>
      </w:tr>
      <w:tr w:rsidR="00734DB1" w:rsidTr="00E6328D">
        <w:trPr>
          <w:jc w:val="center"/>
        </w:trPr>
        <w:tc>
          <w:tcPr>
            <w:tcW w:w="9637" w:type="dxa"/>
          </w:tcPr>
          <w:p w:rsidR="00490C26" w:rsidRDefault="008A0233" w:rsidP="00490C26">
            <w:pPr>
              <w:pStyle w:val="SingleTxtG"/>
              <w:ind w:left="2499" w:hanging="2248"/>
              <w:rPr>
                <w:lang w:val="fr-FR"/>
              </w:rPr>
            </w:pPr>
            <w:r>
              <w:rPr>
                <w:b/>
                <w:lang w:val="fr-FR"/>
              </w:rPr>
              <w:t>Mesures à prendre</w:t>
            </w:r>
            <w:r w:rsidR="00490C26" w:rsidRPr="004C4820">
              <w:rPr>
                <w:b/>
                <w:lang w:val="fr-FR"/>
              </w:rPr>
              <w:t xml:space="preserve">: </w:t>
            </w:r>
            <w:r w:rsidR="00490C26" w:rsidRPr="004C4820">
              <w:rPr>
                <w:b/>
                <w:lang w:val="fr-FR"/>
              </w:rPr>
              <w:tab/>
            </w:r>
            <w:r w:rsidR="00AE43F0">
              <w:rPr>
                <w:lang w:val="fr-FR"/>
              </w:rPr>
              <w:t>Modifier le 1.1.1.2</w:t>
            </w:r>
          </w:p>
          <w:p w:rsidR="00734DB1" w:rsidRPr="00734DB1" w:rsidRDefault="008A0233" w:rsidP="00AE43F0">
            <w:pPr>
              <w:pStyle w:val="SingleTxtG"/>
              <w:ind w:left="2499" w:hanging="2248"/>
              <w:rPr>
                <w:lang w:val="fr-FR"/>
              </w:rPr>
            </w:pPr>
            <w:r>
              <w:rPr>
                <w:b/>
                <w:lang w:val="fr-FR"/>
              </w:rPr>
              <w:t>Documents de référence</w:t>
            </w:r>
            <w:r w:rsidR="005343BA" w:rsidRPr="004C4820">
              <w:rPr>
                <w:b/>
                <w:lang w:val="fr-FR"/>
              </w:rPr>
              <w:t xml:space="preserve">: </w:t>
            </w:r>
            <w:r w:rsidR="005343BA" w:rsidRPr="004C4820">
              <w:rPr>
                <w:b/>
                <w:lang w:val="fr-FR"/>
              </w:rPr>
              <w:tab/>
            </w:r>
          </w:p>
        </w:tc>
      </w:tr>
    </w:tbl>
    <w:p w:rsidR="00B31474" w:rsidRDefault="00B31474" w:rsidP="00734DB1">
      <w:pPr>
        <w:pStyle w:val="HChG"/>
        <w:keepNext w:val="0"/>
        <w:keepLines w:val="0"/>
        <w:tabs>
          <w:tab w:val="left" w:pos="1500"/>
        </w:tabs>
        <w:ind w:left="1100" w:firstLine="0"/>
        <w:rPr>
          <w:lang w:val="fr-FR"/>
        </w:rPr>
      </w:pPr>
      <w:r>
        <w:rPr>
          <w:lang w:val="fr-FR"/>
        </w:rPr>
        <w:t>Introduction</w:t>
      </w:r>
    </w:p>
    <w:p w:rsidR="00186A81" w:rsidRDefault="00AA54DF" w:rsidP="00A32EAF">
      <w:pPr>
        <w:pStyle w:val="SingleTxtG"/>
        <w:rPr>
          <w:lang w:val="fr-FR"/>
        </w:rPr>
      </w:pPr>
      <w:r>
        <w:rPr>
          <w:lang w:val="fr-FR"/>
        </w:rPr>
        <w:t>1.</w:t>
      </w:r>
      <w:r>
        <w:rPr>
          <w:lang w:val="fr-FR"/>
        </w:rPr>
        <w:tab/>
      </w:r>
      <w:r w:rsidR="005257E8">
        <w:rPr>
          <w:lang w:val="fr-FR"/>
        </w:rPr>
        <w:t>Selon le Nota 3 du 1.1.1.2 l</w:t>
      </w:r>
      <w:r w:rsidR="00186A81">
        <w:rPr>
          <w:lang w:val="fr-FR"/>
        </w:rPr>
        <w:t>’exemption du 1.1.1.2 a) ne s’applique qu’au moyen de transport effectuant l’opération de transport</w:t>
      </w:r>
      <w:r w:rsidR="005257E8">
        <w:rPr>
          <w:lang w:val="fr-FR"/>
        </w:rPr>
        <w:t>.</w:t>
      </w:r>
      <w:r w:rsidR="00A32EAF">
        <w:rPr>
          <w:lang w:val="fr-FR"/>
        </w:rPr>
        <w:t xml:space="preserve"> Le texte parle de «</w:t>
      </w:r>
      <w:r w:rsidR="00186A81">
        <w:rPr>
          <w:lang w:val="fr-FR"/>
        </w:rPr>
        <w:t xml:space="preserve">marchandises dangereuses qui sont nécessaires au fonctionnement de leur équipement </w:t>
      </w:r>
      <w:r w:rsidR="00A32EAF">
        <w:rPr>
          <w:lang w:val="fr-FR"/>
        </w:rPr>
        <w:t>spécialisé pendant le transport</w:t>
      </w:r>
      <w:r w:rsidR="00186A81">
        <w:rPr>
          <w:lang w:val="fr-FR"/>
        </w:rPr>
        <w:t xml:space="preserve">» </w:t>
      </w:r>
      <w:r w:rsidR="005257E8">
        <w:rPr>
          <w:lang w:val="fr-FR"/>
        </w:rPr>
        <w:t>et ne donne comme exemple d’équipement spécialisé que les groupes frigorifiques</w:t>
      </w:r>
      <w:r w:rsidR="00186A81">
        <w:rPr>
          <w:lang w:val="fr-FR"/>
        </w:rPr>
        <w:t xml:space="preserve">. On pourrait ainsi y inclure aussi bien des carburants liquides ou gazeux que </w:t>
      </w:r>
      <w:r w:rsidR="00C77778">
        <w:rPr>
          <w:lang w:val="fr-FR"/>
        </w:rPr>
        <w:t>de</w:t>
      </w:r>
      <w:r w:rsidR="003E3088">
        <w:rPr>
          <w:lang w:val="fr-FR"/>
        </w:rPr>
        <w:t>s</w:t>
      </w:r>
      <w:r w:rsidR="00C77778">
        <w:rPr>
          <w:lang w:val="fr-FR"/>
        </w:rPr>
        <w:t xml:space="preserve"> </w:t>
      </w:r>
      <w:r w:rsidR="00C77778" w:rsidRPr="007702F2">
        <w:t xml:space="preserve">dispositifs de stockage et de production d’énergie électrique </w:t>
      </w:r>
      <w:r w:rsidR="00186A81">
        <w:rPr>
          <w:lang w:val="fr-FR"/>
        </w:rPr>
        <w:t xml:space="preserve">comme les piles au lithium, piles et batteries </w:t>
      </w:r>
      <w:r w:rsidR="00186A81">
        <w:rPr>
          <w:lang w:val="fr-FR"/>
        </w:rPr>
        <w:lastRenderedPageBreak/>
        <w:t xml:space="preserve">à électrolyte liquide, les condensateurs électriques ou asymétriques, </w:t>
      </w:r>
      <w:r w:rsidR="00493EEB">
        <w:rPr>
          <w:lang w:val="fr-FR"/>
        </w:rPr>
        <w:t xml:space="preserve">les </w:t>
      </w:r>
      <w:r w:rsidR="00186A81">
        <w:rPr>
          <w:lang w:val="fr-FR"/>
        </w:rPr>
        <w:t xml:space="preserve">dispositifs de stockage à hydrure métallique ou </w:t>
      </w:r>
      <w:r w:rsidR="00493EEB">
        <w:rPr>
          <w:lang w:val="fr-FR"/>
        </w:rPr>
        <w:t xml:space="preserve">les </w:t>
      </w:r>
      <w:r w:rsidR="00186A81">
        <w:rPr>
          <w:lang w:val="fr-FR"/>
        </w:rPr>
        <w:t xml:space="preserve">piles à combustibles. </w:t>
      </w:r>
      <w:r w:rsidR="005257E8">
        <w:rPr>
          <w:lang w:val="fr-FR"/>
        </w:rPr>
        <w:t>Toutes ces sources d’énergie électrique ne figurent cependant pas dans le texte du 1.1.1.2 de sorte que le champ d’application de ce texte reste sujet à interprétation.</w:t>
      </w:r>
    </w:p>
    <w:p w:rsidR="00AA54DF" w:rsidRPr="008A0233" w:rsidRDefault="008A0233" w:rsidP="00513126">
      <w:pPr>
        <w:pStyle w:val="SingleTxtG"/>
      </w:pPr>
      <w:r>
        <w:rPr>
          <w:lang w:val="fr-FR"/>
        </w:rPr>
        <w:t>2.</w:t>
      </w:r>
      <w:r>
        <w:rPr>
          <w:lang w:val="fr-FR"/>
        </w:rPr>
        <w:tab/>
      </w:r>
      <w:r w:rsidR="00493EEB">
        <w:rPr>
          <w:lang w:val="fr-FR"/>
        </w:rPr>
        <w:t>Par ailleurs d’autres dispositifs tels qu’ordinateurs porta</w:t>
      </w:r>
      <w:r w:rsidR="00513126">
        <w:rPr>
          <w:lang w:val="fr-FR"/>
        </w:rPr>
        <w:t>bles, horloges, radios, systèmes de guidage (GPS)</w:t>
      </w:r>
      <w:r w:rsidR="00493EEB">
        <w:rPr>
          <w:lang w:val="fr-FR"/>
        </w:rPr>
        <w:t xml:space="preserve"> ou </w:t>
      </w:r>
      <w:r w:rsidR="00513126">
        <w:rPr>
          <w:lang w:val="fr-FR"/>
        </w:rPr>
        <w:t xml:space="preserve">les </w:t>
      </w:r>
      <w:r w:rsidR="00493EEB">
        <w:t xml:space="preserve">dispositifs de localisation de conteneur contenant des batteries au lithium </w:t>
      </w:r>
      <w:r w:rsidR="00493EEB">
        <w:rPr>
          <w:lang w:val="fr-FR"/>
        </w:rPr>
        <w:t>mentionnés dans le document ST/</w:t>
      </w:r>
      <w:r w:rsidR="00B529FB">
        <w:rPr>
          <w:lang w:val="fr-FR"/>
        </w:rPr>
        <w:t>S</w:t>
      </w:r>
      <w:r w:rsidR="00493EEB">
        <w:rPr>
          <w:lang w:val="fr-FR"/>
        </w:rPr>
        <w:t>G/AC.10/C.3/2016/56 ne font pas partie à proprement parlé du moyen de transport mais sont également utilisé</w:t>
      </w:r>
      <w:r w:rsidR="00513126">
        <w:rPr>
          <w:lang w:val="fr-FR"/>
        </w:rPr>
        <w:t>s</w:t>
      </w:r>
      <w:r w:rsidR="00493EEB">
        <w:rPr>
          <w:lang w:val="fr-FR"/>
        </w:rPr>
        <w:t xml:space="preserve"> durant le transport sans pour autant qu’il s’agisse de marchandises dangereuses destinées à être livrée</w:t>
      </w:r>
      <w:r w:rsidR="00513126">
        <w:rPr>
          <w:lang w:val="fr-FR"/>
        </w:rPr>
        <w:t>s</w:t>
      </w:r>
      <w:r w:rsidR="00493EEB">
        <w:rPr>
          <w:lang w:val="fr-FR"/>
        </w:rPr>
        <w:t xml:space="preserve"> à destination. </w:t>
      </w:r>
    </w:p>
    <w:p w:rsidR="00513126" w:rsidRDefault="00AA54DF" w:rsidP="008A0233">
      <w:pPr>
        <w:pStyle w:val="SingleTxtG"/>
        <w:rPr>
          <w:lang w:val="fr-FR"/>
        </w:rPr>
      </w:pPr>
      <w:r>
        <w:rPr>
          <w:lang w:val="fr-FR"/>
        </w:rPr>
        <w:t>3.</w:t>
      </w:r>
      <w:r>
        <w:rPr>
          <w:lang w:val="fr-FR"/>
        </w:rPr>
        <w:tab/>
      </w:r>
      <w:r w:rsidR="00513126">
        <w:rPr>
          <w:lang w:val="fr-FR"/>
        </w:rPr>
        <w:t xml:space="preserve">Pour tenir compte de tels équipements utilisés durant le transport et afin de rendre plus </w:t>
      </w:r>
      <w:r w:rsidR="00FB7229">
        <w:rPr>
          <w:lang w:val="fr-FR"/>
        </w:rPr>
        <w:t>transparent</w:t>
      </w:r>
      <w:r w:rsidR="00513126">
        <w:rPr>
          <w:lang w:val="fr-FR"/>
        </w:rPr>
        <w:t xml:space="preserve"> le champ d’application du 1.1.1.2 nous proposons les modifications de texte suivantes.</w:t>
      </w:r>
    </w:p>
    <w:p w:rsidR="00490C26" w:rsidRPr="0072378C" w:rsidRDefault="008A0233" w:rsidP="008A0233">
      <w:pPr>
        <w:pStyle w:val="HChG"/>
      </w:pPr>
      <w:r>
        <w:tab/>
      </w:r>
      <w:r>
        <w:tab/>
      </w:r>
      <w:r w:rsidR="00490C26" w:rsidRPr="008A0233">
        <w:t>Proposition</w:t>
      </w:r>
    </w:p>
    <w:p w:rsidR="00513126" w:rsidRDefault="00A953BC" w:rsidP="008A0233">
      <w:pPr>
        <w:pStyle w:val="SingleTxtG"/>
        <w:rPr>
          <w:lang w:val="fr-FR"/>
        </w:rPr>
      </w:pPr>
      <w:r>
        <w:rPr>
          <w:lang w:val="fr-FR"/>
        </w:rPr>
        <w:t>5.</w:t>
      </w:r>
      <w:r>
        <w:rPr>
          <w:lang w:val="fr-FR"/>
        </w:rPr>
        <w:tab/>
      </w:r>
      <w:r w:rsidR="00513126">
        <w:rPr>
          <w:lang w:val="fr-FR"/>
        </w:rPr>
        <w:t xml:space="preserve">Modifier le 1.1.1.2. </w:t>
      </w:r>
      <w:proofErr w:type="gramStart"/>
      <w:r w:rsidR="00513126">
        <w:rPr>
          <w:lang w:val="fr-FR"/>
        </w:rPr>
        <w:t>comme</w:t>
      </w:r>
      <w:proofErr w:type="gramEnd"/>
      <w:r w:rsidR="00513126">
        <w:rPr>
          <w:lang w:val="fr-FR"/>
        </w:rPr>
        <w:t xml:space="preserve"> suit (texte nouveau en</w:t>
      </w:r>
      <w:r w:rsidR="00FB7229">
        <w:rPr>
          <w:lang w:val="fr-FR"/>
        </w:rPr>
        <w:t xml:space="preserve"> </w:t>
      </w:r>
      <w:r w:rsidR="00513126">
        <w:rPr>
          <w:lang w:val="fr-FR"/>
        </w:rPr>
        <w:t>gras et</w:t>
      </w:r>
      <w:r w:rsidR="00A32EAF">
        <w:rPr>
          <w:lang w:val="fr-FR"/>
        </w:rPr>
        <w:t xml:space="preserve"> souligné, texte éliminé biffé)</w:t>
      </w:r>
      <w:r w:rsidR="00513126">
        <w:rPr>
          <w:lang w:val="fr-FR"/>
        </w:rPr>
        <w:t>:</w:t>
      </w:r>
    </w:p>
    <w:p w:rsidR="00513126" w:rsidRPr="00513126" w:rsidRDefault="00A32EAF" w:rsidP="00513126">
      <w:pPr>
        <w:pStyle w:val="SingleTxtG"/>
        <w:rPr>
          <w:lang w:val="fr-FR"/>
        </w:rPr>
      </w:pPr>
      <w:r>
        <w:rPr>
          <w:lang w:eastAsia="en-GB"/>
        </w:rPr>
        <w:t>«</w:t>
      </w:r>
      <w:r w:rsidR="00513126" w:rsidRPr="00513126">
        <w:rPr>
          <w:lang w:eastAsia="en-GB"/>
        </w:rPr>
        <w:t>1.1.1.2</w:t>
      </w:r>
      <w:r w:rsidR="00513126" w:rsidRPr="00513126">
        <w:rPr>
          <w:lang w:eastAsia="en-GB"/>
        </w:rPr>
        <w:tab/>
        <w:t>Les dispositions du présent Règlement ne s'appliquent pas au transport:</w:t>
      </w:r>
      <w:r w:rsidR="00513126" w:rsidRPr="00513126">
        <w:rPr>
          <w:lang w:val="fr-FR"/>
        </w:rPr>
        <w:t xml:space="preserve"> </w:t>
      </w:r>
    </w:p>
    <w:p w:rsidR="00513126" w:rsidRPr="00513126" w:rsidRDefault="00513126" w:rsidP="00513126">
      <w:pPr>
        <w:pStyle w:val="SingleTxtG"/>
        <w:ind w:left="2268"/>
        <w:rPr>
          <w:lang w:eastAsia="en-GB"/>
        </w:rPr>
      </w:pPr>
      <w:r w:rsidRPr="00513126">
        <w:rPr>
          <w:lang w:eastAsia="en-GB"/>
        </w:rPr>
        <w:t>a) de marchandises dangereuses qui sont nécessaires à la propulsion des engins de transport ou au fonctionnement de leur équipement spécialisé pendant le transport (</w:t>
      </w:r>
      <w:r w:rsidR="00C77778" w:rsidRPr="00513126">
        <w:rPr>
          <w:lang w:eastAsia="en-GB"/>
        </w:rPr>
        <w:t>par exemple</w:t>
      </w:r>
      <w:r w:rsidR="00C77778" w:rsidRPr="00C77778">
        <w:t xml:space="preserve"> </w:t>
      </w:r>
      <w:r w:rsidR="00C77778" w:rsidRPr="00513126">
        <w:rPr>
          <w:lang w:eastAsia="en-GB"/>
        </w:rPr>
        <w:t>groupes frigorifiques</w:t>
      </w:r>
      <w:r w:rsidR="00C77778" w:rsidRPr="00FB7229">
        <w:rPr>
          <w:b/>
          <w:u w:val="single"/>
        </w:rPr>
        <w:t xml:space="preserve"> </w:t>
      </w:r>
      <w:r w:rsidR="00C77778">
        <w:rPr>
          <w:b/>
          <w:u w:val="single"/>
        </w:rPr>
        <w:t xml:space="preserve">ou </w:t>
      </w:r>
      <w:r w:rsidR="00FB7229" w:rsidRPr="00FB7229">
        <w:rPr>
          <w:b/>
          <w:u w:val="single"/>
        </w:rPr>
        <w:t xml:space="preserve">dispositifs de stockage et de production d’énergie électrique tels que piles au lithium, </w:t>
      </w:r>
      <w:r w:rsidR="00472BFF" w:rsidRPr="00472BFF">
        <w:rPr>
          <w:b/>
          <w:u w:val="single"/>
          <w:lang w:val="fr-FR"/>
        </w:rPr>
        <w:t>piles et batteries à électrolyte liquide</w:t>
      </w:r>
      <w:r w:rsidR="00472BFF">
        <w:rPr>
          <w:b/>
          <w:u w:val="single"/>
          <w:lang w:val="fr-FR"/>
        </w:rPr>
        <w:t>,</w:t>
      </w:r>
      <w:r w:rsidR="00472BFF" w:rsidRPr="00472BFF">
        <w:rPr>
          <w:b/>
          <w:u w:val="single"/>
        </w:rPr>
        <w:t xml:space="preserve"> </w:t>
      </w:r>
      <w:r w:rsidR="00FB7229" w:rsidRPr="00472BFF">
        <w:rPr>
          <w:b/>
          <w:u w:val="single"/>
        </w:rPr>
        <w:t>condensateurs électriques, condensateurs</w:t>
      </w:r>
      <w:r w:rsidR="00FB7229" w:rsidRPr="00FB7229">
        <w:rPr>
          <w:b/>
          <w:u w:val="single"/>
        </w:rPr>
        <w:t xml:space="preserve"> asymétriques, dispositif de stockage à hydrure métallique et piles à combustible</w:t>
      </w:r>
      <w:r w:rsidRPr="00513126">
        <w:rPr>
          <w:lang w:eastAsia="en-GB"/>
        </w:rPr>
        <w:t xml:space="preserve">) ou qui sont requises du fait des règlements d'exploitation (extincteurs par exemple); </w:t>
      </w:r>
    </w:p>
    <w:p w:rsidR="00FB7229" w:rsidRPr="00AE43F0" w:rsidRDefault="00AE43F0" w:rsidP="00FB7229">
      <w:pPr>
        <w:pStyle w:val="SingleTxtG"/>
        <w:ind w:left="2268"/>
        <w:rPr>
          <w:b/>
          <w:u w:val="single"/>
          <w:lang w:eastAsia="en-GB"/>
        </w:rPr>
      </w:pPr>
      <w:r>
        <w:rPr>
          <w:b/>
          <w:u w:val="single"/>
          <w:lang w:eastAsia="en-GB"/>
        </w:rPr>
        <w:t>b</w:t>
      </w:r>
      <w:r w:rsidR="00FB7229" w:rsidRPr="00AE43F0">
        <w:rPr>
          <w:b/>
          <w:u w:val="single"/>
          <w:lang w:eastAsia="en-GB"/>
        </w:rPr>
        <w:t>) de</w:t>
      </w:r>
      <w:r w:rsidR="00FB7229" w:rsidRPr="00AE43F0">
        <w:rPr>
          <w:b/>
          <w:u w:val="single"/>
        </w:rPr>
        <w:t xml:space="preserve"> dispositifs de stockage et de production d’énergie électrique (par exemple, piles au lithium, condensateurs électriques</w:t>
      </w:r>
      <w:r w:rsidR="00FB7229" w:rsidRPr="00472BFF">
        <w:rPr>
          <w:b/>
          <w:u w:val="single"/>
        </w:rPr>
        <w:t xml:space="preserve">, </w:t>
      </w:r>
      <w:r w:rsidR="00472BFF" w:rsidRPr="00472BFF">
        <w:rPr>
          <w:b/>
          <w:u w:val="single"/>
          <w:lang w:val="fr-FR"/>
        </w:rPr>
        <w:t>piles et batteries à électrolyte liquide</w:t>
      </w:r>
      <w:r w:rsidR="00472BFF">
        <w:rPr>
          <w:b/>
          <w:u w:val="single"/>
          <w:lang w:val="fr-FR"/>
        </w:rPr>
        <w:t>,</w:t>
      </w:r>
      <w:r w:rsidR="00472BFF" w:rsidRPr="00472BFF">
        <w:rPr>
          <w:b/>
          <w:u w:val="single"/>
        </w:rPr>
        <w:t xml:space="preserve"> </w:t>
      </w:r>
      <w:r w:rsidR="00FB7229" w:rsidRPr="00472BFF">
        <w:rPr>
          <w:b/>
          <w:u w:val="single"/>
        </w:rPr>
        <w:t>condensateurs asymétriques, dispositif</w:t>
      </w:r>
      <w:r w:rsidR="00FB7229" w:rsidRPr="00AE43F0">
        <w:rPr>
          <w:b/>
          <w:u w:val="single"/>
        </w:rPr>
        <w:t xml:space="preserve"> de stockage à hydrure métallique</w:t>
      </w:r>
      <w:r w:rsidRPr="00AE43F0">
        <w:rPr>
          <w:b/>
          <w:u w:val="single"/>
        </w:rPr>
        <w:t>,</w:t>
      </w:r>
      <w:r w:rsidR="00FB7229" w:rsidRPr="00AE43F0">
        <w:rPr>
          <w:b/>
          <w:u w:val="single"/>
        </w:rPr>
        <w:t xml:space="preserve"> piles à combustible)</w:t>
      </w:r>
      <w:r w:rsidR="00FB7229" w:rsidRPr="00AE43F0">
        <w:rPr>
          <w:b/>
          <w:u w:val="single"/>
          <w:lang w:eastAsia="en-GB"/>
        </w:rPr>
        <w:t xml:space="preserve"> </w:t>
      </w:r>
      <w:r w:rsidR="00FB7229" w:rsidRPr="00AE43F0">
        <w:rPr>
          <w:b/>
          <w:u w:val="single"/>
          <w:lang w:val="fr-FR"/>
        </w:rPr>
        <w:t xml:space="preserve">contenus dans un équipement pour le fonctionnement de cet équipement utilisé ou destiné à une utilisation durant le transport (par exemple, un ordinateur portable ou </w:t>
      </w:r>
      <w:r>
        <w:rPr>
          <w:b/>
          <w:u w:val="single"/>
          <w:lang w:val="fr-FR"/>
        </w:rPr>
        <w:t xml:space="preserve">des </w:t>
      </w:r>
      <w:r w:rsidRPr="00AE43F0">
        <w:rPr>
          <w:b/>
          <w:u w:val="single"/>
        </w:rPr>
        <w:t xml:space="preserve">dispositifs de localisation de conteneur ou d’emballage). </w:t>
      </w:r>
    </w:p>
    <w:p w:rsidR="003E3088" w:rsidRDefault="003E3088" w:rsidP="003E3088">
      <w:pPr>
        <w:pStyle w:val="SingleTxtG"/>
        <w:ind w:left="2268"/>
        <w:rPr>
          <w:lang w:eastAsia="en-GB"/>
        </w:rPr>
      </w:pPr>
      <w:proofErr w:type="gramStart"/>
      <w:r w:rsidRPr="003E3088">
        <w:rPr>
          <w:b/>
          <w:u w:val="single"/>
          <w:lang w:eastAsia="en-GB"/>
        </w:rPr>
        <w:t>c</w:t>
      </w:r>
      <w:r w:rsidRPr="003E3088">
        <w:rPr>
          <w:strike/>
          <w:lang w:eastAsia="en-GB"/>
        </w:rPr>
        <w:t>b</w:t>
      </w:r>
      <w:proofErr w:type="gramEnd"/>
      <w:r w:rsidRPr="00513126">
        <w:rPr>
          <w:lang w:eastAsia="en-GB"/>
        </w:rPr>
        <w:t>) de marchandises dangereuses dans leur emballage de vente au détail, qui sont transportées par des particuliers pour leur usage personnel.</w:t>
      </w:r>
    </w:p>
    <w:p w:rsidR="00513126" w:rsidRPr="00513126" w:rsidRDefault="00513126" w:rsidP="00B529FB">
      <w:pPr>
        <w:pStyle w:val="SingleTxtG"/>
        <w:tabs>
          <w:tab w:val="left" w:pos="1701"/>
        </w:tabs>
        <w:rPr>
          <w:lang w:eastAsia="en-GB"/>
        </w:rPr>
      </w:pPr>
      <w:r w:rsidRPr="00A32EAF">
        <w:rPr>
          <w:b/>
          <w:bCs/>
          <w:i/>
          <w:lang w:eastAsia="en-GB"/>
        </w:rPr>
        <w:t>NOTA 1</w:t>
      </w:r>
      <w:r w:rsidRPr="00513126">
        <w:rPr>
          <w:b/>
          <w:bCs/>
          <w:lang w:eastAsia="en-GB"/>
        </w:rPr>
        <w:t xml:space="preserve">: </w:t>
      </w:r>
      <w:r w:rsidRPr="00513126">
        <w:rPr>
          <w:lang w:eastAsia="en-GB"/>
        </w:rPr>
        <w:t>On peut trouver dans la réglementation par mode de transport des dispositions modales</w:t>
      </w:r>
      <w:r>
        <w:rPr>
          <w:lang w:eastAsia="en-GB"/>
        </w:rPr>
        <w:t xml:space="preserve"> </w:t>
      </w:r>
      <w:r w:rsidRPr="00513126">
        <w:rPr>
          <w:lang w:eastAsia="en-GB"/>
        </w:rPr>
        <w:t>spéciales relatives au transport des marchandises dangereuses ainsi que des dérogations par rapport à ces</w:t>
      </w:r>
      <w:r w:rsidR="00E82D1D">
        <w:rPr>
          <w:lang w:eastAsia="en-GB"/>
        </w:rPr>
        <w:t xml:space="preserve"> </w:t>
      </w:r>
      <w:r w:rsidRPr="00513126">
        <w:rPr>
          <w:lang w:eastAsia="en-GB"/>
        </w:rPr>
        <w:t>prescriptions générales.</w:t>
      </w:r>
    </w:p>
    <w:p w:rsidR="00513126" w:rsidRPr="00A32EAF" w:rsidRDefault="00B529FB" w:rsidP="00B529FB">
      <w:pPr>
        <w:pStyle w:val="SingleTxtG"/>
        <w:ind w:firstLine="567"/>
        <w:rPr>
          <w:iCs/>
          <w:lang w:eastAsia="en-GB"/>
        </w:rPr>
      </w:pPr>
      <w:r w:rsidRPr="00B529FB">
        <w:rPr>
          <w:b/>
          <w:lang w:eastAsia="en-GB"/>
        </w:rPr>
        <w:t>2.</w:t>
      </w:r>
      <w:r>
        <w:rPr>
          <w:lang w:eastAsia="en-GB"/>
        </w:rPr>
        <w:tab/>
      </w:r>
      <w:r w:rsidR="00513126" w:rsidRPr="00513126">
        <w:rPr>
          <w:lang w:eastAsia="en-GB"/>
        </w:rPr>
        <w:t xml:space="preserve">Certaines dispositions spéciales du chapitre 3.3 mentionnent également des </w:t>
      </w:r>
      <w:bookmarkStart w:id="0" w:name="_GoBack"/>
      <w:bookmarkEnd w:id="0"/>
      <w:r w:rsidR="00513126" w:rsidRPr="00513126">
        <w:rPr>
          <w:lang w:eastAsia="en-GB"/>
        </w:rPr>
        <w:t>matières et</w:t>
      </w:r>
      <w:r w:rsidR="00A32EAF">
        <w:rPr>
          <w:lang w:eastAsia="en-GB"/>
        </w:rPr>
        <w:t xml:space="preserve"> </w:t>
      </w:r>
      <w:r w:rsidR="00513126" w:rsidRPr="00A32EAF">
        <w:rPr>
          <w:iCs/>
          <w:lang w:eastAsia="en-GB"/>
        </w:rPr>
        <w:t>objets qui ne sont pas soumis au présent Règlement.</w:t>
      </w:r>
    </w:p>
    <w:p w:rsidR="00513126" w:rsidRPr="00A32EAF" w:rsidRDefault="00B529FB" w:rsidP="00B529FB">
      <w:pPr>
        <w:pStyle w:val="SingleTxtG"/>
        <w:ind w:firstLine="567"/>
      </w:pPr>
      <w:r w:rsidRPr="00B529FB">
        <w:rPr>
          <w:b/>
          <w:lang w:eastAsia="en-GB"/>
        </w:rPr>
        <w:t>3.</w:t>
      </w:r>
      <w:r>
        <w:rPr>
          <w:lang w:eastAsia="en-GB"/>
        </w:rPr>
        <w:tab/>
      </w:r>
      <w:r w:rsidR="00513126" w:rsidRPr="00A32EAF">
        <w:rPr>
          <w:lang w:eastAsia="en-GB"/>
        </w:rPr>
        <w:t>Les dispositions du 1.1.1.2 a) ci-dessus s’appliquent uniquement au moyen de transport</w:t>
      </w:r>
      <w:r w:rsidR="00A32EAF" w:rsidRPr="00A32EAF">
        <w:rPr>
          <w:lang w:eastAsia="en-GB"/>
        </w:rPr>
        <w:t xml:space="preserve"> </w:t>
      </w:r>
      <w:r w:rsidR="00513126" w:rsidRPr="00A32EAF">
        <w:rPr>
          <w:iCs/>
          <w:lang w:eastAsia="en-GB"/>
        </w:rPr>
        <w:t>effectuant l’opération de transport.</w:t>
      </w:r>
      <w:r w:rsidR="00513126" w:rsidRPr="00A32EAF">
        <w:t xml:space="preserve"> </w:t>
      </w:r>
    </w:p>
    <w:p w:rsidR="00B31474" w:rsidRDefault="00B31474">
      <w:pPr>
        <w:pStyle w:val="SingleTxtG"/>
        <w:spacing w:before="240" w:after="0"/>
        <w:jc w:val="center"/>
        <w:rPr>
          <w:u w:val="single"/>
        </w:rPr>
      </w:pPr>
      <w:r>
        <w:rPr>
          <w:rFonts w:eastAsia="Arial"/>
          <w:u w:val="single"/>
        </w:rPr>
        <w:tab/>
      </w:r>
      <w:r>
        <w:rPr>
          <w:rFonts w:eastAsia="Arial"/>
          <w:u w:val="single"/>
        </w:rPr>
        <w:tab/>
      </w:r>
      <w:r>
        <w:rPr>
          <w:rFonts w:eastAsia="Arial"/>
          <w:u w:val="single"/>
        </w:rPr>
        <w:tab/>
      </w:r>
    </w:p>
    <w:sectPr w:rsidR="00B31474">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EA" w:rsidRDefault="00BC4EEA"/>
  </w:endnote>
  <w:endnote w:type="continuationSeparator" w:id="0">
    <w:p w:rsidR="00BC4EEA" w:rsidRDefault="00BC4EEA"/>
  </w:endnote>
  <w:endnote w:type="continuationNotice" w:id="1">
    <w:p w:rsidR="00BC4EEA" w:rsidRDefault="00BC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529FB">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3E3088">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EA" w:rsidRDefault="00BC4EEA">
      <w:pPr>
        <w:tabs>
          <w:tab w:val="right" w:pos="2155"/>
        </w:tabs>
        <w:spacing w:after="80"/>
        <w:ind w:left="680"/>
        <w:rPr>
          <w:u w:val="single"/>
        </w:rPr>
      </w:pPr>
      <w:r>
        <w:rPr>
          <w:u w:val="single"/>
        </w:rPr>
        <w:tab/>
      </w:r>
    </w:p>
  </w:footnote>
  <w:footnote w:type="continuationSeparator" w:id="0">
    <w:p w:rsidR="00BC4EEA" w:rsidRDefault="00BC4EEA">
      <w:pPr>
        <w:tabs>
          <w:tab w:val="left" w:pos="2155"/>
        </w:tabs>
        <w:spacing w:after="80"/>
        <w:ind w:left="680"/>
        <w:rPr>
          <w:u w:val="single"/>
        </w:rPr>
      </w:pPr>
      <w:r>
        <w:rPr>
          <w:u w:val="single"/>
        </w:rPr>
        <w:tab/>
      </w:r>
    </w:p>
  </w:footnote>
  <w:footnote w:type="continuationNotice" w:id="1">
    <w:p w:rsidR="00BC4EEA" w:rsidRDefault="00BC4EEA"/>
  </w:footnote>
  <w:footnote w:id="2">
    <w:p w:rsidR="008A0233" w:rsidRDefault="008A0233" w:rsidP="008A0233">
      <w:pPr>
        <w:pStyle w:val="FootnoteText"/>
        <w:ind w:firstLine="0"/>
      </w:pPr>
      <w:r>
        <w:rPr>
          <w:rStyle w:val="FootnoteReference"/>
        </w:rPr>
        <w:footnoteRef/>
      </w:r>
      <w:r>
        <w:t xml:space="preserve"> </w:t>
      </w:r>
      <w:r>
        <w:rPr>
          <w:spacing w:val="-2"/>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rPr>
        <w:lang w:val="en-US"/>
      </w:rPr>
    </w:pPr>
    <w:r>
      <w:rPr>
        <w:lang w:val="en-US"/>
      </w:rPr>
      <w:t>S</w:t>
    </w:r>
    <w:r w:rsidR="008A0233">
      <w:rPr>
        <w:lang w:val="en-US"/>
      </w:rPr>
      <w:t>T/SG/AC.10/C.3/2017</w:t>
    </w:r>
    <w:r>
      <w:rPr>
        <w:lang w:val="en-US"/>
      </w:rPr>
      <w:t>/</w:t>
    </w:r>
    <w:r w:rsidR="00A32EAF">
      <w:rPr>
        <w:lang w:val="en-US"/>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jc w:val="right"/>
      <w:rPr>
        <w:lang w:val="en-US"/>
      </w:rPr>
    </w:pPr>
    <w:r>
      <w:rPr>
        <w:lang w:val="en-US"/>
      </w:rPr>
      <w:t>ECE/TRANS/WP.15/AC.1/2012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F02451"/>
    <w:multiLevelType w:val="hybridMultilevel"/>
    <w:tmpl w:val="DB946D3A"/>
    <w:lvl w:ilvl="0" w:tplc="0409001B">
      <w:start w:val="1"/>
      <w:numFmt w:val="lowerRoman"/>
      <w:lvlText w:val="%1."/>
      <w:lvlJc w:val="right"/>
      <w:pPr>
        <w:ind w:left="3555" w:hanging="360"/>
      </w:pPr>
    </w:lvl>
    <w:lvl w:ilvl="1" w:tplc="100C0019" w:tentative="1">
      <w:start w:val="1"/>
      <w:numFmt w:val="lowerLetter"/>
      <w:lvlText w:val="%2."/>
      <w:lvlJc w:val="left"/>
      <w:pPr>
        <w:ind w:left="4275" w:hanging="360"/>
      </w:pPr>
    </w:lvl>
    <w:lvl w:ilvl="2" w:tplc="100C001B" w:tentative="1">
      <w:start w:val="1"/>
      <w:numFmt w:val="lowerRoman"/>
      <w:lvlText w:val="%3."/>
      <w:lvlJc w:val="right"/>
      <w:pPr>
        <w:ind w:left="4995" w:hanging="180"/>
      </w:pPr>
    </w:lvl>
    <w:lvl w:ilvl="3" w:tplc="100C000F" w:tentative="1">
      <w:start w:val="1"/>
      <w:numFmt w:val="decimal"/>
      <w:lvlText w:val="%4."/>
      <w:lvlJc w:val="left"/>
      <w:pPr>
        <w:ind w:left="5715" w:hanging="360"/>
      </w:pPr>
    </w:lvl>
    <w:lvl w:ilvl="4" w:tplc="100C0019" w:tentative="1">
      <w:start w:val="1"/>
      <w:numFmt w:val="lowerLetter"/>
      <w:lvlText w:val="%5."/>
      <w:lvlJc w:val="left"/>
      <w:pPr>
        <w:ind w:left="6435" w:hanging="360"/>
      </w:pPr>
    </w:lvl>
    <w:lvl w:ilvl="5" w:tplc="100C001B" w:tentative="1">
      <w:start w:val="1"/>
      <w:numFmt w:val="lowerRoman"/>
      <w:lvlText w:val="%6."/>
      <w:lvlJc w:val="right"/>
      <w:pPr>
        <w:ind w:left="7155" w:hanging="180"/>
      </w:pPr>
    </w:lvl>
    <w:lvl w:ilvl="6" w:tplc="100C000F" w:tentative="1">
      <w:start w:val="1"/>
      <w:numFmt w:val="decimal"/>
      <w:lvlText w:val="%7."/>
      <w:lvlJc w:val="left"/>
      <w:pPr>
        <w:ind w:left="7875" w:hanging="360"/>
      </w:pPr>
    </w:lvl>
    <w:lvl w:ilvl="7" w:tplc="100C0019" w:tentative="1">
      <w:start w:val="1"/>
      <w:numFmt w:val="lowerLetter"/>
      <w:lvlText w:val="%8."/>
      <w:lvlJc w:val="left"/>
      <w:pPr>
        <w:ind w:left="8595" w:hanging="360"/>
      </w:pPr>
    </w:lvl>
    <w:lvl w:ilvl="8" w:tplc="100C001B" w:tentative="1">
      <w:start w:val="1"/>
      <w:numFmt w:val="lowerRoman"/>
      <w:lvlText w:val="%9."/>
      <w:lvlJc w:val="right"/>
      <w:pPr>
        <w:ind w:left="9315" w:hanging="180"/>
      </w:pPr>
    </w:lvl>
  </w:abstractNum>
  <w:abstractNum w:abstractNumId="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5F2700F"/>
    <w:multiLevelType w:val="hybridMultilevel"/>
    <w:tmpl w:val="911E923A"/>
    <w:lvl w:ilvl="0" w:tplc="E16C95DC">
      <w:start w:val="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0">
    <w:nsid w:val="2E202DAC"/>
    <w:multiLevelType w:val="hybridMultilevel"/>
    <w:tmpl w:val="AE86BF6E"/>
    <w:lvl w:ilvl="0" w:tplc="014E6ECA">
      <w:start w:val="5"/>
      <w:numFmt w:val="decimal"/>
      <w:lvlText w:val="%1."/>
      <w:lvlJc w:val="left"/>
      <w:pPr>
        <w:ind w:left="2070" w:hanging="360"/>
      </w:pPr>
      <w:rPr>
        <w:rFonts w:hint="default"/>
      </w:rPr>
    </w:lvl>
    <w:lvl w:ilvl="1" w:tplc="100C0019" w:tentative="1">
      <w:start w:val="1"/>
      <w:numFmt w:val="lowerLetter"/>
      <w:lvlText w:val="%2."/>
      <w:lvlJc w:val="left"/>
      <w:pPr>
        <w:ind w:left="2790" w:hanging="360"/>
      </w:pPr>
    </w:lvl>
    <w:lvl w:ilvl="2" w:tplc="100C001B" w:tentative="1">
      <w:start w:val="1"/>
      <w:numFmt w:val="lowerRoman"/>
      <w:lvlText w:val="%3."/>
      <w:lvlJc w:val="right"/>
      <w:pPr>
        <w:ind w:left="3510" w:hanging="180"/>
      </w:pPr>
    </w:lvl>
    <w:lvl w:ilvl="3" w:tplc="100C000F" w:tentative="1">
      <w:start w:val="1"/>
      <w:numFmt w:val="decimal"/>
      <w:lvlText w:val="%4."/>
      <w:lvlJc w:val="left"/>
      <w:pPr>
        <w:ind w:left="4230" w:hanging="360"/>
      </w:pPr>
    </w:lvl>
    <w:lvl w:ilvl="4" w:tplc="100C0019" w:tentative="1">
      <w:start w:val="1"/>
      <w:numFmt w:val="lowerLetter"/>
      <w:lvlText w:val="%5."/>
      <w:lvlJc w:val="left"/>
      <w:pPr>
        <w:ind w:left="4950" w:hanging="360"/>
      </w:pPr>
    </w:lvl>
    <w:lvl w:ilvl="5" w:tplc="100C001B" w:tentative="1">
      <w:start w:val="1"/>
      <w:numFmt w:val="lowerRoman"/>
      <w:lvlText w:val="%6."/>
      <w:lvlJc w:val="right"/>
      <w:pPr>
        <w:ind w:left="5670" w:hanging="180"/>
      </w:pPr>
    </w:lvl>
    <w:lvl w:ilvl="6" w:tplc="100C000F" w:tentative="1">
      <w:start w:val="1"/>
      <w:numFmt w:val="decimal"/>
      <w:lvlText w:val="%7."/>
      <w:lvlJc w:val="left"/>
      <w:pPr>
        <w:ind w:left="6390" w:hanging="360"/>
      </w:pPr>
    </w:lvl>
    <w:lvl w:ilvl="7" w:tplc="100C0019" w:tentative="1">
      <w:start w:val="1"/>
      <w:numFmt w:val="lowerLetter"/>
      <w:lvlText w:val="%8."/>
      <w:lvlJc w:val="left"/>
      <w:pPr>
        <w:ind w:left="7110" w:hanging="360"/>
      </w:pPr>
    </w:lvl>
    <w:lvl w:ilvl="8" w:tplc="100C001B" w:tentative="1">
      <w:start w:val="1"/>
      <w:numFmt w:val="lowerRoman"/>
      <w:lvlText w:val="%9."/>
      <w:lvlJc w:val="right"/>
      <w:pPr>
        <w:ind w:left="7830" w:hanging="180"/>
      </w:pPr>
    </w:lvl>
  </w:abstractNum>
  <w:abstractNum w:abstractNumId="11">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5">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663E3725"/>
    <w:multiLevelType w:val="hybridMultilevel"/>
    <w:tmpl w:val="312A7FF2"/>
    <w:lvl w:ilvl="0" w:tplc="44C23748">
      <w:start w:val="1"/>
      <w:numFmt w:val="decimal"/>
      <w:lvlText w:val="%1."/>
      <w:lvlJc w:val="left"/>
      <w:pPr>
        <w:ind w:left="1710" w:hanging="576"/>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6E271474"/>
    <w:multiLevelType w:val="hybridMultilevel"/>
    <w:tmpl w:val="244E17FE"/>
    <w:lvl w:ilvl="0" w:tplc="2AB6DCE6">
      <w:start w:val="1"/>
      <w:numFmt w:val="lowerLetter"/>
      <w:lvlText w:val="%1)"/>
      <w:lvlJc w:val="left"/>
      <w:pPr>
        <w:ind w:left="3411" w:hanging="576"/>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21">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3">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
  </w:num>
  <w:num w:numId="5">
    <w:abstractNumId w:val="2"/>
  </w:num>
  <w:num w:numId="6">
    <w:abstractNumId w:val="11"/>
  </w:num>
  <w:num w:numId="7">
    <w:abstractNumId w:val="17"/>
  </w:num>
  <w:num w:numId="8">
    <w:abstractNumId w:val="22"/>
  </w:num>
  <w:num w:numId="9">
    <w:abstractNumId w:val="14"/>
  </w:num>
  <w:num w:numId="10">
    <w:abstractNumId w:val="23"/>
  </w:num>
  <w:num w:numId="11">
    <w:abstractNumId w:val="13"/>
  </w:num>
  <w:num w:numId="12">
    <w:abstractNumId w:val="19"/>
  </w:num>
  <w:num w:numId="13">
    <w:abstractNumId w:val="19"/>
  </w:num>
  <w:num w:numId="14">
    <w:abstractNumId w:val="19"/>
  </w:num>
  <w:num w:numId="15">
    <w:abstractNumId w:val="5"/>
  </w:num>
  <w:num w:numId="16">
    <w:abstractNumId w:val="7"/>
  </w:num>
  <w:num w:numId="17">
    <w:abstractNumId w:val="16"/>
  </w:num>
  <w:num w:numId="18">
    <w:abstractNumId w:val="4"/>
  </w:num>
  <w:num w:numId="19">
    <w:abstractNumId w:val="21"/>
  </w:num>
  <w:num w:numId="20">
    <w:abstractNumId w:val="9"/>
  </w:num>
  <w:num w:numId="21">
    <w:abstractNumId w:val="6"/>
  </w:num>
  <w:num w:numId="22">
    <w:abstractNumId w:val="15"/>
  </w:num>
  <w:num w:numId="23">
    <w:abstractNumId w:val="18"/>
  </w:num>
  <w:num w:numId="24">
    <w:abstractNumId w:val="8"/>
  </w:num>
  <w:num w:numId="25">
    <w:abstractNumId w:val="10"/>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02"/>
    <w:rsid w:val="00012DAC"/>
    <w:rsid w:val="00013866"/>
    <w:rsid w:val="00014AEA"/>
    <w:rsid w:val="00042CFB"/>
    <w:rsid w:val="00046BFA"/>
    <w:rsid w:val="00051400"/>
    <w:rsid w:val="00054394"/>
    <w:rsid w:val="0005650A"/>
    <w:rsid w:val="000659E4"/>
    <w:rsid w:val="0007777B"/>
    <w:rsid w:val="000806FE"/>
    <w:rsid w:val="000B3266"/>
    <w:rsid w:val="000C06F0"/>
    <w:rsid w:val="000E5CC0"/>
    <w:rsid w:val="000F1361"/>
    <w:rsid w:val="000F7333"/>
    <w:rsid w:val="001058BC"/>
    <w:rsid w:val="001300FA"/>
    <w:rsid w:val="00142FBC"/>
    <w:rsid w:val="00145AFF"/>
    <w:rsid w:val="00186A81"/>
    <w:rsid w:val="001919BB"/>
    <w:rsid w:val="001A44AF"/>
    <w:rsid w:val="001C6A24"/>
    <w:rsid w:val="001E0915"/>
    <w:rsid w:val="001E36A9"/>
    <w:rsid w:val="00203D55"/>
    <w:rsid w:val="00210222"/>
    <w:rsid w:val="0023481B"/>
    <w:rsid w:val="00236B05"/>
    <w:rsid w:val="00237CAF"/>
    <w:rsid w:val="00242278"/>
    <w:rsid w:val="002475A5"/>
    <w:rsid w:val="00253A00"/>
    <w:rsid w:val="0026107C"/>
    <w:rsid w:val="002A7E67"/>
    <w:rsid w:val="002B2A54"/>
    <w:rsid w:val="002D0389"/>
    <w:rsid w:val="002D3C26"/>
    <w:rsid w:val="002E2543"/>
    <w:rsid w:val="00303746"/>
    <w:rsid w:val="00321DA8"/>
    <w:rsid w:val="00366908"/>
    <w:rsid w:val="00377958"/>
    <w:rsid w:val="003A46D3"/>
    <w:rsid w:val="003C1D73"/>
    <w:rsid w:val="003E3088"/>
    <w:rsid w:val="003F76C3"/>
    <w:rsid w:val="00403C69"/>
    <w:rsid w:val="00410486"/>
    <w:rsid w:val="00411A60"/>
    <w:rsid w:val="004133DE"/>
    <w:rsid w:val="004362EC"/>
    <w:rsid w:val="00454DF9"/>
    <w:rsid w:val="00460828"/>
    <w:rsid w:val="00460FB7"/>
    <w:rsid w:val="00472BFF"/>
    <w:rsid w:val="004909C7"/>
    <w:rsid w:val="00490C26"/>
    <w:rsid w:val="00493EEB"/>
    <w:rsid w:val="00494212"/>
    <w:rsid w:val="004969DF"/>
    <w:rsid w:val="004B6935"/>
    <w:rsid w:val="004C7AF3"/>
    <w:rsid w:val="004D406E"/>
    <w:rsid w:val="004E16BC"/>
    <w:rsid w:val="00513126"/>
    <w:rsid w:val="005257E8"/>
    <w:rsid w:val="005343BA"/>
    <w:rsid w:val="00553ABF"/>
    <w:rsid w:val="00582F51"/>
    <w:rsid w:val="005A4236"/>
    <w:rsid w:val="005B7088"/>
    <w:rsid w:val="005D5FB8"/>
    <w:rsid w:val="005F25FC"/>
    <w:rsid w:val="00602038"/>
    <w:rsid w:val="00637F41"/>
    <w:rsid w:val="006437EB"/>
    <w:rsid w:val="00654BFA"/>
    <w:rsid w:val="006655BC"/>
    <w:rsid w:val="00692206"/>
    <w:rsid w:val="00693E6C"/>
    <w:rsid w:val="006A3076"/>
    <w:rsid w:val="006B41BB"/>
    <w:rsid w:val="006C4B1E"/>
    <w:rsid w:val="006E38B9"/>
    <w:rsid w:val="00734DB1"/>
    <w:rsid w:val="00770CF5"/>
    <w:rsid w:val="007808F4"/>
    <w:rsid w:val="007848F1"/>
    <w:rsid w:val="00797850"/>
    <w:rsid w:val="007B3972"/>
    <w:rsid w:val="007C2370"/>
    <w:rsid w:val="007F25D7"/>
    <w:rsid w:val="007F44FA"/>
    <w:rsid w:val="007F5758"/>
    <w:rsid w:val="007F7FB2"/>
    <w:rsid w:val="0088239A"/>
    <w:rsid w:val="008A0233"/>
    <w:rsid w:val="008E603E"/>
    <w:rsid w:val="00936806"/>
    <w:rsid w:val="00942D74"/>
    <w:rsid w:val="00963ABD"/>
    <w:rsid w:val="009809C7"/>
    <w:rsid w:val="009C65A4"/>
    <w:rsid w:val="009F1D42"/>
    <w:rsid w:val="00A12E4C"/>
    <w:rsid w:val="00A32EAF"/>
    <w:rsid w:val="00A33E02"/>
    <w:rsid w:val="00A40D5B"/>
    <w:rsid w:val="00A47DAE"/>
    <w:rsid w:val="00A64AD8"/>
    <w:rsid w:val="00A64E61"/>
    <w:rsid w:val="00A702DC"/>
    <w:rsid w:val="00A953BC"/>
    <w:rsid w:val="00AA54DF"/>
    <w:rsid w:val="00AD6337"/>
    <w:rsid w:val="00AE43F0"/>
    <w:rsid w:val="00B31474"/>
    <w:rsid w:val="00B31F3F"/>
    <w:rsid w:val="00B529FB"/>
    <w:rsid w:val="00B535AB"/>
    <w:rsid w:val="00B87401"/>
    <w:rsid w:val="00B90BC5"/>
    <w:rsid w:val="00B96B24"/>
    <w:rsid w:val="00BA24A5"/>
    <w:rsid w:val="00BC3265"/>
    <w:rsid w:val="00BC4EEA"/>
    <w:rsid w:val="00BF5491"/>
    <w:rsid w:val="00C25565"/>
    <w:rsid w:val="00C3691C"/>
    <w:rsid w:val="00C45B63"/>
    <w:rsid w:val="00C557B3"/>
    <w:rsid w:val="00C55D8F"/>
    <w:rsid w:val="00C77778"/>
    <w:rsid w:val="00CA6F0F"/>
    <w:rsid w:val="00CB75C1"/>
    <w:rsid w:val="00CD093A"/>
    <w:rsid w:val="00CE7102"/>
    <w:rsid w:val="00CF15C4"/>
    <w:rsid w:val="00D13709"/>
    <w:rsid w:val="00D71359"/>
    <w:rsid w:val="00D80310"/>
    <w:rsid w:val="00D96C4D"/>
    <w:rsid w:val="00DA422B"/>
    <w:rsid w:val="00DC3E98"/>
    <w:rsid w:val="00DC7C47"/>
    <w:rsid w:val="00DF0BF7"/>
    <w:rsid w:val="00E342C8"/>
    <w:rsid w:val="00E60D87"/>
    <w:rsid w:val="00E6328D"/>
    <w:rsid w:val="00E72C4C"/>
    <w:rsid w:val="00E82D1D"/>
    <w:rsid w:val="00E8311F"/>
    <w:rsid w:val="00EA7E36"/>
    <w:rsid w:val="00EC76DD"/>
    <w:rsid w:val="00ED14EB"/>
    <w:rsid w:val="00ED6661"/>
    <w:rsid w:val="00EE3058"/>
    <w:rsid w:val="00F24FAC"/>
    <w:rsid w:val="00F433B8"/>
    <w:rsid w:val="00F43B95"/>
    <w:rsid w:val="00F43BCB"/>
    <w:rsid w:val="00F46AFD"/>
    <w:rsid w:val="00F54520"/>
    <w:rsid w:val="00F62ED1"/>
    <w:rsid w:val="00F71F61"/>
    <w:rsid w:val="00FA4A4F"/>
    <w:rsid w:val="00FB00F6"/>
    <w:rsid w:val="00FB722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ListParagraph">
    <w:name w:val="List Paragraph"/>
    <w:basedOn w:val="Normal"/>
    <w:uiPriority w:val="34"/>
    <w:qFormat/>
    <w:rsid w:val="00FB7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ListParagraph">
    <w:name w:val="List Paragraph"/>
    <w:basedOn w:val="Normal"/>
    <w:uiPriority w:val="34"/>
    <w:qFormat/>
    <w:rsid w:val="00FB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563979625">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9D44-42E1-40E8-A5DB-A382F068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606</Words>
  <Characters>3717</Characters>
  <Application>Microsoft Office Word</Application>
  <DocSecurity>0</DocSecurity>
  <Lines>76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3</cp:revision>
  <cp:lastPrinted>2017-04-06T11:46:00Z</cp:lastPrinted>
  <dcterms:created xsi:type="dcterms:W3CDTF">2017-04-06T11:19:00Z</dcterms:created>
  <dcterms:modified xsi:type="dcterms:W3CDTF">2017-04-06T11:46:00Z</dcterms:modified>
</cp:coreProperties>
</file>