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074200">
            <w:pPr>
              <w:suppressAutoHyphens w:val="0"/>
              <w:spacing w:after="20"/>
              <w:jc w:val="right"/>
            </w:pPr>
            <w:r w:rsidRPr="007B2B1F">
              <w:rPr>
                <w:sz w:val="40"/>
              </w:rPr>
              <w:t>ST</w:t>
            </w:r>
            <w:r w:rsidR="00077628" w:rsidRPr="007B2B1F">
              <w:t>/SG/AC.10/C.3/201</w:t>
            </w:r>
            <w:r w:rsidR="00FD1538">
              <w:t>7</w:t>
            </w:r>
            <w:r w:rsidR="00077628" w:rsidRPr="007B2B1F">
              <w:t>/</w:t>
            </w:r>
            <w:r w:rsidR="00074200">
              <w:t>18</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5B6A92" w:rsidP="00C14945">
            <w:pPr>
              <w:spacing w:before="120"/>
              <w:jc w:val="cent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_unlogo" style="width:56.3pt;height:46.6pt;visibility:visible">
                  <v:imagedata r:id="rId9" o:title="_unlogo"/>
                </v:shape>
              </w:pict>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C14945">
            <w:pPr>
              <w:suppressAutoHyphens w:val="0"/>
              <w:spacing w:before="240" w:line="240" w:lineRule="exact"/>
            </w:pPr>
            <w:r w:rsidRPr="007B2B1F">
              <w:t>Distr.: General</w:t>
            </w:r>
          </w:p>
          <w:p w:rsidR="00C14945" w:rsidRPr="007B2B1F" w:rsidRDefault="00074200" w:rsidP="00C14945">
            <w:pPr>
              <w:suppressAutoHyphens w:val="0"/>
            </w:pPr>
            <w:r>
              <w:t>4</w:t>
            </w:r>
            <w:r w:rsidR="00FD4552">
              <w:t xml:space="preserve"> April</w:t>
            </w:r>
            <w:r w:rsidR="00C66798" w:rsidRPr="007B2B1F">
              <w:t xml:space="preserve"> 201</w:t>
            </w:r>
            <w:r w:rsidR="00FC6BBC">
              <w:t>7</w:t>
            </w:r>
          </w:p>
          <w:p w:rsidR="00C14945" w:rsidRPr="007B2B1F" w:rsidRDefault="00C14945" w:rsidP="00C14945">
            <w:pPr>
              <w:suppressAutoHyphens w:val="0"/>
            </w:pP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074200" w:rsidP="00C14945">
      <w:pPr>
        <w:spacing w:before="120"/>
        <w:rPr>
          <w:b/>
        </w:rPr>
      </w:pPr>
      <w:r>
        <w:rPr>
          <w:b/>
        </w:rPr>
        <w:t>Fifty-</w:t>
      </w:r>
      <w:r w:rsidR="00FC6BBC">
        <w:rPr>
          <w:b/>
        </w:rPr>
        <w:t>first</w:t>
      </w:r>
      <w:r w:rsidR="00C14945" w:rsidRPr="007B2B1F">
        <w:rPr>
          <w:b/>
        </w:rPr>
        <w:t xml:space="preserve"> session</w:t>
      </w:r>
    </w:p>
    <w:p w:rsidR="00C14945" w:rsidRPr="007B2B1F" w:rsidRDefault="00C14945" w:rsidP="00C14945">
      <w:r w:rsidRPr="007B2B1F">
        <w:t xml:space="preserve">Geneva, </w:t>
      </w:r>
      <w:r w:rsidR="00FC6BBC">
        <w:t>3-</w:t>
      </w:r>
      <w:r w:rsidR="006D3E0B">
        <w:t>7</w:t>
      </w:r>
      <w:r w:rsidRPr="007B2B1F">
        <w:t xml:space="preserve"> </w:t>
      </w:r>
      <w:r w:rsidR="00C66798" w:rsidRPr="007B2B1F">
        <w:t>July 2016</w:t>
      </w:r>
    </w:p>
    <w:p w:rsidR="00C14945" w:rsidRPr="007B2B1F" w:rsidRDefault="00C14945" w:rsidP="00C14945">
      <w:pPr>
        <w:rPr>
          <w:b/>
        </w:rPr>
      </w:pPr>
      <w:r w:rsidRPr="007B2B1F">
        <w:t xml:space="preserve">Item </w:t>
      </w:r>
      <w:r w:rsidR="00C42B3C" w:rsidRPr="007B2B1F">
        <w:t>5 (b)</w:t>
      </w:r>
      <w:r w:rsidRPr="007B2B1F">
        <w:t xml:space="preserve"> of the provisional agenda</w:t>
      </w:r>
      <w:r w:rsidRPr="007B2B1F">
        <w:rPr>
          <w:b/>
        </w:rPr>
        <w:t xml:space="preserve"> </w:t>
      </w:r>
      <w:r w:rsidRPr="007B2B1F">
        <w:rPr>
          <w:b/>
        </w:rPr>
        <w:br/>
      </w:r>
      <w:r w:rsidR="00C42B3C" w:rsidRPr="007B2B1F">
        <w:rPr>
          <w:b/>
        </w:rPr>
        <w:t xml:space="preserve">Transport of gases: miscellaneous </w:t>
      </w:r>
    </w:p>
    <w:p w:rsidR="000062D2" w:rsidRPr="007B2B1F" w:rsidRDefault="00C42B3C" w:rsidP="000062D2">
      <w:pPr>
        <w:pStyle w:val="HChG"/>
      </w:pPr>
      <w:r w:rsidRPr="007B2B1F">
        <w:tab/>
      </w:r>
      <w:r w:rsidRPr="007B2B1F">
        <w:tab/>
      </w:r>
      <w:r w:rsidR="00EF320A">
        <w:t>Miscellaneous amendments to</w:t>
      </w:r>
      <w:r w:rsidR="00197FE9">
        <w:t xml:space="preserve"> </w:t>
      </w:r>
      <w:r w:rsidR="00FD1538">
        <w:t>Class 2</w:t>
      </w:r>
    </w:p>
    <w:p w:rsidR="009B1518" w:rsidRPr="007B2B1F" w:rsidRDefault="002D4B6C" w:rsidP="001F602E">
      <w:pPr>
        <w:pStyle w:val="H1G"/>
        <w:jc w:val="both"/>
      </w:pPr>
      <w:r w:rsidRPr="007B2B1F">
        <w:tab/>
      </w:r>
      <w:r w:rsidRPr="007B2B1F">
        <w:tab/>
      </w:r>
      <w:r w:rsidR="009B1518" w:rsidRPr="007B2B1F">
        <w:t xml:space="preserve">Transmitted by the </w:t>
      </w:r>
      <w:r w:rsidR="00853EBC" w:rsidRPr="007B2B1F">
        <w:t>International Organisation for Standardisation (ISO</w:t>
      </w:r>
      <w:r w:rsidR="00077628" w:rsidRPr="007B2B1F">
        <w:t>)</w:t>
      </w:r>
      <w:r w:rsidR="00074200">
        <w:rPr>
          <w:rStyle w:val="FootnoteReference"/>
        </w:rPr>
        <w:footnoteReference w:id="2"/>
      </w:r>
    </w:p>
    <w:p w:rsidR="001D7F46" w:rsidRPr="007B2B1F" w:rsidRDefault="001E0B9E" w:rsidP="00074200">
      <w:pPr>
        <w:pStyle w:val="HChG"/>
      </w:pPr>
      <w:r w:rsidRPr="007B2B1F">
        <w:tab/>
      </w:r>
      <w:r w:rsidRPr="007B2B1F">
        <w:tab/>
      </w:r>
      <w:r w:rsidR="001D7F46" w:rsidRPr="00074200">
        <w:t>Introduction</w:t>
      </w:r>
    </w:p>
    <w:p w:rsidR="00C42B3C" w:rsidRPr="007B2B1F" w:rsidRDefault="00CC1ADB" w:rsidP="00A17336">
      <w:pPr>
        <w:pStyle w:val="Default"/>
        <w:spacing w:after="120"/>
        <w:ind w:left="1134" w:right="1134"/>
        <w:jc w:val="both"/>
        <w:rPr>
          <w:sz w:val="20"/>
          <w:szCs w:val="20"/>
          <w:lang w:val="en-GB"/>
        </w:rPr>
      </w:pPr>
      <w:r w:rsidRPr="007B2B1F">
        <w:rPr>
          <w:sz w:val="20"/>
          <w:szCs w:val="20"/>
          <w:lang w:val="en-GB"/>
        </w:rPr>
        <w:t>1.</w:t>
      </w:r>
      <w:r w:rsidRPr="007B2B1F">
        <w:rPr>
          <w:sz w:val="20"/>
          <w:szCs w:val="20"/>
          <w:lang w:val="en-GB"/>
        </w:rPr>
        <w:tab/>
      </w:r>
      <w:r w:rsidR="00C42B3C" w:rsidRPr="007B2B1F">
        <w:rPr>
          <w:sz w:val="20"/>
          <w:szCs w:val="20"/>
          <w:lang w:val="en-GB"/>
        </w:rPr>
        <w:t>T</w:t>
      </w:r>
      <w:r w:rsidR="0094154D" w:rsidRPr="007B2B1F">
        <w:rPr>
          <w:sz w:val="20"/>
          <w:szCs w:val="20"/>
          <w:lang w:val="en-GB"/>
        </w:rPr>
        <w:t>h</w:t>
      </w:r>
      <w:r w:rsidR="00EF320A">
        <w:rPr>
          <w:sz w:val="20"/>
          <w:szCs w:val="20"/>
          <w:lang w:val="en-GB"/>
        </w:rPr>
        <w:t xml:space="preserve">is paper proposes three </w:t>
      </w:r>
      <w:r w:rsidR="00AA195C">
        <w:rPr>
          <w:sz w:val="20"/>
          <w:szCs w:val="20"/>
          <w:lang w:val="en-GB"/>
        </w:rPr>
        <w:t xml:space="preserve">separate </w:t>
      </w:r>
      <w:r w:rsidR="00EF320A">
        <w:rPr>
          <w:sz w:val="20"/>
          <w:szCs w:val="20"/>
          <w:lang w:val="en-GB"/>
        </w:rPr>
        <w:t>amendments t</w:t>
      </w:r>
      <w:r w:rsidR="00074200">
        <w:rPr>
          <w:sz w:val="20"/>
          <w:szCs w:val="20"/>
          <w:lang w:val="en-GB"/>
        </w:rPr>
        <w:t xml:space="preserve">o the text of the Regulations. </w:t>
      </w:r>
      <w:r w:rsidR="00EF320A">
        <w:rPr>
          <w:sz w:val="20"/>
          <w:szCs w:val="20"/>
          <w:lang w:val="en-GB"/>
        </w:rPr>
        <w:t xml:space="preserve">The first changes the requirements for MEGCs to allow composite </w:t>
      </w:r>
      <w:r w:rsidR="00074200">
        <w:rPr>
          <w:sz w:val="20"/>
          <w:szCs w:val="20"/>
          <w:lang w:val="en-GB"/>
        </w:rPr>
        <w:t xml:space="preserve">construction for the elements. </w:t>
      </w:r>
      <w:r w:rsidR="00EF320A">
        <w:rPr>
          <w:sz w:val="20"/>
          <w:szCs w:val="20"/>
          <w:lang w:val="en-GB"/>
        </w:rPr>
        <w:t>The second proposes a note to explain which</w:t>
      </w:r>
      <w:r w:rsidR="00A75372">
        <w:rPr>
          <w:sz w:val="20"/>
          <w:szCs w:val="20"/>
          <w:lang w:val="en-GB"/>
        </w:rPr>
        <w:t xml:space="preserve"> country is meant by “country of approval”</w:t>
      </w:r>
      <w:r w:rsidR="00EF320A">
        <w:rPr>
          <w:sz w:val="20"/>
          <w:szCs w:val="20"/>
          <w:lang w:val="en-GB"/>
        </w:rPr>
        <w:t xml:space="preserve"> in the requirements for marking pressure receptacles. The third defines the thickness of pressure drums </w:t>
      </w:r>
      <w:r w:rsidR="00A17336">
        <w:rPr>
          <w:sz w:val="20"/>
          <w:szCs w:val="20"/>
          <w:lang w:val="en-GB"/>
        </w:rPr>
        <w:t>when carrying substances with an LC</w:t>
      </w:r>
      <w:r w:rsidR="00A17336">
        <w:rPr>
          <w:sz w:val="20"/>
          <w:szCs w:val="20"/>
          <w:vertAlign w:val="subscript"/>
          <w:lang w:val="en-GB"/>
        </w:rPr>
        <w:t>50</w:t>
      </w:r>
      <w:r w:rsidR="00A17336">
        <w:rPr>
          <w:sz w:val="20"/>
          <w:szCs w:val="20"/>
          <w:lang w:val="en-GB"/>
        </w:rPr>
        <w:t xml:space="preserve"> less than or equal to 200 ml/m</w:t>
      </w:r>
      <w:r w:rsidR="00A17336">
        <w:rPr>
          <w:sz w:val="20"/>
          <w:szCs w:val="20"/>
          <w:vertAlign w:val="superscript"/>
          <w:lang w:val="en-GB"/>
        </w:rPr>
        <w:t>3</w:t>
      </w:r>
      <w:r w:rsidR="00074200">
        <w:rPr>
          <w:sz w:val="20"/>
          <w:szCs w:val="20"/>
          <w:lang w:val="en-GB"/>
        </w:rPr>
        <w:t xml:space="preserve">. </w:t>
      </w:r>
      <w:r w:rsidR="00A17336">
        <w:rPr>
          <w:sz w:val="20"/>
          <w:szCs w:val="20"/>
          <w:lang w:val="en-GB"/>
        </w:rPr>
        <w:t>At present this thickness is determined by the competent authority which creates uncertainty and lack of harmony.</w:t>
      </w:r>
      <w:r w:rsidR="00EF320A">
        <w:rPr>
          <w:sz w:val="20"/>
          <w:szCs w:val="20"/>
          <w:lang w:val="en-GB"/>
        </w:rPr>
        <w:t xml:space="preserve"> </w:t>
      </w:r>
    </w:p>
    <w:p w:rsidR="00021776" w:rsidRPr="007B2B1F" w:rsidRDefault="00A75372" w:rsidP="00A75372">
      <w:pPr>
        <w:pStyle w:val="HChG"/>
      </w:pPr>
      <w:r>
        <w:tab/>
      </w:r>
      <w:r>
        <w:tab/>
      </w:r>
      <w:r w:rsidR="00021776" w:rsidRPr="007B2B1F">
        <w:t>Proposal 1</w:t>
      </w:r>
    </w:p>
    <w:p w:rsidR="00A17336" w:rsidRDefault="00B9414F" w:rsidP="00A75372">
      <w:pPr>
        <w:pStyle w:val="SingleTxtG"/>
      </w:pPr>
      <w:r w:rsidRPr="007B2B1F">
        <w:t>2</w:t>
      </w:r>
      <w:r w:rsidR="0029750B" w:rsidRPr="007B2B1F">
        <w:t>.</w:t>
      </w:r>
      <w:r w:rsidR="0029750B" w:rsidRPr="007B2B1F">
        <w:tab/>
      </w:r>
      <w:r w:rsidR="00A17336">
        <w:t>In 6.7.5.2.3 amend the first sentence as shown (new text underlined).</w:t>
      </w:r>
    </w:p>
    <w:p w:rsidR="009730AF" w:rsidRPr="007B2B1F" w:rsidRDefault="00A17336" w:rsidP="00A75372">
      <w:pPr>
        <w:pStyle w:val="SingleTxtG"/>
        <w:ind w:left="1701"/>
        <w:rPr>
          <w:i/>
        </w:rPr>
      </w:pPr>
      <w:r>
        <w:t>Elements of an MEGC shall be made of seamless steel</w:t>
      </w:r>
      <w:r w:rsidRPr="00A17336">
        <w:rPr>
          <w:u w:val="single"/>
        </w:rPr>
        <w:t>, seamless aluminium or composite construction</w:t>
      </w:r>
      <w:r>
        <w:t xml:space="preserve"> and be constructed and tested according to Chapter 6.2. </w:t>
      </w:r>
    </w:p>
    <w:p w:rsidR="00BC38BF" w:rsidRPr="007B2B1F" w:rsidRDefault="005B6A92" w:rsidP="00613196">
      <w:pPr>
        <w:pStyle w:val="HChG"/>
        <w:ind w:left="2268"/>
      </w:pPr>
      <w:r>
        <w:lastRenderedPageBreak/>
        <w:t>Justification for p</w:t>
      </w:r>
      <w:r w:rsidR="00BC38BF" w:rsidRPr="007B2B1F">
        <w:t xml:space="preserve">roposal </w:t>
      </w:r>
      <w:r w:rsidR="00B9414F" w:rsidRPr="007B2B1F">
        <w:t>1</w:t>
      </w:r>
    </w:p>
    <w:p w:rsidR="00EB2884" w:rsidRPr="007B2B1F" w:rsidRDefault="00B9414F" w:rsidP="00A75372">
      <w:pPr>
        <w:pStyle w:val="SingleTxtG"/>
      </w:pPr>
      <w:r w:rsidRPr="007B2B1F">
        <w:t>3</w:t>
      </w:r>
      <w:r w:rsidR="00FC7CF8" w:rsidRPr="007B2B1F">
        <w:t>.</w:t>
      </w:r>
      <w:r w:rsidR="00FC7CF8" w:rsidRPr="007B2B1F">
        <w:tab/>
      </w:r>
      <w:r w:rsidR="008325BA">
        <w:t>Experts are reminded that in the 19</w:t>
      </w:r>
      <w:r w:rsidR="008325BA" w:rsidRPr="008325BA">
        <w:rPr>
          <w:vertAlign w:val="superscript"/>
        </w:rPr>
        <w:t>th</w:t>
      </w:r>
      <w:r w:rsidR="005B6A92">
        <w:t xml:space="preserve"> r</w:t>
      </w:r>
      <w:r w:rsidR="008325BA">
        <w:t>evis</w:t>
      </w:r>
      <w:r w:rsidR="005B6A92">
        <w:t>ed edition</w:t>
      </w:r>
      <w:r w:rsidR="008325BA">
        <w:t xml:space="preserve"> </w:t>
      </w:r>
      <w:r w:rsidR="004C508C">
        <w:t xml:space="preserve">of the Model Regulations </w:t>
      </w:r>
      <w:r w:rsidR="008325BA">
        <w:t xml:space="preserve">the definition of </w:t>
      </w:r>
      <w:r w:rsidR="004C508C">
        <w:t xml:space="preserve">a </w:t>
      </w:r>
      <w:r w:rsidR="008325BA">
        <w:t xml:space="preserve">tube was </w:t>
      </w:r>
      <w:r w:rsidR="008325BA" w:rsidRPr="00A75372">
        <w:t>amended</w:t>
      </w:r>
      <w:r w:rsidR="008325BA">
        <w:t xml:space="preserve"> to include composite construction and this </w:t>
      </w:r>
      <w:r w:rsidR="004C508C">
        <w:t>R</w:t>
      </w:r>
      <w:r w:rsidR="008325BA">
        <w:t>evision also included standards for the construction of composite tubes.  It is therefore anomalous to exclude composite construction from MEGCs in secti</w:t>
      </w:r>
      <w:r w:rsidR="009B3208">
        <w:t xml:space="preserve">on 6.7.5.  This section was drafted and approved </w:t>
      </w:r>
      <w:r w:rsidR="004C508C">
        <w:t>early this century and at that time steel cylinders and tubes we</w:t>
      </w:r>
      <w:r w:rsidR="003452F7">
        <w:t xml:space="preserve">re universally used. </w:t>
      </w:r>
      <w:r w:rsidR="004C508C">
        <w:t>Aluminium has found few if any uses in MEGCs, but there seems no technical or safety reason why it should not be included.</w:t>
      </w:r>
    </w:p>
    <w:p w:rsidR="00AE4A41" w:rsidRDefault="00A75372" w:rsidP="00925529">
      <w:pPr>
        <w:pStyle w:val="HChG"/>
      </w:pPr>
      <w:r>
        <w:tab/>
      </w:r>
      <w:r>
        <w:tab/>
      </w:r>
      <w:r w:rsidR="00AE4A41" w:rsidRPr="00925529">
        <w:t>Proposal</w:t>
      </w:r>
      <w:r w:rsidR="006C4652" w:rsidRPr="007B2B1F">
        <w:t xml:space="preserve"> </w:t>
      </w:r>
      <w:r w:rsidR="00B9414F" w:rsidRPr="007B2B1F">
        <w:t>2</w:t>
      </w:r>
    </w:p>
    <w:p w:rsidR="00F61ACB" w:rsidRDefault="004C508C" w:rsidP="00A75372">
      <w:pPr>
        <w:pStyle w:val="SingleTxtG"/>
      </w:pPr>
      <w:r>
        <w:t>4.</w:t>
      </w:r>
      <w:r>
        <w:tab/>
        <w:t xml:space="preserve">Add the following </w:t>
      </w:r>
      <w:r w:rsidR="0001708B">
        <w:t>new N</w:t>
      </w:r>
      <w:r>
        <w:t xml:space="preserve">ote immediately after 6.2.2.7.2 </w:t>
      </w:r>
      <w:r w:rsidR="0001708B">
        <w:t xml:space="preserve">(c) </w:t>
      </w:r>
    </w:p>
    <w:p w:rsidR="0001708B" w:rsidRPr="00A75372" w:rsidRDefault="00925529" w:rsidP="00A75372">
      <w:pPr>
        <w:pStyle w:val="SingleTxtG"/>
        <w:rPr>
          <w:i/>
        </w:rPr>
      </w:pPr>
      <w:r>
        <w:rPr>
          <w:b/>
          <w:i/>
        </w:rPr>
        <w:t xml:space="preserve">NOTE: </w:t>
      </w:r>
      <w:r w:rsidR="0001708B" w:rsidRPr="00A75372">
        <w:rPr>
          <w:i/>
        </w:rPr>
        <w:t>The country of approval shall be understood to be the country that approved the body which inspected the individual receptacle at the time of manufacture.</w:t>
      </w:r>
    </w:p>
    <w:p w:rsidR="003E7B83" w:rsidRDefault="00A75372" w:rsidP="00925529">
      <w:pPr>
        <w:pStyle w:val="HChG"/>
      </w:pPr>
      <w:r>
        <w:tab/>
      </w:r>
      <w:r>
        <w:tab/>
      </w:r>
      <w:r w:rsidR="0001708B">
        <w:t>J</w:t>
      </w:r>
      <w:r w:rsidR="003E7B83">
        <w:t xml:space="preserve">ustification </w:t>
      </w:r>
      <w:r w:rsidR="003E7B83" w:rsidRPr="00A75372">
        <w:t>for</w:t>
      </w:r>
      <w:r w:rsidR="003E7B83">
        <w:t xml:space="preserve"> </w:t>
      </w:r>
      <w:r w:rsidR="003E7B83" w:rsidRPr="00925529">
        <w:t>proposal</w:t>
      </w:r>
      <w:r w:rsidR="003E7B83">
        <w:t xml:space="preserve"> 2</w:t>
      </w:r>
    </w:p>
    <w:p w:rsidR="0001708B" w:rsidRDefault="00F74D57" w:rsidP="00925529">
      <w:pPr>
        <w:pStyle w:val="SingleTxtG"/>
      </w:pPr>
      <w:r>
        <w:t>5.</w:t>
      </w:r>
      <w:r>
        <w:tab/>
      </w:r>
      <w:r w:rsidR="0001708B">
        <w:t>6.2.2.7.2 specifies the ‘certification marks</w:t>
      </w:r>
      <w:r w:rsidR="00195EC9">
        <w:t>’</w:t>
      </w:r>
      <w:r w:rsidR="0001708B">
        <w:t xml:space="preserve"> on a pressure receptacle.  These are:</w:t>
      </w:r>
    </w:p>
    <w:p w:rsidR="0001708B" w:rsidRDefault="00925529" w:rsidP="00925529">
      <w:pPr>
        <w:pStyle w:val="SingleTxtG"/>
        <w:ind w:left="1701"/>
      </w:pPr>
      <w:r>
        <w:t>(a)</w:t>
      </w:r>
      <w:r>
        <w:tab/>
        <w:t>T</w:t>
      </w:r>
      <w:r w:rsidR="0001708B">
        <w:t>he UN packaging symbol;</w:t>
      </w:r>
    </w:p>
    <w:p w:rsidR="0001708B" w:rsidRDefault="00925529" w:rsidP="00925529">
      <w:pPr>
        <w:pStyle w:val="SingleTxtG"/>
        <w:ind w:left="1701"/>
      </w:pPr>
      <w:r>
        <w:t>(b)</w:t>
      </w:r>
      <w:r>
        <w:tab/>
        <w:t>T</w:t>
      </w:r>
      <w:r w:rsidR="0001708B">
        <w:t>he technical construction standard;</w:t>
      </w:r>
    </w:p>
    <w:p w:rsidR="0001708B" w:rsidRDefault="00925529" w:rsidP="00925529">
      <w:pPr>
        <w:pStyle w:val="SingleTxtG"/>
        <w:ind w:left="1701"/>
      </w:pPr>
      <w:r>
        <w:t>(c)</w:t>
      </w:r>
      <w:r>
        <w:tab/>
        <w:t>T</w:t>
      </w:r>
      <w:r w:rsidR="0001708B">
        <w:t>he country of approval;</w:t>
      </w:r>
    </w:p>
    <w:p w:rsidR="003E7B83" w:rsidRDefault="00925529" w:rsidP="00925529">
      <w:pPr>
        <w:pStyle w:val="SingleTxtG"/>
        <w:ind w:left="1701"/>
      </w:pPr>
      <w:r>
        <w:t>(d)</w:t>
      </w:r>
      <w:r>
        <w:tab/>
        <w:t>T</w:t>
      </w:r>
      <w:r w:rsidR="0001708B">
        <w:t xml:space="preserve">he identity mark of the </w:t>
      </w:r>
      <w:r w:rsidR="008660EB">
        <w:t>inspection body that is registered with the competent authority authorizing the marking;</w:t>
      </w:r>
    </w:p>
    <w:p w:rsidR="008660EB" w:rsidRDefault="00925529" w:rsidP="00925529">
      <w:pPr>
        <w:pStyle w:val="SingleTxtG"/>
        <w:ind w:left="1701"/>
      </w:pPr>
      <w:r>
        <w:t>(e)</w:t>
      </w:r>
      <w:r>
        <w:tab/>
        <w:t>T</w:t>
      </w:r>
      <w:r w:rsidR="008660EB">
        <w:t>he date of the initial inspection and test.</w:t>
      </w:r>
    </w:p>
    <w:p w:rsidR="008660EB" w:rsidRDefault="00925529" w:rsidP="00925529">
      <w:pPr>
        <w:pStyle w:val="SingleTxtG"/>
      </w:pPr>
      <w:r>
        <w:t>6.</w:t>
      </w:r>
      <w:r>
        <w:tab/>
      </w:r>
      <w:r w:rsidR="008660EB">
        <w:t xml:space="preserve">In Europe, where it is common to obtain type approval </w:t>
      </w:r>
      <w:r w:rsidR="00907C00">
        <w:t>from</w:t>
      </w:r>
      <w:r w:rsidR="008660EB">
        <w:t xml:space="preserve"> one country and then use an inspection body from </w:t>
      </w:r>
      <w:r w:rsidR="00907C00">
        <w:t>one or more other</w:t>
      </w:r>
      <w:r w:rsidR="008660EB">
        <w:t xml:space="preserve"> countr</w:t>
      </w:r>
      <w:r w:rsidR="00907C00">
        <w:t>ies</w:t>
      </w:r>
      <w:r w:rsidR="008660EB">
        <w:t xml:space="preserve"> for the initial inspection, questions were asked as to whether the country of approval referred to the approval of the type or the approval at the time of initial inspection.  The concept of the drafters</w:t>
      </w:r>
      <w:r w:rsidR="00907C00">
        <w:t xml:space="preserve"> of </w:t>
      </w:r>
      <w:r w:rsidR="00195EC9">
        <w:t xml:space="preserve">the </w:t>
      </w:r>
      <w:r w:rsidR="00D36D4D">
        <w:t>marking text</w:t>
      </w:r>
      <w:r w:rsidR="00907C00">
        <w:t xml:space="preserve"> </w:t>
      </w:r>
      <w:r w:rsidR="00195EC9">
        <w:t>in 6.7.7.2</w:t>
      </w:r>
      <w:r w:rsidR="00907C00">
        <w:t xml:space="preserve"> was to ensure tra</w:t>
      </w:r>
      <w:r w:rsidR="008660EB">
        <w:t xml:space="preserve">ceability </w:t>
      </w:r>
      <w:r w:rsidR="00D36D4D">
        <w:t>to</w:t>
      </w:r>
      <w:r w:rsidR="00907C00">
        <w:t xml:space="preserve"> </w:t>
      </w:r>
      <w:r w:rsidR="00C75FFE">
        <w:t xml:space="preserve">the inspection body that inspected the </w:t>
      </w:r>
      <w:r w:rsidR="00907C00">
        <w:t>individual pressure receptacle</w:t>
      </w:r>
      <w:r w:rsidR="00D96E72">
        <w:t xml:space="preserve">; the </w:t>
      </w:r>
      <w:r w:rsidR="00E51286">
        <w:t xml:space="preserve">identity of the body applying the </w:t>
      </w:r>
      <w:r w:rsidR="00D96E72">
        <w:t>mark may need to be verified with the competent authority</w:t>
      </w:r>
      <w:r w:rsidR="00907C00">
        <w:t xml:space="preserve">. The details of the type approval would be recovered from the </w:t>
      </w:r>
      <w:r w:rsidR="00C723CC">
        <w:t>manufacturer that</w:t>
      </w:r>
      <w:r w:rsidR="00907C00">
        <w:t xml:space="preserve"> is also obliged to apply its mark.  Discussions in Europe </w:t>
      </w:r>
      <w:r w:rsidR="00E51286">
        <w:t>culminated in</w:t>
      </w:r>
      <w:r w:rsidR="00907C00">
        <w:t xml:space="preserve"> the adoption of the above Note into the RID/ADR.  However, elsewhere in the world, the question is still asked and sometimes the wrong alternative is employed.  ISO requests that this issue is clarified </w:t>
      </w:r>
      <w:r w:rsidR="00AA195C">
        <w:t xml:space="preserve">by adoption of the </w:t>
      </w:r>
      <w:r w:rsidR="00D36D4D">
        <w:t>Note</w:t>
      </w:r>
      <w:r w:rsidR="00195EC9" w:rsidRPr="00195EC9">
        <w:t xml:space="preserve"> </w:t>
      </w:r>
      <w:r w:rsidR="00195EC9">
        <w:t>proposed</w:t>
      </w:r>
      <w:r w:rsidR="00195EC9" w:rsidRPr="00195EC9">
        <w:t xml:space="preserve"> </w:t>
      </w:r>
      <w:r w:rsidR="00195EC9">
        <w:t>above</w:t>
      </w:r>
      <w:r w:rsidR="00AA195C">
        <w:t>.</w:t>
      </w:r>
    </w:p>
    <w:p w:rsidR="00720D0C" w:rsidRPr="00720D0C" w:rsidRDefault="00D66A2F" w:rsidP="00D66A2F">
      <w:pPr>
        <w:pStyle w:val="HChG"/>
      </w:pPr>
      <w:r>
        <w:tab/>
      </w:r>
      <w:r>
        <w:tab/>
      </w:r>
      <w:r w:rsidR="00720D0C" w:rsidRPr="00720D0C">
        <w:t>Proposal 3</w:t>
      </w:r>
    </w:p>
    <w:p w:rsidR="00AA195C" w:rsidRDefault="00D66A2F" w:rsidP="00D66A2F">
      <w:pPr>
        <w:pStyle w:val="SingleTxtG"/>
      </w:pPr>
      <w:r>
        <w:t>7</w:t>
      </w:r>
      <w:r w:rsidR="006F0DDB" w:rsidRPr="007B2B1F">
        <w:t>.</w:t>
      </w:r>
      <w:r w:rsidR="006F0DDB" w:rsidRPr="007B2B1F">
        <w:tab/>
      </w:r>
      <w:r w:rsidR="006D3E0B">
        <w:t>In 4.1.4.1 P200 (</w:t>
      </w:r>
      <w:r w:rsidR="00AA195C">
        <w:t>5</w:t>
      </w:r>
      <w:r w:rsidR="006D3E0B">
        <w:t>)</w:t>
      </w:r>
      <w:r w:rsidR="00E51286">
        <w:t xml:space="preserve"> special packing provision</w:t>
      </w:r>
      <w:r w:rsidR="006D3E0B">
        <w:t xml:space="preserve"> </w:t>
      </w:r>
      <w:r>
        <w:t>“</w:t>
      </w:r>
      <w:r w:rsidR="00AA195C">
        <w:t>k</w:t>
      </w:r>
      <w:r>
        <w:t>”</w:t>
      </w:r>
      <w:r w:rsidR="00AA195C">
        <w:t xml:space="preserve"> specifies the requirements for toxic substances with an LC</w:t>
      </w:r>
      <w:r w:rsidR="00AA195C">
        <w:rPr>
          <w:vertAlign w:val="subscript"/>
        </w:rPr>
        <w:t>50</w:t>
      </w:r>
      <w:r w:rsidR="00AA195C">
        <w:t xml:space="preserve"> less than or equal to 200 ml/m</w:t>
      </w:r>
      <w:r w:rsidR="00AA195C">
        <w:rPr>
          <w:vertAlign w:val="superscript"/>
        </w:rPr>
        <w:t>3</w:t>
      </w:r>
      <w:r w:rsidR="00AA195C">
        <w:t>.  The fourth paragraph ends with the following sentence.</w:t>
      </w:r>
    </w:p>
    <w:p w:rsidR="00AA195C" w:rsidRDefault="00D66A2F" w:rsidP="00D66A2F">
      <w:pPr>
        <w:pStyle w:val="SingleTxtG"/>
        <w:ind w:left="1701"/>
      </w:pPr>
      <w:r>
        <w:t>“</w:t>
      </w:r>
      <w:r w:rsidR="00AA195C">
        <w:t>Pressure drums shall have a minimum wall thickness specif</w:t>
      </w:r>
      <w:r>
        <w:t>ied by the competent authority.”</w:t>
      </w:r>
    </w:p>
    <w:p w:rsidR="00AA195C" w:rsidRDefault="00D66A2F" w:rsidP="00D66A2F">
      <w:pPr>
        <w:pStyle w:val="SingleTxtG"/>
      </w:pPr>
      <w:r>
        <w:br w:type="page"/>
      </w:r>
      <w:r w:rsidR="00AA195C">
        <w:lastRenderedPageBreak/>
        <w:t>It is proposed that this should be replaced by:</w:t>
      </w:r>
    </w:p>
    <w:p w:rsidR="00AA195C" w:rsidRDefault="00D66A2F" w:rsidP="003452F7">
      <w:pPr>
        <w:pStyle w:val="SingleTxtG"/>
        <w:ind w:left="1701"/>
      </w:pPr>
      <w:r>
        <w:t>“</w:t>
      </w:r>
      <w:r w:rsidR="00AA195C" w:rsidRPr="00D36D4D">
        <w:t xml:space="preserve">Pressure drums shall have a </w:t>
      </w:r>
      <w:r w:rsidR="000D5DA2" w:rsidRPr="00D36D4D">
        <w:t xml:space="preserve">minimum wall thickness in millimetres </w:t>
      </w:r>
      <w:r w:rsidR="00F54767" w:rsidRPr="00D36D4D">
        <w:t xml:space="preserve">of </w:t>
      </w:r>
      <w:r w:rsidR="00D36D4D">
        <w:t>not less than 4 </w:t>
      </w:r>
      <w:r w:rsidR="00D36D4D" w:rsidRPr="00D36D4D">
        <w:t>+</w:t>
      </w:r>
      <w:r w:rsidR="00D36D4D">
        <w:t> </w:t>
      </w:r>
      <w:r w:rsidR="00D36D4D" w:rsidRPr="00D36D4D">
        <w:t>(D</w:t>
      </w:r>
      <w:r w:rsidR="00D36D4D">
        <w:t> </w:t>
      </w:r>
      <w:r w:rsidR="00D36D4D" w:rsidRPr="00D36D4D">
        <w:rPr>
          <w:rFonts w:eastAsia="MS Gothic"/>
          <w:color w:val="000000"/>
        </w:rPr>
        <w:t>÷</w:t>
      </w:r>
      <w:r w:rsidR="00E51286">
        <w:rPr>
          <w:rFonts w:eastAsia="MS Gothic"/>
          <w:color w:val="000000"/>
        </w:rPr>
        <w:t> </w:t>
      </w:r>
      <w:r w:rsidR="00D36D4D" w:rsidRPr="00D36D4D">
        <w:rPr>
          <w:rFonts w:eastAsia="MS Gothic"/>
          <w:color w:val="000000"/>
        </w:rPr>
        <w:t>250</w:t>
      </w:r>
      <w:r w:rsidR="00D36D4D">
        <w:rPr>
          <w:rFonts w:eastAsia="MS Gothic"/>
          <w:color w:val="000000"/>
        </w:rPr>
        <w:t xml:space="preserve">) </w:t>
      </w:r>
      <w:r w:rsidR="000D5DA2">
        <w:t>where D is the maximum outside diameter of the drum</w:t>
      </w:r>
      <w:r w:rsidR="00D36D4D">
        <w:t xml:space="preserve"> in m</w:t>
      </w:r>
      <w:r w:rsidR="00EB74D4">
        <w:t>m.</w:t>
      </w:r>
      <w:r>
        <w:t>”</w:t>
      </w:r>
    </w:p>
    <w:p w:rsidR="004E5A51" w:rsidRPr="007B2B1F" w:rsidRDefault="004E5A51" w:rsidP="00D66A2F">
      <w:pPr>
        <w:pStyle w:val="HChG"/>
      </w:pPr>
      <w:r w:rsidRPr="007B2B1F">
        <w:tab/>
      </w:r>
      <w:r w:rsidRPr="007B2B1F">
        <w:tab/>
      </w:r>
      <w:r w:rsidR="00C723CC">
        <w:t xml:space="preserve">Discussion </w:t>
      </w:r>
      <w:r w:rsidR="00C723CC" w:rsidRPr="00D66A2F">
        <w:t>and</w:t>
      </w:r>
      <w:r w:rsidR="00C723CC">
        <w:t xml:space="preserve"> </w:t>
      </w:r>
      <w:r w:rsidR="005B6A92">
        <w:t>justification for p</w:t>
      </w:r>
      <w:r w:rsidRPr="007B2B1F">
        <w:t xml:space="preserve">roposal </w:t>
      </w:r>
      <w:r w:rsidR="00F74D57">
        <w:t>3</w:t>
      </w:r>
    </w:p>
    <w:p w:rsidR="00F54767" w:rsidRDefault="00D66A2F" w:rsidP="00D66A2F">
      <w:pPr>
        <w:pStyle w:val="SingleTxtG"/>
      </w:pPr>
      <w:r>
        <w:t>8</w:t>
      </w:r>
      <w:r w:rsidR="004E5A51" w:rsidRPr="007B2B1F">
        <w:t>.</w:t>
      </w:r>
      <w:r w:rsidR="004E5A51" w:rsidRPr="007B2B1F">
        <w:tab/>
      </w:r>
      <w:r w:rsidR="003261D0">
        <w:t>The background to the requirement for the competent authority to specify the minimum wall thickness is that when Chapter 6.2 was written the experts involved were unable to agree on a recommendation.  It is not easy since, being in the packing instruction P200, this requirement applies to existing drums as well as newly constructed ones.</w:t>
      </w:r>
      <w:r w:rsidR="008C116C">
        <w:t xml:space="preserve"> ISO, however, </w:t>
      </w:r>
      <w:r w:rsidR="00D36D4D">
        <w:t>now feels</w:t>
      </w:r>
      <w:r w:rsidR="008C116C">
        <w:t xml:space="preserve"> emboldened to make a recommendation since the standard adopted for the construction of UN pressure drums </w:t>
      </w:r>
      <w:r w:rsidR="005B6A92">
        <w:t>to be reflected in the 20</w:t>
      </w:r>
      <w:r w:rsidR="005B6A92" w:rsidRPr="005B6A92">
        <w:rPr>
          <w:vertAlign w:val="superscript"/>
        </w:rPr>
        <w:t>th</w:t>
      </w:r>
      <w:r w:rsidR="005B6A92">
        <w:t xml:space="preserve"> revised edition of the Model Regulations</w:t>
      </w:r>
      <w:r w:rsidR="008C116C">
        <w:t xml:space="preserve"> </w:t>
      </w:r>
      <w:r w:rsidR="00D36D4D">
        <w:t xml:space="preserve">(ISO 21172-1:2015) </w:t>
      </w:r>
      <w:r w:rsidR="005B6A92">
        <w:t xml:space="preserve">(see ST/SG/AC.10/44/Add.1) </w:t>
      </w:r>
      <w:r w:rsidR="00D36D4D">
        <w:t>has</w:t>
      </w:r>
      <w:r w:rsidR="008C116C">
        <w:t xml:space="preserve"> </w:t>
      </w:r>
      <w:r w:rsidR="00D36D4D">
        <w:t xml:space="preserve">the above formula to </w:t>
      </w:r>
      <w:r w:rsidR="00EB74D4">
        <w:t>determine</w:t>
      </w:r>
      <w:r w:rsidR="00D36D4D">
        <w:t xml:space="preserve"> this minimum wall thickness for gases with </w:t>
      </w:r>
      <w:r w:rsidR="00A54ABF">
        <w:t>an LC</w:t>
      </w:r>
      <w:r w:rsidR="00A54ABF">
        <w:rPr>
          <w:vertAlign w:val="subscript"/>
        </w:rPr>
        <w:t>50</w:t>
      </w:r>
      <w:r w:rsidR="00A54ABF">
        <w:t xml:space="preserve"> less than or equal to 200 ml/m</w:t>
      </w:r>
      <w:r w:rsidR="00A54ABF">
        <w:rPr>
          <w:vertAlign w:val="superscript"/>
        </w:rPr>
        <w:t>3</w:t>
      </w:r>
      <w:r w:rsidR="00195EC9">
        <w:t xml:space="preserve">. </w:t>
      </w:r>
      <w:r w:rsidR="00EB74D4">
        <w:rPr>
          <w:vertAlign w:val="superscript"/>
        </w:rPr>
        <w:t>.</w:t>
      </w:r>
      <w:r w:rsidR="00EB74D4">
        <w:t>For</w:t>
      </w:r>
      <w:r w:rsidR="003261D0">
        <w:t xml:space="preserve"> other less toxic or </w:t>
      </w:r>
      <w:r w:rsidR="008C116C">
        <w:t>non-toxic</w:t>
      </w:r>
      <w:r w:rsidR="003261D0">
        <w:t xml:space="preserve"> gases the formula is 2</w:t>
      </w:r>
      <w:r w:rsidR="00A54ABF">
        <w:t> + (</w:t>
      </w:r>
      <w:r w:rsidR="003261D0">
        <w:t>D</w:t>
      </w:r>
      <w:r w:rsidR="00A54ABF">
        <w:t> </w:t>
      </w:r>
      <w:r w:rsidR="00A54ABF" w:rsidRPr="00D36D4D">
        <w:rPr>
          <w:rFonts w:eastAsia="MS Gothic"/>
          <w:color w:val="000000"/>
        </w:rPr>
        <w:t>÷</w:t>
      </w:r>
      <w:r w:rsidR="00A54ABF">
        <w:rPr>
          <w:rFonts w:eastAsia="MS Gothic"/>
          <w:color w:val="000000"/>
        </w:rPr>
        <w:t> </w:t>
      </w:r>
      <w:r w:rsidR="003261D0">
        <w:t>250</w:t>
      </w:r>
      <w:r w:rsidR="00A54ABF">
        <w:t>)</w:t>
      </w:r>
      <w:r>
        <w:t xml:space="preserve">. </w:t>
      </w:r>
      <w:r w:rsidR="003261D0">
        <w:t xml:space="preserve">This calculation is made to ensure the drum will withstand the handling loads expected in transport. </w:t>
      </w:r>
    </w:p>
    <w:p w:rsidR="00260C6E" w:rsidRPr="00BC21BC" w:rsidRDefault="00BC21BC" w:rsidP="00BC21BC">
      <w:pPr>
        <w:pStyle w:val="SingleTxtG"/>
        <w:rPr>
          <w:lang w:val="en-US"/>
        </w:rPr>
      </w:pPr>
      <w:r>
        <w:rPr>
          <w:lang w:val="en-US"/>
        </w:rPr>
        <w:t>9</w:t>
      </w:r>
      <w:r w:rsidR="00A54ABF">
        <w:rPr>
          <w:lang w:val="en-US"/>
        </w:rPr>
        <w:t>.</w:t>
      </w:r>
      <w:r w:rsidR="00A54ABF">
        <w:rPr>
          <w:lang w:val="en-US"/>
        </w:rPr>
        <w:tab/>
      </w:r>
      <w:r w:rsidR="00C723CC">
        <w:rPr>
          <w:lang w:val="en-US"/>
        </w:rPr>
        <w:t xml:space="preserve">Only </w:t>
      </w:r>
      <w:r w:rsidR="00F54767">
        <w:rPr>
          <w:lang w:val="en-US"/>
        </w:rPr>
        <w:t>four</w:t>
      </w:r>
      <w:r w:rsidR="00A54ABF">
        <w:rPr>
          <w:lang w:val="en-US"/>
        </w:rPr>
        <w:t xml:space="preserve"> substances in P200</w:t>
      </w:r>
      <w:r w:rsidR="00F54767">
        <w:rPr>
          <w:lang w:val="en-US"/>
        </w:rPr>
        <w:t xml:space="preserve"> that attract the special packing provision ‘k’</w:t>
      </w:r>
      <w:r w:rsidR="00C723CC">
        <w:rPr>
          <w:lang w:val="en-US"/>
        </w:rPr>
        <w:t xml:space="preserve"> are permitted to be transported in pressure drums.  These are</w:t>
      </w:r>
      <w:r w:rsidR="00260C6E">
        <w:rPr>
          <w:lang w:val="en-US"/>
        </w:rPr>
        <w:t>:</w:t>
      </w:r>
    </w:p>
    <w:p w:rsidR="00F54767" w:rsidRDefault="00BC21BC" w:rsidP="00BC21BC">
      <w:pPr>
        <w:pStyle w:val="SingleTxtG"/>
        <w:ind w:left="1701"/>
        <w:rPr>
          <w:lang w:val="en-US"/>
        </w:rPr>
      </w:pPr>
      <w:r>
        <w:rPr>
          <w:lang w:val="en-US"/>
        </w:rPr>
        <w:t>-</w:t>
      </w:r>
      <w:r>
        <w:rPr>
          <w:lang w:val="en-US"/>
        </w:rPr>
        <w:tab/>
      </w:r>
      <w:r w:rsidR="00F54767">
        <w:rPr>
          <w:lang w:val="en-US"/>
        </w:rPr>
        <w:t>UN 1067 Dinitrogen tetroxide,</w:t>
      </w:r>
    </w:p>
    <w:p w:rsidR="00F54767" w:rsidRDefault="00BC21BC" w:rsidP="00BC21BC">
      <w:pPr>
        <w:pStyle w:val="SingleTxtG"/>
        <w:ind w:left="1701"/>
        <w:rPr>
          <w:lang w:val="en-US"/>
        </w:rPr>
      </w:pPr>
      <w:r>
        <w:rPr>
          <w:lang w:val="en-US"/>
        </w:rPr>
        <w:t>-</w:t>
      </w:r>
      <w:r>
        <w:rPr>
          <w:lang w:val="en-US"/>
        </w:rPr>
        <w:tab/>
      </w:r>
      <w:r w:rsidR="00F54767">
        <w:rPr>
          <w:lang w:val="en-US"/>
        </w:rPr>
        <w:t>UN 1076 Phosgene,</w:t>
      </w:r>
    </w:p>
    <w:p w:rsidR="00260C6E" w:rsidRDefault="00BC21BC" w:rsidP="00BC21BC">
      <w:pPr>
        <w:pStyle w:val="SingleTxtG"/>
        <w:ind w:left="1701"/>
        <w:rPr>
          <w:lang w:val="en-US"/>
        </w:rPr>
      </w:pPr>
      <w:r>
        <w:rPr>
          <w:lang w:val="en-US"/>
        </w:rPr>
        <w:t>-</w:t>
      </w:r>
      <w:r>
        <w:rPr>
          <w:lang w:val="en-US"/>
        </w:rPr>
        <w:tab/>
      </w:r>
      <w:r w:rsidR="00F54767">
        <w:rPr>
          <w:lang w:val="en-US"/>
        </w:rPr>
        <w:t xml:space="preserve">UN 1975 Nitric oxide and dinitrogen tetroxide mixture and </w:t>
      </w:r>
    </w:p>
    <w:p w:rsidR="00F54767" w:rsidRDefault="00BC21BC" w:rsidP="00BC21BC">
      <w:pPr>
        <w:pStyle w:val="SingleTxtG"/>
        <w:ind w:left="1701"/>
        <w:rPr>
          <w:lang w:val="en-US"/>
        </w:rPr>
      </w:pPr>
      <w:r>
        <w:rPr>
          <w:lang w:val="en-US"/>
        </w:rPr>
        <w:t>-</w:t>
      </w:r>
      <w:r>
        <w:rPr>
          <w:lang w:val="en-US"/>
        </w:rPr>
        <w:tab/>
      </w:r>
      <w:r w:rsidR="00F54767">
        <w:rPr>
          <w:lang w:val="en-US"/>
        </w:rPr>
        <w:t>UN 3057 Trifluoroacetyl chloride.</w:t>
      </w:r>
    </w:p>
    <w:p w:rsidR="008F6C98" w:rsidRDefault="00195EC9" w:rsidP="00BC21BC">
      <w:pPr>
        <w:pStyle w:val="SingleTxtG"/>
        <w:ind w:left="1701"/>
        <w:rPr>
          <w:lang w:val="en-US"/>
        </w:rPr>
      </w:pPr>
      <w:r>
        <w:rPr>
          <w:lang w:val="en-US"/>
        </w:rPr>
        <w:t xml:space="preserve">With so few </w:t>
      </w:r>
      <w:r w:rsidR="001B0F1E">
        <w:rPr>
          <w:lang w:val="en-US"/>
        </w:rPr>
        <w:t xml:space="preserve">highly toxic </w:t>
      </w:r>
      <w:r>
        <w:rPr>
          <w:lang w:val="en-US"/>
        </w:rPr>
        <w:t xml:space="preserve">gases eligible to be carried in pressure drums, this is a very specialized market.  </w:t>
      </w:r>
      <w:r w:rsidR="00F54767">
        <w:rPr>
          <w:lang w:val="en-US"/>
        </w:rPr>
        <w:t xml:space="preserve">ISO experts </w:t>
      </w:r>
      <w:r w:rsidR="001B0F1E">
        <w:rPr>
          <w:lang w:val="en-US"/>
        </w:rPr>
        <w:t>do not know</w:t>
      </w:r>
      <w:r w:rsidR="008F6C98">
        <w:rPr>
          <w:lang w:val="en-US"/>
        </w:rPr>
        <w:t xml:space="preserve"> t</w:t>
      </w:r>
      <w:r w:rsidR="00594AB1">
        <w:rPr>
          <w:lang w:val="en-US"/>
        </w:rPr>
        <w:t>he number of drums used to transport these gases</w:t>
      </w:r>
      <w:r w:rsidR="00F54767">
        <w:rPr>
          <w:lang w:val="en-US"/>
        </w:rPr>
        <w:t>.</w:t>
      </w:r>
      <w:r w:rsidR="00BC21BC">
        <w:rPr>
          <w:lang w:val="en-US"/>
        </w:rPr>
        <w:t xml:space="preserve"> </w:t>
      </w:r>
      <w:r>
        <w:rPr>
          <w:lang w:val="en-US"/>
        </w:rPr>
        <w:t>This proposal is therefore somewhat tentative.</w:t>
      </w:r>
    </w:p>
    <w:p w:rsidR="00F54767" w:rsidRPr="007B2B1F" w:rsidRDefault="00BC21BC" w:rsidP="00BC21BC">
      <w:pPr>
        <w:pStyle w:val="SingleTxtG"/>
      </w:pPr>
      <w:r>
        <w:rPr>
          <w:lang w:val="en-US"/>
        </w:rPr>
        <w:t>10</w:t>
      </w:r>
      <w:r w:rsidR="008F6C98">
        <w:rPr>
          <w:lang w:val="en-US"/>
        </w:rPr>
        <w:t>.</w:t>
      </w:r>
      <w:r w:rsidR="008F6C98">
        <w:rPr>
          <w:lang w:val="en-US"/>
        </w:rPr>
        <w:tab/>
      </w:r>
      <w:r w:rsidR="00E91F89">
        <w:rPr>
          <w:lang w:val="en-US"/>
        </w:rPr>
        <w:t>This proposal has been made at the beg</w:t>
      </w:r>
      <w:r w:rsidR="005B6A92">
        <w:rPr>
          <w:lang w:val="en-US"/>
        </w:rPr>
        <w:t>inning of the biennium so that e</w:t>
      </w:r>
      <w:r w:rsidR="00E91F89">
        <w:rPr>
          <w:lang w:val="en-US"/>
        </w:rPr>
        <w:t xml:space="preserve">xperts may consult </w:t>
      </w:r>
      <w:r w:rsidR="008F6C98">
        <w:rPr>
          <w:lang w:val="en-US"/>
        </w:rPr>
        <w:t>with their chemical industr</w:t>
      </w:r>
      <w:r w:rsidR="00EB74D4">
        <w:rPr>
          <w:lang w:val="en-US"/>
        </w:rPr>
        <w:t>ies</w:t>
      </w:r>
      <w:r w:rsidR="008F6C98">
        <w:rPr>
          <w:lang w:val="en-US"/>
        </w:rPr>
        <w:t xml:space="preserve"> before </w:t>
      </w:r>
      <w:r w:rsidR="005B6A92">
        <w:rPr>
          <w:lang w:val="en-US"/>
        </w:rPr>
        <w:t>amendments to be reflected in the 21</w:t>
      </w:r>
      <w:r w:rsidR="005B6A92" w:rsidRPr="005B6A92">
        <w:rPr>
          <w:vertAlign w:val="superscript"/>
          <w:lang w:val="en-US"/>
        </w:rPr>
        <w:t>st</w:t>
      </w:r>
      <w:r w:rsidR="005B6A92">
        <w:rPr>
          <w:lang w:val="en-US"/>
        </w:rPr>
        <w:t xml:space="preserve"> revised edition of the Model Regulations are finalized. </w:t>
      </w:r>
      <w:bookmarkStart w:id="0" w:name="_GoBack"/>
      <w:bookmarkEnd w:id="0"/>
      <w:r w:rsidR="008F6C98">
        <w:rPr>
          <w:lang w:val="en-US"/>
        </w:rPr>
        <w:t xml:space="preserve">If currently used drums do not meet this requirement, it may be necessary to apply this requirement only to newly constructed drums. </w:t>
      </w:r>
    </w:p>
    <w:p w:rsidR="00C84A21" w:rsidRPr="00BC21BC" w:rsidRDefault="00BC21BC" w:rsidP="00BC21BC">
      <w:pPr>
        <w:spacing w:before="240"/>
        <w:ind w:left="1134" w:right="1134"/>
        <w:jc w:val="center"/>
        <w:rPr>
          <w:u w:val="single"/>
        </w:rPr>
      </w:pPr>
      <w:r>
        <w:rPr>
          <w:u w:val="single"/>
        </w:rPr>
        <w:tab/>
      </w:r>
      <w:r>
        <w:rPr>
          <w:u w:val="single"/>
        </w:rPr>
        <w:tab/>
      </w:r>
      <w:r>
        <w:rPr>
          <w:u w:val="single"/>
        </w:rPr>
        <w:tab/>
      </w:r>
    </w:p>
    <w:p w:rsidR="00BC21BC" w:rsidRDefault="00BC21BC" w:rsidP="006D3E0B">
      <w:pPr>
        <w:ind w:left="1134"/>
      </w:pPr>
    </w:p>
    <w:p w:rsidR="00BC21BC" w:rsidRDefault="00BC21BC" w:rsidP="006D3E0B">
      <w:pPr>
        <w:ind w:left="1134"/>
      </w:pPr>
    </w:p>
    <w:p w:rsidR="005360FB" w:rsidRPr="007B2B1F" w:rsidRDefault="005360FB" w:rsidP="00BC21BC">
      <w:pPr>
        <w:ind w:left="1134"/>
      </w:pPr>
    </w:p>
    <w:sectPr w:rsidR="005360FB" w:rsidRPr="007B2B1F" w:rsidSect="00181506">
      <w:headerReference w:type="even" r:id="rId10"/>
      <w:headerReference w:type="default" r:id="rId11"/>
      <w:footerReference w:type="even" r:id="rId12"/>
      <w:footerReference w:type="default" r:id="rId13"/>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9D" w:rsidRDefault="00BD7E9D"/>
  </w:endnote>
  <w:endnote w:type="continuationSeparator" w:id="0">
    <w:p w:rsidR="00BD7E9D" w:rsidRDefault="00BD7E9D"/>
  </w:endnote>
  <w:endnote w:type="continuationNotice" w:id="1">
    <w:p w:rsidR="00BD7E9D" w:rsidRDefault="00BD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9D2A5B" w:rsidRDefault="00D96E72"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5B6A92">
      <w:rPr>
        <w:b/>
        <w:noProof/>
        <w:sz w:val="18"/>
      </w:rPr>
      <w:t>2</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9D2A5B" w:rsidRDefault="00D96E72"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5B6A92">
      <w:rPr>
        <w:b/>
        <w:noProof/>
        <w:sz w:val="18"/>
      </w:rPr>
      <w:t>3</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9D" w:rsidRPr="000B175B" w:rsidRDefault="00BD7E9D" w:rsidP="000B175B">
      <w:pPr>
        <w:tabs>
          <w:tab w:val="right" w:pos="2155"/>
        </w:tabs>
        <w:spacing w:after="80"/>
        <w:ind w:left="680"/>
        <w:rPr>
          <w:u w:val="single"/>
        </w:rPr>
      </w:pPr>
      <w:r>
        <w:rPr>
          <w:u w:val="single"/>
        </w:rPr>
        <w:tab/>
      </w:r>
    </w:p>
  </w:footnote>
  <w:footnote w:type="continuationSeparator" w:id="0">
    <w:p w:rsidR="00BD7E9D" w:rsidRPr="00FC68B7" w:rsidRDefault="00BD7E9D" w:rsidP="00FC68B7">
      <w:pPr>
        <w:tabs>
          <w:tab w:val="left" w:pos="2155"/>
        </w:tabs>
        <w:spacing w:after="80"/>
        <w:ind w:left="680"/>
        <w:rPr>
          <w:u w:val="single"/>
        </w:rPr>
      </w:pPr>
      <w:r>
        <w:rPr>
          <w:u w:val="single"/>
        </w:rPr>
        <w:tab/>
      </w:r>
    </w:p>
  </w:footnote>
  <w:footnote w:type="continuationNotice" w:id="1">
    <w:p w:rsidR="00BD7E9D" w:rsidRDefault="00BD7E9D"/>
  </w:footnote>
  <w:footnote w:id="2">
    <w:p w:rsidR="00074200" w:rsidRPr="00074200" w:rsidRDefault="00074200" w:rsidP="00074200">
      <w:pPr>
        <w:pStyle w:val="FootnoteText"/>
        <w:tabs>
          <w:tab w:val="left" w:pos="1418"/>
        </w:tabs>
        <w:ind w:firstLine="0"/>
        <w:rPr>
          <w:lang w:val="fr-CH"/>
        </w:rPr>
      </w:pPr>
      <w:r>
        <w:rPr>
          <w:rStyle w:val="FootnoteReference"/>
        </w:rPr>
        <w:footnoteRef/>
      </w:r>
      <w:r>
        <w:t xml:space="preserve"> </w:t>
      </w:r>
      <w:r>
        <w:rPr>
          <w:lang w:val="fr-CH"/>
        </w:rPr>
        <w:tab/>
      </w:r>
      <w:r>
        <w:rPr>
          <w:szCs w:val="18"/>
        </w:rPr>
        <w:t>In accordance with the programme of work of the Sub-Committee for 2017–2018 approved by the Committee at its eighth session (see ST/SG/AC.10/C.3/100, paragraph 98 and ST/SG/AC.10/44, para</w:t>
      </w:r>
      <w:r w:rsidR="005B6A92">
        <w:rPr>
          <w:szCs w:val="18"/>
          <w:lang w:val="fr-CH"/>
        </w:rPr>
        <w:t>graph</w:t>
      </w:r>
      <w:r>
        <w:rPr>
          <w:szCs w:val="18"/>
        </w:rPr>
        <w:t xml:space="preserve"> 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023445" w:rsidRDefault="00D96E72" w:rsidP="00023445">
    <w:pPr>
      <w:pStyle w:val="Header"/>
      <w:rPr>
        <w:szCs w:val="18"/>
      </w:rPr>
    </w:pPr>
    <w:r w:rsidRPr="00023445">
      <w:rPr>
        <w:szCs w:val="18"/>
      </w:rPr>
      <w:t>S</w:t>
    </w:r>
    <w:r w:rsidR="00A75372">
      <w:rPr>
        <w:szCs w:val="18"/>
      </w:rPr>
      <w:t>T/SG/AC.10/C.3/2017/18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E72" w:rsidRPr="00023445" w:rsidRDefault="00D96E72" w:rsidP="00023445">
    <w:pPr>
      <w:pStyle w:val="Header"/>
      <w:jc w:val="right"/>
      <w:rPr>
        <w:szCs w:val="18"/>
      </w:rPr>
    </w:pPr>
    <w:r w:rsidRPr="00023445">
      <w:rPr>
        <w:szCs w:val="18"/>
      </w:rPr>
      <w:t>ST</w:t>
    </w:r>
    <w:r w:rsidR="00BC21BC">
      <w:rPr>
        <w:szCs w:val="18"/>
      </w:rPr>
      <w:t>/SG/AC.10/C.3/2017/18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2">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0"/>
  </w:num>
  <w:num w:numId="13">
    <w:abstractNumId w:val="11"/>
  </w:num>
  <w:num w:numId="14">
    <w:abstractNumId w:val="25"/>
  </w:num>
  <w:num w:numId="15">
    <w:abstractNumId w:val="18"/>
  </w:num>
  <w:num w:numId="16">
    <w:abstractNumId w:val="12"/>
  </w:num>
  <w:num w:numId="17">
    <w:abstractNumId w:val="0"/>
  </w:num>
  <w:num w:numId="18">
    <w:abstractNumId w:val="14"/>
  </w:num>
  <w:num w:numId="19">
    <w:abstractNumId w:val="22"/>
  </w:num>
  <w:num w:numId="20">
    <w:abstractNumId w:val="26"/>
  </w:num>
  <w:num w:numId="21">
    <w:abstractNumId w:val="13"/>
  </w:num>
  <w:num w:numId="22">
    <w:abstractNumId w:val="24"/>
  </w:num>
  <w:num w:numId="23">
    <w:abstractNumId w:val="15"/>
  </w:num>
  <w:num w:numId="24">
    <w:abstractNumId w:val="16"/>
  </w:num>
  <w:num w:numId="25">
    <w:abstractNumId w:val="19"/>
  </w:num>
  <w:num w:numId="26">
    <w:abstractNumId w:val="21"/>
  </w:num>
  <w:num w:numId="2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numFmt w:val="chicago"/>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D51"/>
    <w:rsid w:val="00004041"/>
    <w:rsid w:val="000062D2"/>
    <w:rsid w:val="00007271"/>
    <w:rsid w:val="0001708B"/>
    <w:rsid w:val="00021776"/>
    <w:rsid w:val="00023445"/>
    <w:rsid w:val="000274B3"/>
    <w:rsid w:val="00030391"/>
    <w:rsid w:val="00037350"/>
    <w:rsid w:val="00037C49"/>
    <w:rsid w:val="00037F90"/>
    <w:rsid w:val="00046B1F"/>
    <w:rsid w:val="00050F6B"/>
    <w:rsid w:val="00051986"/>
    <w:rsid w:val="00051B9C"/>
    <w:rsid w:val="00057447"/>
    <w:rsid w:val="00057E97"/>
    <w:rsid w:val="0006687B"/>
    <w:rsid w:val="00066DF5"/>
    <w:rsid w:val="0006793E"/>
    <w:rsid w:val="00072C8C"/>
    <w:rsid w:val="000733B5"/>
    <w:rsid w:val="00074200"/>
    <w:rsid w:val="00077628"/>
    <w:rsid w:val="00081815"/>
    <w:rsid w:val="0009003C"/>
    <w:rsid w:val="000931C0"/>
    <w:rsid w:val="000B0595"/>
    <w:rsid w:val="000B175B"/>
    <w:rsid w:val="000B3A0F"/>
    <w:rsid w:val="000B4EF7"/>
    <w:rsid w:val="000B57A4"/>
    <w:rsid w:val="000B75BF"/>
    <w:rsid w:val="000C15A9"/>
    <w:rsid w:val="000C2C03"/>
    <w:rsid w:val="000C2D2E"/>
    <w:rsid w:val="000C4D51"/>
    <w:rsid w:val="000C5384"/>
    <w:rsid w:val="000D5DA2"/>
    <w:rsid w:val="000E0415"/>
    <w:rsid w:val="000E47CA"/>
    <w:rsid w:val="000F3402"/>
    <w:rsid w:val="00107320"/>
    <w:rsid w:val="001103AA"/>
    <w:rsid w:val="00112D01"/>
    <w:rsid w:val="0011666B"/>
    <w:rsid w:val="00117D3E"/>
    <w:rsid w:val="00121DE7"/>
    <w:rsid w:val="001234B8"/>
    <w:rsid w:val="001275B3"/>
    <w:rsid w:val="001370F8"/>
    <w:rsid w:val="00153694"/>
    <w:rsid w:val="00154A06"/>
    <w:rsid w:val="00155068"/>
    <w:rsid w:val="00160E58"/>
    <w:rsid w:val="00165F3A"/>
    <w:rsid w:val="00181506"/>
    <w:rsid w:val="00183C52"/>
    <w:rsid w:val="00195EC9"/>
    <w:rsid w:val="00197FE9"/>
    <w:rsid w:val="001A354A"/>
    <w:rsid w:val="001B0F1E"/>
    <w:rsid w:val="001B13A5"/>
    <w:rsid w:val="001B4B04"/>
    <w:rsid w:val="001C6663"/>
    <w:rsid w:val="001C7895"/>
    <w:rsid w:val="001C7C7A"/>
    <w:rsid w:val="001D0C8C"/>
    <w:rsid w:val="001D1419"/>
    <w:rsid w:val="001D26DF"/>
    <w:rsid w:val="001D3A03"/>
    <w:rsid w:val="001D7F46"/>
    <w:rsid w:val="001E0B9E"/>
    <w:rsid w:val="001E7B67"/>
    <w:rsid w:val="001F0773"/>
    <w:rsid w:val="001F21BB"/>
    <w:rsid w:val="001F602E"/>
    <w:rsid w:val="001F7435"/>
    <w:rsid w:val="00202CD0"/>
    <w:rsid w:val="00202DA8"/>
    <w:rsid w:val="0021157B"/>
    <w:rsid w:val="00211E0B"/>
    <w:rsid w:val="00231BA1"/>
    <w:rsid w:val="00234C80"/>
    <w:rsid w:val="0025047F"/>
    <w:rsid w:val="00260C6E"/>
    <w:rsid w:val="00260C8D"/>
    <w:rsid w:val="002653E7"/>
    <w:rsid w:val="00267F5F"/>
    <w:rsid w:val="00274EB4"/>
    <w:rsid w:val="00282200"/>
    <w:rsid w:val="00286B4D"/>
    <w:rsid w:val="0029049E"/>
    <w:rsid w:val="0029750B"/>
    <w:rsid w:val="00297EA8"/>
    <w:rsid w:val="002A4361"/>
    <w:rsid w:val="002A603B"/>
    <w:rsid w:val="002A6B8F"/>
    <w:rsid w:val="002C18EF"/>
    <w:rsid w:val="002D4643"/>
    <w:rsid w:val="002D4B6C"/>
    <w:rsid w:val="002E09CE"/>
    <w:rsid w:val="002F175C"/>
    <w:rsid w:val="00302E18"/>
    <w:rsid w:val="0030721A"/>
    <w:rsid w:val="00307AB6"/>
    <w:rsid w:val="00320B22"/>
    <w:rsid w:val="003229D8"/>
    <w:rsid w:val="003261D0"/>
    <w:rsid w:val="0034446B"/>
    <w:rsid w:val="003452F7"/>
    <w:rsid w:val="003453B6"/>
    <w:rsid w:val="003461FF"/>
    <w:rsid w:val="00347DDB"/>
    <w:rsid w:val="00350DA4"/>
    <w:rsid w:val="00352709"/>
    <w:rsid w:val="00363336"/>
    <w:rsid w:val="00371178"/>
    <w:rsid w:val="00383179"/>
    <w:rsid w:val="00392301"/>
    <w:rsid w:val="003927BA"/>
    <w:rsid w:val="00392DE1"/>
    <w:rsid w:val="003A6810"/>
    <w:rsid w:val="003B1CA9"/>
    <w:rsid w:val="003B5F03"/>
    <w:rsid w:val="003C2CC4"/>
    <w:rsid w:val="003D4B23"/>
    <w:rsid w:val="003E312F"/>
    <w:rsid w:val="003E3D8A"/>
    <w:rsid w:val="003E7B83"/>
    <w:rsid w:val="00407087"/>
    <w:rsid w:val="00410C89"/>
    <w:rsid w:val="00422E03"/>
    <w:rsid w:val="00425DBB"/>
    <w:rsid w:val="00426B9B"/>
    <w:rsid w:val="004325CB"/>
    <w:rsid w:val="0043402F"/>
    <w:rsid w:val="00442A83"/>
    <w:rsid w:val="0045413A"/>
    <w:rsid w:val="0045495B"/>
    <w:rsid w:val="0048397A"/>
    <w:rsid w:val="004A0E10"/>
    <w:rsid w:val="004A12F2"/>
    <w:rsid w:val="004B4482"/>
    <w:rsid w:val="004B64EB"/>
    <w:rsid w:val="004C2461"/>
    <w:rsid w:val="004C333F"/>
    <w:rsid w:val="004C40B9"/>
    <w:rsid w:val="004C4EE9"/>
    <w:rsid w:val="004C508C"/>
    <w:rsid w:val="004C7462"/>
    <w:rsid w:val="004D4E04"/>
    <w:rsid w:val="004D5426"/>
    <w:rsid w:val="004D5ABD"/>
    <w:rsid w:val="004D7E81"/>
    <w:rsid w:val="004E0C05"/>
    <w:rsid w:val="004E5A51"/>
    <w:rsid w:val="004E77B2"/>
    <w:rsid w:val="004F2670"/>
    <w:rsid w:val="00503DEB"/>
    <w:rsid w:val="00504B2D"/>
    <w:rsid w:val="0052136D"/>
    <w:rsid w:val="00522B58"/>
    <w:rsid w:val="0052775E"/>
    <w:rsid w:val="00527D3F"/>
    <w:rsid w:val="00533623"/>
    <w:rsid w:val="00535C90"/>
    <w:rsid w:val="005360FB"/>
    <w:rsid w:val="005420F2"/>
    <w:rsid w:val="00544E1B"/>
    <w:rsid w:val="00546993"/>
    <w:rsid w:val="00552A39"/>
    <w:rsid w:val="00560D99"/>
    <w:rsid w:val="005628B6"/>
    <w:rsid w:val="00591D40"/>
    <w:rsid w:val="00594AB1"/>
    <w:rsid w:val="005A575C"/>
    <w:rsid w:val="005B3DB3"/>
    <w:rsid w:val="005B4E13"/>
    <w:rsid w:val="005B6A92"/>
    <w:rsid w:val="005B6F4B"/>
    <w:rsid w:val="005C6FBC"/>
    <w:rsid w:val="005D2D66"/>
    <w:rsid w:val="005D4BE6"/>
    <w:rsid w:val="005D68F4"/>
    <w:rsid w:val="005E6A77"/>
    <w:rsid w:val="005F6DF9"/>
    <w:rsid w:val="005F7B75"/>
    <w:rsid w:val="006001EE"/>
    <w:rsid w:val="00605042"/>
    <w:rsid w:val="00605B54"/>
    <w:rsid w:val="00611232"/>
    <w:rsid w:val="00611681"/>
    <w:rsid w:val="00611FC4"/>
    <w:rsid w:val="00613196"/>
    <w:rsid w:val="006174F9"/>
    <w:rsid w:val="006176FB"/>
    <w:rsid w:val="00621BDE"/>
    <w:rsid w:val="00622024"/>
    <w:rsid w:val="00625568"/>
    <w:rsid w:val="00640B26"/>
    <w:rsid w:val="00652D0A"/>
    <w:rsid w:val="006623D5"/>
    <w:rsid w:val="00662BB6"/>
    <w:rsid w:val="00667F8F"/>
    <w:rsid w:val="00673321"/>
    <w:rsid w:val="00682C07"/>
    <w:rsid w:val="00684C21"/>
    <w:rsid w:val="006A155E"/>
    <w:rsid w:val="006A2530"/>
    <w:rsid w:val="006B5767"/>
    <w:rsid w:val="006C1296"/>
    <w:rsid w:val="006C3589"/>
    <w:rsid w:val="006C4652"/>
    <w:rsid w:val="006C5451"/>
    <w:rsid w:val="006C779F"/>
    <w:rsid w:val="006D37AF"/>
    <w:rsid w:val="006D3E0B"/>
    <w:rsid w:val="006D51D0"/>
    <w:rsid w:val="006E564B"/>
    <w:rsid w:val="006E638E"/>
    <w:rsid w:val="006E7191"/>
    <w:rsid w:val="006F01EF"/>
    <w:rsid w:val="006F0DDB"/>
    <w:rsid w:val="00700EE8"/>
    <w:rsid w:val="00703577"/>
    <w:rsid w:val="00705894"/>
    <w:rsid w:val="00715700"/>
    <w:rsid w:val="00720D0C"/>
    <w:rsid w:val="0072632A"/>
    <w:rsid w:val="00731FF0"/>
    <w:rsid w:val="007327D5"/>
    <w:rsid w:val="00741709"/>
    <w:rsid w:val="007429B8"/>
    <w:rsid w:val="007567AF"/>
    <w:rsid w:val="007611CF"/>
    <w:rsid w:val="007629C8"/>
    <w:rsid w:val="007642A4"/>
    <w:rsid w:val="0077047D"/>
    <w:rsid w:val="00786E2F"/>
    <w:rsid w:val="007A67E0"/>
    <w:rsid w:val="007B2B1F"/>
    <w:rsid w:val="007B6BA5"/>
    <w:rsid w:val="007C3390"/>
    <w:rsid w:val="007C4F4B"/>
    <w:rsid w:val="007E01E9"/>
    <w:rsid w:val="007E63F3"/>
    <w:rsid w:val="007F1888"/>
    <w:rsid w:val="007F6611"/>
    <w:rsid w:val="007F7106"/>
    <w:rsid w:val="008100FC"/>
    <w:rsid w:val="00811920"/>
    <w:rsid w:val="00815AD0"/>
    <w:rsid w:val="008242D7"/>
    <w:rsid w:val="008257B1"/>
    <w:rsid w:val="00826E9A"/>
    <w:rsid w:val="008325BA"/>
    <w:rsid w:val="00843767"/>
    <w:rsid w:val="008458AA"/>
    <w:rsid w:val="008521A5"/>
    <w:rsid w:val="00853EBC"/>
    <w:rsid w:val="0086081B"/>
    <w:rsid w:val="0086171D"/>
    <w:rsid w:val="008660EB"/>
    <w:rsid w:val="008679D9"/>
    <w:rsid w:val="00871389"/>
    <w:rsid w:val="00872459"/>
    <w:rsid w:val="00872DFA"/>
    <w:rsid w:val="00882E80"/>
    <w:rsid w:val="00883999"/>
    <w:rsid w:val="00885B73"/>
    <w:rsid w:val="00887899"/>
    <w:rsid w:val="008878DE"/>
    <w:rsid w:val="008912EC"/>
    <w:rsid w:val="00892603"/>
    <w:rsid w:val="008979B1"/>
    <w:rsid w:val="008A6B25"/>
    <w:rsid w:val="008A6C4F"/>
    <w:rsid w:val="008B2335"/>
    <w:rsid w:val="008B5DF2"/>
    <w:rsid w:val="008B717B"/>
    <w:rsid w:val="008C116C"/>
    <w:rsid w:val="008D6F3C"/>
    <w:rsid w:val="008E0678"/>
    <w:rsid w:val="008E57F4"/>
    <w:rsid w:val="008F03AD"/>
    <w:rsid w:val="008F6C98"/>
    <w:rsid w:val="0090194D"/>
    <w:rsid w:val="009079FF"/>
    <w:rsid w:val="00907C00"/>
    <w:rsid w:val="00910A62"/>
    <w:rsid w:val="009119B2"/>
    <w:rsid w:val="0091237E"/>
    <w:rsid w:val="00916E19"/>
    <w:rsid w:val="009223CA"/>
    <w:rsid w:val="00925529"/>
    <w:rsid w:val="00927A75"/>
    <w:rsid w:val="009321E8"/>
    <w:rsid w:val="00932F3F"/>
    <w:rsid w:val="0093509F"/>
    <w:rsid w:val="00940F93"/>
    <w:rsid w:val="0094154D"/>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969E0"/>
    <w:rsid w:val="009A016F"/>
    <w:rsid w:val="009A0E8D"/>
    <w:rsid w:val="009A0F88"/>
    <w:rsid w:val="009B1518"/>
    <w:rsid w:val="009B26E7"/>
    <w:rsid w:val="009B3208"/>
    <w:rsid w:val="009C454F"/>
    <w:rsid w:val="009D2A5B"/>
    <w:rsid w:val="009F4DE9"/>
    <w:rsid w:val="009F6A26"/>
    <w:rsid w:val="00A00A3F"/>
    <w:rsid w:val="00A01489"/>
    <w:rsid w:val="00A14A62"/>
    <w:rsid w:val="00A17336"/>
    <w:rsid w:val="00A176A0"/>
    <w:rsid w:val="00A2573C"/>
    <w:rsid w:val="00A3009E"/>
    <w:rsid w:val="00A3026E"/>
    <w:rsid w:val="00A338F1"/>
    <w:rsid w:val="00A35910"/>
    <w:rsid w:val="00A36DE6"/>
    <w:rsid w:val="00A51C2B"/>
    <w:rsid w:val="00A54ABF"/>
    <w:rsid w:val="00A658A6"/>
    <w:rsid w:val="00A72F22"/>
    <w:rsid w:val="00A7360F"/>
    <w:rsid w:val="00A748A6"/>
    <w:rsid w:val="00A74AB0"/>
    <w:rsid w:val="00A75372"/>
    <w:rsid w:val="00A769F4"/>
    <w:rsid w:val="00A776B4"/>
    <w:rsid w:val="00A94361"/>
    <w:rsid w:val="00A9587B"/>
    <w:rsid w:val="00A97439"/>
    <w:rsid w:val="00AA195C"/>
    <w:rsid w:val="00AA293C"/>
    <w:rsid w:val="00AA4BD0"/>
    <w:rsid w:val="00AB1C7D"/>
    <w:rsid w:val="00AB232E"/>
    <w:rsid w:val="00AC6790"/>
    <w:rsid w:val="00AC72CA"/>
    <w:rsid w:val="00AE0FDA"/>
    <w:rsid w:val="00AE4A41"/>
    <w:rsid w:val="00AE76C0"/>
    <w:rsid w:val="00AF0E53"/>
    <w:rsid w:val="00B04B62"/>
    <w:rsid w:val="00B0538F"/>
    <w:rsid w:val="00B11BB4"/>
    <w:rsid w:val="00B22BC2"/>
    <w:rsid w:val="00B240A1"/>
    <w:rsid w:val="00B24349"/>
    <w:rsid w:val="00B30179"/>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21BC"/>
    <w:rsid w:val="00BC38BF"/>
    <w:rsid w:val="00BC3FA0"/>
    <w:rsid w:val="00BC74E9"/>
    <w:rsid w:val="00BD28B6"/>
    <w:rsid w:val="00BD7E9D"/>
    <w:rsid w:val="00BF68A8"/>
    <w:rsid w:val="00C00584"/>
    <w:rsid w:val="00C050DF"/>
    <w:rsid w:val="00C10FE6"/>
    <w:rsid w:val="00C11A03"/>
    <w:rsid w:val="00C14945"/>
    <w:rsid w:val="00C22C0C"/>
    <w:rsid w:val="00C37144"/>
    <w:rsid w:val="00C40026"/>
    <w:rsid w:val="00C42B3C"/>
    <w:rsid w:val="00C4527F"/>
    <w:rsid w:val="00C463DD"/>
    <w:rsid w:val="00C4724C"/>
    <w:rsid w:val="00C557D6"/>
    <w:rsid w:val="00C629A0"/>
    <w:rsid w:val="00C62C07"/>
    <w:rsid w:val="00C63D2D"/>
    <w:rsid w:val="00C64629"/>
    <w:rsid w:val="00C66798"/>
    <w:rsid w:val="00C723CC"/>
    <w:rsid w:val="00C745C3"/>
    <w:rsid w:val="00C75FFE"/>
    <w:rsid w:val="00C84A21"/>
    <w:rsid w:val="00C90189"/>
    <w:rsid w:val="00CB3E03"/>
    <w:rsid w:val="00CB5F93"/>
    <w:rsid w:val="00CC1ADB"/>
    <w:rsid w:val="00CD305F"/>
    <w:rsid w:val="00CE4A8F"/>
    <w:rsid w:val="00CF559A"/>
    <w:rsid w:val="00D0663B"/>
    <w:rsid w:val="00D07D06"/>
    <w:rsid w:val="00D2031B"/>
    <w:rsid w:val="00D25FE2"/>
    <w:rsid w:val="00D36D4D"/>
    <w:rsid w:val="00D43252"/>
    <w:rsid w:val="00D47EEA"/>
    <w:rsid w:val="00D550D4"/>
    <w:rsid w:val="00D669EA"/>
    <w:rsid w:val="00D66A2F"/>
    <w:rsid w:val="00D66F7C"/>
    <w:rsid w:val="00D773DF"/>
    <w:rsid w:val="00D838E4"/>
    <w:rsid w:val="00D84C5B"/>
    <w:rsid w:val="00D91C02"/>
    <w:rsid w:val="00D9255F"/>
    <w:rsid w:val="00D94663"/>
    <w:rsid w:val="00D95303"/>
    <w:rsid w:val="00D96E72"/>
    <w:rsid w:val="00D978C6"/>
    <w:rsid w:val="00DA3C1C"/>
    <w:rsid w:val="00DB3B70"/>
    <w:rsid w:val="00DB6229"/>
    <w:rsid w:val="00DB62C7"/>
    <w:rsid w:val="00DC179E"/>
    <w:rsid w:val="00DD6F43"/>
    <w:rsid w:val="00DE4B5B"/>
    <w:rsid w:val="00DF1772"/>
    <w:rsid w:val="00DF469C"/>
    <w:rsid w:val="00DF7EE9"/>
    <w:rsid w:val="00E0214B"/>
    <w:rsid w:val="00E046DF"/>
    <w:rsid w:val="00E15557"/>
    <w:rsid w:val="00E240D2"/>
    <w:rsid w:val="00E27346"/>
    <w:rsid w:val="00E300A7"/>
    <w:rsid w:val="00E36F73"/>
    <w:rsid w:val="00E41E29"/>
    <w:rsid w:val="00E51286"/>
    <w:rsid w:val="00E536D3"/>
    <w:rsid w:val="00E54C9E"/>
    <w:rsid w:val="00E71132"/>
    <w:rsid w:val="00E71610"/>
    <w:rsid w:val="00E71BC8"/>
    <w:rsid w:val="00E7260F"/>
    <w:rsid w:val="00E73F5D"/>
    <w:rsid w:val="00E77E4E"/>
    <w:rsid w:val="00E86A12"/>
    <w:rsid w:val="00E91F89"/>
    <w:rsid w:val="00E96630"/>
    <w:rsid w:val="00EB2884"/>
    <w:rsid w:val="00EB74D4"/>
    <w:rsid w:val="00EC106A"/>
    <w:rsid w:val="00EC22C2"/>
    <w:rsid w:val="00EC73C8"/>
    <w:rsid w:val="00ED7A2A"/>
    <w:rsid w:val="00EE10AF"/>
    <w:rsid w:val="00EE32ED"/>
    <w:rsid w:val="00EE6B3A"/>
    <w:rsid w:val="00EF1D7F"/>
    <w:rsid w:val="00EF320A"/>
    <w:rsid w:val="00F049A3"/>
    <w:rsid w:val="00F2270C"/>
    <w:rsid w:val="00F2392F"/>
    <w:rsid w:val="00F31E5F"/>
    <w:rsid w:val="00F32BB7"/>
    <w:rsid w:val="00F37110"/>
    <w:rsid w:val="00F454F0"/>
    <w:rsid w:val="00F54767"/>
    <w:rsid w:val="00F6100A"/>
    <w:rsid w:val="00F61ACB"/>
    <w:rsid w:val="00F66565"/>
    <w:rsid w:val="00F74D57"/>
    <w:rsid w:val="00F76B2F"/>
    <w:rsid w:val="00F84187"/>
    <w:rsid w:val="00F93781"/>
    <w:rsid w:val="00FA2FE2"/>
    <w:rsid w:val="00FA7D7F"/>
    <w:rsid w:val="00FB1B60"/>
    <w:rsid w:val="00FB613B"/>
    <w:rsid w:val="00FC302D"/>
    <w:rsid w:val="00FC68B7"/>
    <w:rsid w:val="00FC6BBC"/>
    <w:rsid w:val="00FC7CF8"/>
    <w:rsid w:val="00FD1538"/>
    <w:rsid w:val="00FD4552"/>
    <w:rsid w:val="00FE106A"/>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EC763-5C99-415B-AD14-FF247A0A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946</Words>
  <Characters>4912</Characters>
  <Application>Microsoft Office Word</Application>
  <DocSecurity>0</DocSecurity>
  <Lines>104</Lines>
  <Paragraphs>53</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5805</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Laurence Berthet</cp:lastModifiedBy>
  <cp:revision>7</cp:revision>
  <cp:lastPrinted>2017-04-04T09:39:00Z</cp:lastPrinted>
  <dcterms:created xsi:type="dcterms:W3CDTF">2017-04-04T08:05:00Z</dcterms:created>
  <dcterms:modified xsi:type="dcterms:W3CDTF">2017-04-04T09:39:00Z</dcterms:modified>
</cp:coreProperties>
</file>