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906DD7">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906DD7" w:rsidP="00906DD7">
            <w:pPr>
              <w:jc w:val="right"/>
            </w:pPr>
            <w:r w:rsidRPr="00906DD7">
              <w:rPr>
                <w:sz w:val="40"/>
              </w:rPr>
              <w:t>ST</w:t>
            </w:r>
            <w:r>
              <w:t>/SG/AC.10/C.3/2017/16</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val="en-GB" w:eastAsia="en-GB"/>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906DD7" w:rsidP="00F01738">
            <w:pPr>
              <w:spacing w:before="240"/>
            </w:pPr>
            <w:r>
              <w:t>Distr. générale</w:t>
            </w:r>
          </w:p>
          <w:p w:rsidR="00906DD7" w:rsidRDefault="00906DD7" w:rsidP="00906DD7">
            <w:pPr>
              <w:spacing w:line="240" w:lineRule="exact"/>
            </w:pPr>
            <w:r>
              <w:t>21 avril 2017</w:t>
            </w:r>
          </w:p>
          <w:p w:rsidR="00906DD7" w:rsidRDefault="00906DD7" w:rsidP="00906DD7">
            <w:pPr>
              <w:spacing w:line="240" w:lineRule="exact"/>
            </w:pPr>
            <w:r>
              <w:t>Français</w:t>
            </w:r>
          </w:p>
          <w:p w:rsidR="00906DD7" w:rsidRPr="00DB58B5" w:rsidRDefault="00906DD7" w:rsidP="00906DD7">
            <w:pPr>
              <w:spacing w:line="240" w:lineRule="exact"/>
            </w:pPr>
            <w:r>
              <w:t>Original : anglais</w:t>
            </w:r>
          </w:p>
        </w:tc>
      </w:tr>
    </w:tbl>
    <w:p w:rsidR="00906DD7" w:rsidRPr="00CA0680" w:rsidRDefault="00906DD7"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rsidR="00906DD7" w:rsidRPr="00CA0680" w:rsidRDefault="00906DD7" w:rsidP="000305D3">
      <w:pPr>
        <w:spacing w:before="120"/>
        <w:rPr>
          <w:b/>
        </w:rPr>
      </w:pPr>
      <w:r w:rsidRPr="00CA0680">
        <w:rPr>
          <w:b/>
        </w:rPr>
        <w:t>Sous</w:t>
      </w:r>
      <w:r>
        <w:rPr>
          <w:b/>
        </w:rPr>
        <w:t>-</w:t>
      </w:r>
      <w:r w:rsidRPr="00CA0680">
        <w:rPr>
          <w:b/>
        </w:rPr>
        <w:t>Comité d’experts du transport des marchandises dangereuses</w:t>
      </w:r>
    </w:p>
    <w:p w:rsidR="00906DD7" w:rsidRDefault="00906DD7" w:rsidP="000305D3">
      <w:pPr>
        <w:spacing w:before="120"/>
        <w:rPr>
          <w:b/>
        </w:rPr>
      </w:pPr>
      <w:r>
        <w:rPr>
          <w:b/>
        </w:rPr>
        <w:t xml:space="preserve">Cinquante et unième </w:t>
      </w:r>
      <w:r w:rsidRPr="00CA0680">
        <w:rPr>
          <w:b/>
        </w:rPr>
        <w:t>session</w:t>
      </w:r>
    </w:p>
    <w:p w:rsidR="00906DD7" w:rsidRDefault="00906DD7" w:rsidP="000305D3">
      <w:r>
        <w:t>Genève, 3-7 juillet 2016</w:t>
      </w:r>
    </w:p>
    <w:p w:rsidR="00906DD7" w:rsidRDefault="00906DD7" w:rsidP="000305D3">
      <w:r>
        <w:t>Point 4 b) de l’ordre du jour provisoire</w:t>
      </w:r>
    </w:p>
    <w:p w:rsidR="00A3624C" w:rsidRPr="00A3624C" w:rsidRDefault="00A3624C" w:rsidP="00A3624C">
      <w:pPr>
        <w:rPr>
          <w:lang w:val="fr-FR"/>
        </w:rPr>
      </w:pPr>
      <w:r w:rsidRPr="00A3624C">
        <w:rPr>
          <w:b/>
          <w:lang w:val="fr-FR"/>
        </w:rPr>
        <w:t>Systèmes de stockage de l</w:t>
      </w:r>
      <w:r w:rsidR="00906DD7" w:rsidRPr="00A3624C">
        <w:rPr>
          <w:b/>
          <w:lang w:val="fr-FR"/>
        </w:rPr>
        <w:t>’</w:t>
      </w:r>
      <w:r w:rsidRPr="00A3624C">
        <w:rPr>
          <w:b/>
          <w:lang w:val="fr-FR"/>
        </w:rPr>
        <w:t xml:space="preserve">électricité : Système </w:t>
      </w:r>
      <w:r w:rsidRPr="00906DD7">
        <w:rPr>
          <w:b/>
          <w:lang w:val="fr-FR"/>
        </w:rPr>
        <w:t xml:space="preserve">de classification </w:t>
      </w:r>
      <w:r w:rsidR="00EA4BB9">
        <w:rPr>
          <w:b/>
          <w:lang w:val="fr-FR"/>
        </w:rPr>
        <w:br/>
      </w:r>
      <w:r w:rsidRPr="00906DD7">
        <w:rPr>
          <w:b/>
          <w:lang w:val="fr-FR"/>
        </w:rPr>
        <w:t>des piles au lithium en fonction du danger</w:t>
      </w:r>
    </w:p>
    <w:p w:rsidR="00A3624C" w:rsidRPr="00A3624C" w:rsidRDefault="00A3624C" w:rsidP="00A3624C">
      <w:pPr>
        <w:pStyle w:val="HChG"/>
        <w:rPr>
          <w:spacing w:val="2"/>
          <w:lang w:val="fr-FR"/>
        </w:rPr>
      </w:pPr>
      <w:r w:rsidRPr="00A3624C">
        <w:rPr>
          <w:spacing w:val="3"/>
          <w:lang w:val="fr-FR"/>
        </w:rPr>
        <w:tab/>
      </w:r>
      <w:r w:rsidRPr="00A3624C">
        <w:rPr>
          <w:spacing w:val="3"/>
          <w:lang w:val="fr-FR"/>
        </w:rPr>
        <w:tab/>
        <w:t>Rapport de la première réunion de l</w:t>
      </w:r>
      <w:r w:rsidR="00906DD7" w:rsidRPr="00A3624C">
        <w:rPr>
          <w:spacing w:val="3"/>
          <w:lang w:val="fr-FR"/>
        </w:rPr>
        <w:t>’</w:t>
      </w:r>
      <w:r w:rsidRPr="00A3624C">
        <w:rPr>
          <w:spacing w:val="3"/>
          <w:lang w:val="fr-FR"/>
        </w:rPr>
        <w:t xml:space="preserve">exercice </w:t>
      </w:r>
      <w:r w:rsidRPr="00A3624C">
        <w:rPr>
          <w:spacing w:val="3"/>
          <w:lang w:val="fr-FR"/>
        </w:rPr>
        <w:br/>
      </w:r>
      <w:r w:rsidRPr="00A3624C">
        <w:rPr>
          <w:spacing w:val="-2"/>
          <w:lang w:val="fr-FR"/>
        </w:rPr>
        <w:t xml:space="preserve">biennal 2017-2018 du groupe de travail informel </w:t>
      </w:r>
      <w:r w:rsidRPr="00A3624C">
        <w:rPr>
          <w:spacing w:val="-2"/>
          <w:lang w:val="fr-FR"/>
        </w:rPr>
        <w:br/>
      </w:r>
      <w:r w:rsidRPr="00A3624C">
        <w:rPr>
          <w:spacing w:val="2"/>
          <w:lang w:val="fr-FR"/>
        </w:rPr>
        <w:t>sur les piles au lithium</w:t>
      </w:r>
    </w:p>
    <w:p w:rsidR="00A3624C" w:rsidRPr="00906DD7" w:rsidRDefault="00A3624C" w:rsidP="00A3624C">
      <w:pPr>
        <w:pStyle w:val="H1G"/>
        <w:rPr>
          <w:lang w:val="fr-FR"/>
        </w:rPr>
      </w:pPr>
      <w:r w:rsidRPr="00906DD7">
        <w:rPr>
          <w:lang w:val="fr-FR"/>
        </w:rPr>
        <w:tab/>
      </w:r>
      <w:r w:rsidRPr="00906DD7">
        <w:rPr>
          <w:lang w:val="fr-FR"/>
        </w:rPr>
        <w:tab/>
        <w:t>Communication de l</w:t>
      </w:r>
      <w:r w:rsidR="00906DD7" w:rsidRPr="00906DD7">
        <w:rPr>
          <w:lang w:val="fr-FR"/>
        </w:rPr>
        <w:t>’</w:t>
      </w:r>
      <w:r w:rsidRPr="00906DD7">
        <w:rPr>
          <w:lang w:val="fr-FR"/>
        </w:rPr>
        <w:t xml:space="preserve">expert de la France au nom du groupe </w:t>
      </w:r>
      <w:r>
        <w:rPr>
          <w:lang w:val="fr-FR"/>
        </w:rPr>
        <w:br/>
      </w:r>
      <w:r w:rsidRPr="00906DD7">
        <w:rPr>
          <w:lang w:val="fr-FR"/>
        </w:rPr>
        <w:t>de travail informel</w:t>
      </w:r>
      <w:r w:rsidRPr="00EA4BB9">
        <w:rPr>
          <w:rStyle w:val="FootnoteReference"/>
          <w:b w:val="0"/>
          <w:sz w:val="20"/>
          <w:vertAlign w:val="baseline"/>
        </w:rPr>
        <w:footnoteReference w:customMarkFollows="1" w:id="2"/>
        <w:t>*</w:t>
      </w:r>
    </w:p>
    <w:p w:rsidR="00A3624C" w:rsidRPr="00906DD7" w:rsidRDefault="00A3624C" w:rsidP="00A3624C">
      <w:pPr>
        <w:pStyle w:val="ParNoG"/>
        <w:rPr>
          <w:lang w:val="fr-FR"/>
        </w:rPr>
      </w:pPr>
      <w:r w:rsidRPr="00906DD7">
        <w:rPr>
          <w:lang w:val="fr-FR"/>
        </w:rPr>
        <w:t>Le groupe de travail informel s</w:t>
      </w:r>
      <w:r w:rsidR="00906DD7" w:rsidRPr="00906DD7">
        <w:rPr>
          <w:lang w:val="fr-FR"/>
        </w:rPr>
        <w:t>’</w:t>
      </w:r>
      <w:r w:rsidRPr="00906DD7">
        <w:rPr>
          <w:lang w:val="fr-FR"/>
        </w:rPr>
        <w:t>est réuni à Montréal dans les locaux de l</w:t>
      </w:r>
      <w:r w:rsidR="00906DD7" w:rsidRPr="00906DD7">
        <w:rPr>
          <w:lang w:val="fr-FR"/>
        </w:rPr>
        <w:t>’</w:t>
      </w:r>
      <w:r w:rsidRPr="00906DD7">
        <w:rPr>
          <w:lang w:val="fr-FR"/>
        </w:rPr>
        <w:t>Organisation de l</w:t>
      </w:r>
      <w:r w:rsidR="00906DD7" w:rsidRPr="00906DD7">
        <w:rPr>
          <w:lang w:val="fr-FR"/>
        </w:rPr>
        <w:t>’</w:t>
      </w:r>
      <w:r w:rsidRPr="00906DD7">
        <w:rPr>
          <w:lang w:val="fr-FR"/>
        </w:rPr>
        <w:t>aviation civile internationale (OACI)</w:t>
      </w:r>
      <w:r>
        <w:rPr>
          <w:lang w:val="fr-FR"/>
        </w:rPr>
        <w:t>, du 27 au 29 </w:t>
      </w:r>
      <w:r w:rsidRPr="00906DD7">
        <w:rPr>
          <w:lang w:val="fr-FR"/>
        </w:rPr>
        <w:t>mars 2017</w:t>
      </w:r>
      <w:r w:rsidR="00E43535">
        <w:rPr>
          <w:lang w:val="fr-FR"/>
        </w:rPr>
        <w:t>,</w:t>
      </w:r>
      <w:r w:rsidRPr="00906DD7">
        <w:rPr>
          <w:lang w:val="fr-FR"/>
        </w:rPr>
        <w:t xml:space="preserve"> sous la présidence de M. Claude Pfauvadel (France). La liste des participants </w:t>
      </w:r>
      <w:r w:rsidR="000407F7">
        <w:rPr>
          <w:lang w:val="fr-FR"/>
        </w:rPr>
        <w:t>est reproduite dans le document </w:t>
      </w:r>
      <w:r w:rsidRPr="00906DD7">
        <w:rPr>
          <w:lang w:val="fr-FR"/>
        </w:rPr>
        <w:t>INF.3.</w:t>
      </w:r>
    </w:p>
    <w:p w:rsidR="00A3624C" w:rsidRPr="000407F7" w:rsidRDefault="00A3624C" w:rsidP="00A3624C">
      <w:pPr>
        <w:pStyle w:val="ParNoG"/>
        <w:keepNext/>
        <w:rPr>
          <w:lang w:val="fr-FR"/>
        </w:rPr>
      </w:pPr>
      <w:r w:rsidRPr="000407F7">
        <w:rPr>
          <w:lang w:val="fr-FR"/>
        </w:rPr>
        <w:t>L</w:t>
      </w:r>
      <w:r w:rsidR="00906DD7" w:rsidRPr="000407F7">
        <w:rPr>
          <w:lang w:val="fr-FR"/>
        </w:rPr>
        <w:t>’</w:t>
      </w:r>
      <w:r w:rsidRPr="000407F7">
        <w:rPr>
          <w:lang w:val="fr-FR"/>
        </w:rPr>
        <w:t>objectif de la réunion était d</w:t>
      </w:r>
      <w:r w:rsidR="00906DD7" w:rsidRPr="000407F7">
        <w:rPr>
          <w:lang w:val="fr-FR"/>
        </w:rPr>
        <w:t>’</w:t>
      </w:r>
      <w:r w:rsidRPr="000407F7">
        <w:rPr>
          <w:lang w:val="fr-FR"/>
        </w:rPr>
        <w:t>examiner les dangers associés aux batteries au lithium. En s</w:t>
      </w:r>
      <w:r w:rsidR="00906DD7" w:rsidRPr="000407F7">
        <w:rPr>
          <w:lang w:val="fr-FR"/>
        </w:rPr>
        <w:t>’</w:t>
      </w:r>
      <w:r w:rsidRPr="000407F7">
        <w:rPr>
          <w:lang w:val="fr-FR"/>
        </w:rPr>
        <w:t xml:space="preserve">appuyant sur les enseignements tirés </w:t>
      </w:r>
      <w:r w:rsidR="000407F7">
        <w:rPr>
          <w:lang w:val="fr-FR"/>
        </w:rPr>
        <w:t>de</w:t>
      </w:r>
      <w:r w:rsidRPr="000407F7">
        <w:rPr>
          <w:lang w:val="fr-FR"/>
        </w:rPr>
        <w:t xml:space="preserve"> l</w:t>
      </w:r>
      <w:r w:rsidR="00906DD7" w:rsidRPr="000407F7">
        <w:rPr>
          <w:lang w:val="fr-FR"/>
        </w:rPr>
        <w:t>’</w:t>
      </w:r>
      <w:r w:rsidR="000407F7">
        <w:rPr>
          <w:lang w:val="fr-FR"/>
        </w:rPr>
        <w:t>expérience</w:t>
      </w:r>
      <w:r w:rsidRPr="000407F7">
        <w:rPr>
          <w:lang w:val="fr-FR"/>
        </w:rPr>
        <w:t>, le Sous-Comité avait chargé le groupe de travail informel d</w:t>
      </w:r>
      <w:r w:rsidR="00906DD7" w:rsidRPr="000407F7">
        <w:rPr>
          <w:lang w:val="fr-FR"/>
        </w:rPr>
        <w:t>’</w:t>
      </w:r>
      <w:r w:rsidRPr="000407F7">
        <w:rPr>
          <w:lang w:val="fr-FR"/>
        </w:rPr>
        <w:t>examiner un système de classification des piles et des batteries au lithium en fonction du danger lors du transport. Un tel système pourrait inclure la détermination des dangers associés aux batteries au lithium et les types de réaction pouvant en résulter. Des épreuves destructives devr</w:t>
      </w:r>
      <w:r w:rsidR="006F5C47" w:rsidRPr="000407F7">
        <w:rPr>
          <w:lang w:val="fr-FR"/>
        </w:rPr>
        <w:t>aient être envisagées. Les </w:t>
      </w:r>
      <w:r w:rsidRPr="000407F7">
        <w:rPr>
          <w:lang w:val="fr-FR"/>
        </w:rPr>
        <w:t>questions générales retenues pour orienter les débats étaient notamment les suivantes :</w:t>
      </w:r>
    </w:p>
    <w:p w:rsidR="00A3624C" w:rsidRDefault="00A3624C" w:rsidP="00A3624C">
      <w:pPr>
        <w:pStyle w:val="SingleTxtG"/>
        <w:ind w:firstLine="567"/>
        <w:rPr>
          <w:lang w:val="fr-FR"/>
        </w:rPr>
      </w:pPr>
      <w:r w:rsidRPr="00906DD7">
        <w:rPr>
          <w:lang w:val="fr-FR"/>
        </w:rPr>
        <w:t>a)</w:t>
      </w:r>
      <w:r w:rsidRPr="00906DD7">
        <w:rPr>
          <w:lang w:val="fr-FR"/>
        </w:rPr>
        <w:tab/>
        <w:t>Examiner toutes les données disponibles pouvant déjà contribuer à l</w:t>
      </w:r>
      <w:r w:rsidR="00906DD7" w:rsidRPr="00906DD7">
        <w:rPr>
          <w:lang w:val="fr-FR"/>
        </w:rPr>
        <w:t>’</w:t>
      </w:r>
      <w:r w:rsidRPr="00906DD7">
        <w:rPr>
          <w:lang w:val="fr-FR"/>
        </w:rPr>
        <w:t>analyse des effets produits par les réactions des batteries au lithium</w:t>
      </w:r>
      <w:r>
        <w:rPr>
          <w:lang w:val="fr-FR"/>
        </w:rPr>
        <w:t> </w:t>
      </w:r>
      <w:r w:rsidRPr="00906DD7">
        <w:rPr>
          <w:lang w:val="fr-FR"/>
        </w:rPr>
        <w:t>;</w:t>
      </w:r>
    </w:p>
    <w:p w:rsidR="00A3624C" w:rsidRDefault="00A3624C" w:rsidP="00A3624C">
      <w:pPr>
        <w:pStyle w:val="SingleTxtG"/>
        <w:ind w:firstLine="567"/>
        <w:rPr>
          <w:lang w:val="fr-FR"/>
        </w:rPr>
      </w:pPr>
      <w:r w:rsidRPr="00906DD7">
        <w:rPr>
          <w:lang w:val="fr-FR"/>
        </w:rPr>
        <w:t>b)</w:t>
      </w:r>
      <w:r w:rsidRPr="00906DD7">
        <w:rPr>
          <w:lang w:val="fr-FR"/>
        </w:rPr>
        <w:tab/>
        <w:t>Déterminer quelles données supplémentaires sont nécessaires</w:t>
      </w:r>
      <w:r>
        <w:rPr>
          <w:lang w:val="fr-FR"/>
        </w:rPr>
        <w:t> </w:t>
      </w:r>
      <w:r w:rsidRPr="00906DD7">
        <w:rPr>
          <w:lang w:val="fr-FR"/>
        </w:rPr>
        <w:t>;</w:t>
      </w:r>
    </w:p>
    <w:p w:rsidR="00A3624C" w:rsidRPr="00906DD7" w:rsidRDefault="00A3624C" w:rsidP="00A3624C">
      <w:pPr>
        <w:pStyle w:val="SingleTxtG"/>
        <w:ind w:firstLine="567"/>
        <w:rPr>
          <w:lang w:val="fr-FR"/>
        </w:rPr>
      </w:pPr>
      <w:r w:rsidRPr="00906DD7">
        <w:rPr>
          <w:lang w:val="fr-FR"/>
        </w:rPr>
        <w:t>c)</w:t>
      </w:r>
      <w:r w:rsidRPr="00906DD7">
        <w:rPr>
          <w:lang w:val="fr-FR"/>
        </w:rPr>
        <w:tab/>
      </w:r>
      <w:r>
        <w:rPr>
          <w:lang w:val="fr-FR"/>
        </w:rPr>
        <w:t>É</w:t>
      </w:r>
      <w:r w:rsidRPr="00906DD7">
        <w:rPr>
          <w:lang w:val="fr-FR"/>
        </w:rPr>
        <w:t>laborer un plan en vue de recueillir toutes les données nécessaires et de décider comment les utiliser.</w:t>
      </w:r>
    </w:p>
    <w:p w:rsidR="00A3624C" w:rsidRPr="00906DD7" w:rsidRDefault="00A3624C" w:rsidP="00A3624C">
      <w:pPr>
        <w:pStyle w:val="ParNoG"/>
        <w:rPr>
          <w:lang w:val="fr-FR"/>
        </w:rPr>
      </w:pPr>
      <w:r w:rsidRPr="00906DD7">
        <w:rPr>
          <w:lang w:val="fr-FR"/>
        </w:rPr>
        <w:t>Les exposés distribués aux membres du groupe de travail avant la réunion peuvent être consultés sur le site Web de la Portable Rechargeable Battery Association (PRBA)</w:t>
      </w:r>
      <w:r w:rsidR="00985ED1">
        <w:rPr>
          <w:lang w:val="fr-FR"/>
        </w:rPr>
        <w:t> </w:t>
      </w:r>
      <w:r w:rsidRPr="00906DD7">
        <w:rPr>
          <w:lang w:val="fr-FR"/>
        </w:rPr>
        <w:t>: http://www.prba.org/lithium-battery-transport-information/un-lithium-battery-working-group-on-classification/.</w:t>
      </w:r>
    </w:p>
    <w:p w:rsidR="00A3624C" w:rsidRPr="00906DD7" w:rsidRDefault="00A3624C" w:rsidP="00A3624C">
      <w:pPr>
        <w:pStyle w:val="ParNoG"/>
        <w:rPr>
          <w:lang w:val="fr-FR"/>
        </w:rPr>
      </w:pPr>
      <w:r w:rsidRPr="00906DD7">
        <w:rPr>
          <w:lang w:val="fr-FR"/>
        </w:rPr>
        <w:lastRenderedPageBreak/>
        <w:t>Le groupe de travail informel a examiné la question de savoir ce qu</w:t>
      </w:r>
      <w:r w:rsidR="00906DD7" w:rsidRPr="00906DD7">
        <w:rPr>
          <w:lang w:val="fr-FR"/>
        </w:rPr>
        <w:t>’</w:t>
      </w:r>
      <w:r w:rsidRPr="00906DD7">
        <w:rPr>
          <w:lang w:val="fr-FR"/>
        </w:rPr>
        <w:t>il convenait de communiquer au Sous-Comité et quelles étaient les questions les plus importantes auxquelles il fallait apporter une réponse.</w:t>
      </w:r>
    </w:p>
    <w:p w:rsidR="00A3624C" w:rsidRPr="00906DD7" w:rsidRDefault="00A3624C" w:rsidP="00A3624C">
      <w:pPr>
        <w:pStyle w:val="ParNoG"/>
        <w:rPr>
          <w:lang w:val="fr-FR"/>
        </w:rPr>
      </w:pPr>
      <w:r w:rsidRPr="00906DD7">
        <w:rPr>
          <w:lang w:val="fr-FR"/>
        </w:rPr>
        <w:t xml:space="preserve">Le Président a fait observer que le Sous-Comité devait savoir quel était le degré de faisabilité de la tâche </w:t>
      </w:r>
      <w:r w:rsidR="000407F7">
        <w:rPr>
          <w:lang w:val="fr-FR"/>
        </w:rPr>
        <w:t xml:space="preserve">qui lui avait été </w:t>
      </w:r>
      <w:r w:rsidRPr="00906DD7">
        <w:rPr>
          <w:lang w:val="fr-FR"/>
        </w:rPr>
        <w:t>confiée et quelles informations étaient nécessaires pour atteindre les objectifs visés. Il n</w:t>
      </w:r>
      <w:r w:rsidR="00906DD7" w:rsidRPr="00906DD7">
        <w:rPr>
          <w:lang w:val="fr-FR"/>
        </w:rPr>
        <w:t>’</w:t>
      </w:r>
      <w:r w:rsidRPr="00906DD7">
        <w:rPr>
          <w:lang w:val="fr-FR"/>
        </w:rPr>
        <w:t>était pas prévu de prendre des décisions définitives lors de cette première réunion. L</w:t>
      </w:r>
      <w:r w:rsidR="00906DD7" w:rsidRPr="00906DD7">
        <w:rPr>
          <w:lang w:val="fr-FR"/>
        </w:rPr>
        <w:t>’</w:t>
      </w:r>
      <w:r w:rsidRPr="00906DD7">
        <w:rPr>
          <w:lang w:val="fr-FR"/>
        </w:rPr>
        <w:t>objectif de la réunion était de déterminer l</w:t>
      </w:r>
      <w:r w:rsidR="00906DD7" w:rsidRPr="00906DD7">
        <w:rPr>
          <w:lang w:val="fr-FR"/>
        </w:rPr>
        <w:t>’</w:t>
      </w:r>
      <w:r w:rsidR="006F5C47">
        <w:rPr>
          <w:lang w:val="fr-FR"/>
        </w:rPr>
        <w:t>ampleur des efforts à </w:t>
      </w:r>
      <w:r w:rsidRPr="00906DD7">
        <w:rPr>
          <w:lang w:val="fr-FR"/>
        </w:rPr>
        <w:t>déployer.</w:t>
      </w:r>
    </w:p>
    <w:p w:rsidR="00A3624C" w:rsidRPr="00906DD7" w:rsidRDefault="00A3624C" w:rsidP="006F5C47">
      <w:pPr>
        <w:pStyle w:val="ParNoG"/>
        <w:keepNext/>
        <w:rPr>
          <w:lang w:val="fr-FR"/>
        </w:rPr>
      </w:pPr>
      <w:r w:rsidRPr="00906DD7">
        <w:rPr>
          <w:lang w:val="fr-FR"/>
        </w:rPr>
        <w:t>Plus précisément, les questions suivantes devaient être examinées</w:t>
      </w:r>
      <w:r>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a)</w:t>
      </w:r>
      <w:r w:rsidRPr="00906DD7">
        <w:rPr>
          <w:lang w:val="fr-FR"/>
        </w:rPr>
        <w:tab/>
        <w:t>Quels risques/types de réaction doivent être évalués</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w:t>
      </w:r>
      <w:r w:rsidRPr="00906DD7">
        <w:rPr>
          <w:lang w:val="fr-FR"/>
        </w:rPr>
        <w:tab/>
        <w:t>Feu</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ii)</w:t>
      </w:r>
      <w:r w:rsidRPr="00906DD7">
        <w:rPr>
          <w:lang w:val="fr-FR"/>
        </w:rPr>
        <w:tab/>
      </w:r>
      <w:r w:rsidR="006F5C47">
        <w:rPr>
          <w:lang w:val="fr-FR"/>
        </w:rPr>
        <w:t>É</w:t>
      </w:r>
      <w:r w:rsidRPr="00906DD7">
        <w:rPr>
          <w:lang w:val="fr-FR"/>
        </w:rPr>
        <w:t>mission</w:t>
      </w:r>
      <w:r w:rsidR="000407F7">
        <w:rPr>
          <w:lang w:val="fr-FR"/>
        </w:rPr>
        <w:t>s</w:t>
      </w:r>
      <w:r w:rsidRPr="00906DD7">
        <w:rPr>
          <w:lang w:val="fr-FR"/>
        </w:rPr>
        <w:t xml:space="preserve"> de gaz</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iii)</w:t>
      </w:r>
      <w:r w:rsidRPr="00906DD7">
        <w:rPr>
          <w:lang w:val="fr-FR"/>
        </w:rPr>
        <w:tab/>
        <w:t>Fumées toxiques</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iv)</w:t>
      </w:r>
      <w:r w:rsidRPr="00906DD7">
        <w:rPr>
          <w:lang w:val="fr-FR"/>
        </w:rPr>
        <w:tab/>
        <w:t>Projections.</w:t>
      </w:r>
    </w:p>
    <w:p w:rsidR="00A3624C" w:rsidRPr="00906DD7" w:rsidRDefault="00A3624C" w:rsidP="004704E9">
      <w:pPr>
        <w:pStyle w:val="SingleTxtG"/>
        <w:ind w:firstLine="567"/>
        <w:rPr>
          <w:lang w:val="fr-FR"/>
        </w:rPr>
      </w:pPr>
      <w:r w:rsidRPr="00906DD7">
        <w:rPr>
          <w:lang w:val="fr-FR"/>
        </w:rPr>
        <w:t>b)</w:t>
      </w:r>
      <w:r w:rsidRPr="00906DD7">
        <w:rPr>
          <w:lang w:val="fr-FR"/>
        </w:rPr>
        <w:tab/>
        <w:t>Comment enclencher la réaction lors de l</w:t>
      </w:r>
      <w:r w:rsidR="00906DD7" w:rsidRPr="00906DD7">
        <w:rPr>
          <w:lang w:val="fr-FR"/>
        </w:rPr>
        <w:t>’</w:t>
      </w:r>
      <w:r w:rsidRPr="00906DD7">
        <w:rPr>
          <w:lang w:val="fr-FR"/>
        </w:rPr>
        <w:t>épreuve</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w:t>
      </w:r>
      <w:r w:rsidRPr="00906DD7">
        <w:rPr>
          <w:lang w:val="fr-FR"/>
        </w:rPr>
        <w:tab/>
        <w:t>Exposition au feu (épreuve du brasier)</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ii)</w:t>
      </w:r>
      <w:r w:rsidRPr="00906DD7">
        <w:rPr>
          <w:lang w:val="fr-FR"/>
        </w:rPr>
        <w:tab/>
        <w:t>Exposition au rayonnement calorifique</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iii)</w:t>
      </w:r>
      <w:r w:rsidRPr="00906DD7">
        <w:rPr>
          <w:lang w:val="fr-FR"/>
        </w:rPr>
        <w:tab/>
        <w:t>Exposition à la chaleur suite à un court-circuit</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iv)</w:t>
      </w:r>
      <w:r w:rsidRPr="00906DD7">
        <w:rPr>
          <w:lang w:val="fr-FR"/>
        </w:rPr>
        <w:tab/>
        <w:t>Surcharge.</w:t>
      </w:r>
    </w:p>
    <w:p w:rsidR="00A3624C" w:rsidRPr="00906DD7" w:rsidRDefault="00A3624C" w:rsidP="004704E9">
      <w:pPr>
        <w:pStyle w:val="SingleTxtG"/>
        <w:ind w:firstLine="567"/>
        <w:rPr>
          <w:lang w:val="fr-FR"/>
        </w:rPr>
      </w:pPr>
      <w:r w:rsidRPr="00906DD7">
        <w:rPr>
          <w:lang w:val="fr-FR"/>
        </w:rPr>
        <w:t>c)</w:t>
      </w:r>
      <w:r w:rsidRPr="00906DD7">
        <w:rPr>
          <w:lang w:val="fr-FR"/>
        </w:rPr>
        <w:tab/>
        <w:t>Quel élément est soumis à l</w:t>
      </w:r>
      <w:r w:rsidR="00906DD7" w:rsidRPr="00906DD7">
        <w:rPr>
          <w:lang w:val="fr-FR"/>
        </w:rPr>
        <w:t>’</w:t>
      </w:r>
      <w:r w:rsidRPr="00906DD7">
        <w:rPr>
          <w:lang w:val="fr-FR"/>
        </w:rPr>
        <w:t>épreuve en vue de la classification</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w:t>
      </w:r>
      <w:r w:rsidRPr="00906DD7">
        <w:rPr>
          <w:lang w:val="fr-FR"/>
        </w:rPr>
        <w:tab/>
        <w:t>Une batterie complète (indépendamment de sa taille)</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ii)</w:t>
      </w:r>
      <w:r w:rsidRPr="00906DD7">
        <w:rPr>
          <w:lang w:val="fr-FR"/>
        </w:rPr>
        <w:tab/>
        <w:t>Une pile</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iii)</w:t>
      </w:r>
      <w:r w:rsidRPr="00906DD7">
        <w:rPr>
          <w:lang w:val="fr-FR"/>
        </w:rPr>
        <w:tab/>
        <w:t xml:space="preserve">Un </w:t>
      </w:r>
      <w:r w:rsidR="006F5C47">
        <w:rPr>
          <w:lang w:val="fr-FR"/>
        </w:rPr>
        <w:t>« </w:t>
      </w:r>
      <w:r w:rsidRPr="00906DD7">
        <w:rPr>
          <w:lang w:val="fr-FR"/>
        </w:rPr>
        <w:t>module</w:t>
      </w:r>
      <w:r w:rsidR="006F5C47">
        <w:rPr>
          <w:lang w:val="fr-FR"/>
        </w:rPr>
        <w:t> »</w:t>
      </w:r>
      <w:r w:rsidRPr="00906DD7">
        <w:rPr>
          <w:lang w:val="fr-FR"/>
        </w:rPr>
        <w:t xml:space="preserve"> ou une partie de la batterie</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iv)</w:t>
      </w:r>
      <w:r w:rsidRPr="00906DD7">
        <w:rPr>
          <w:lang w:val="fr-FR"/>
        </w:rPr>
        <w:tab/>
        <w:t>Plusieurs des éléments susmentionnés</w:t>
      </w:r>
      <w:r w:rsidR="006F5C47">
        <w:rPr>
          <w:lang w:val="fr-FR"/>
        </w:rPr>
        <w:t> </w:t>
      </w:r>
      <w:r w:rsidRPr="00906DD7">
        <w:rPr>
          <w:lang w:val="fr-FR"/>
        </w:rPr>
        <w:t>;</w:t>
      </w:r>
    </w:p>
    <w:p w:rsidR="00A3624C" w:rsidRPr="00906DD7" w:rsidRDefault="00A3624C" w:rsidP="006F5C47">
      <w:pPr>
        <w:pStyle w:val="SingleTxtG"/>
        <w:ind w:left="2268"/>
        <w:rPr>
          <w:lang w:val="fr-FR"/>
        </w:rPr>
      </w:pPr>
      <w:r w:rsidRPr="00906DD7">
        <w:rPr>
          <w:lang w:val="fr-FR"/>
        </w:rPr>
        <w:t>v)</w:t>
      </w:r>
      <w:r w:rsidRPr="00906DD7">
        <w:rPr>
          <w:lang w:val="fr-FR"/>
        </w:rPr>
        <w:tab/>
        <w:t xml:space="preserve">La réactivité de la batterie complète peut-elle être évaluée par des épreuves portant </w:t>
      </w:r>
      <w:r w:rsidR="000407F7">
        <w:rPr>
          <w:lang w:val="fr-FR"/>
        </w:rPr>
        <w:t xml:space="preserve">seulement </w:t>
      </w:r>
      <w:r w:rsidRPr="00906DD7">
        <w:rPr>
          <w:lang w:val="fr-FR"/>
        </w:rPr>
        <w:t>sur certains</w:t>
      </w:r>
      <w:r w:rsidR="000407F7">
        <w:rPr>
          <w:lang w:val="fr-FR"/>
        </w:rPr>
        <w:t xml:space="preserve"> de ses</w:t>
      </w:r>
      <w:r w:rsidRPr="00906DD7">
        <w:rPr>
          <w:lang w:val="fr-FR"/>
        </w:rPr>
        <w:t xml:space="preserve"> éléments.</w:t>
      </w:r>
    </w:p>
    <w:p w:rsidR="00A3624C" w:rsidRPr="00906DD7" w:rsidRDefault="006F5C47" w:rsidP="004704E9">
      <w:pPr>
        <w:pStyle w:val="SingleTxtG"/>
        <w:ind w:firstLine="567"/>
        <w:rPr>
          <w:lang w:val="fr-FR"/>
        </w:rPr>
      </w:pPr>
      <w:r>
        <w:rPr>
          <w:lang w:val="fr-FR"/>
        </w:rPr>
        <w:t>d)</w:t>
      </w:r>
      <w:r>
        <w:rPr>
          <w:lang w:val="fr-FR"/>
        </w:rPr>
        <w:tab/>
        <w:t>Autres questions</w:t>
      </w:r>
    </w:p>
    <w:p w:rsidR="00A3624C" w:rsidRPr="00906DD7" w:rsidRDefault="00A3624C" w:rsidP="006F5C47">
      <w:pPr>
        <w:pStyle w:val="SingleTxtG"/>
        <w:ind w:left="2268"/>
        <w:rPr>
          <w:lang w:val="fr-FR"/>
        </w:rPr>
      </w:pPr>
      <w:r w:rsidRPr="00906DD7">
        <w:rPr>
          <w:lang w:val="fr-FR"/>
        </w:rPr>
        <w:t>i)</w:t>
      </w:r>
      <w:r w:rsidRPr="00906DD7">
        <w:rPr>
          <w:lang w:val="fr-FR"/>
        </w:rPr>
        <w:tab/>
        <w:t xml:space="preserve">Les épreuves </w:t>
      </w:r>
      <w:r w:rsidR="00946D8E">
        <w:rPr>
          <w:lang w:val="fr-FR"/>
        </w:rPr>
        <w:t xml:space="preserve">doivent-elles </w:t>
      </w:r>
      <w:r w:rsidRPr="00906DD7">
        <w:rPr>
          <w:lang w:val="fr-FR"/>
        </w:rPr>
        <w:t>porte</w:t>
      </w:r>
      <w:r w:rsidR="00946D8E">
        <w:rPr>
          <w:lang w:val="fr-FR"/>
        </w:rPr>
        <w:t>r</w:t>
      </w:r>
      <w:r w:rsidRPr="00906DD7">
        <w:rPr>
          <w:lang w:val="fr-FR"/>
        </w:rPr>
        <w:t xml:space="preserve"> sur </w:t>
      </w:r>
      <w:r w:rsidR="00946D8E">
        <w:rPr>
          <w:lang w:val="fr-FR"/>
        </w:rPr>
        <w:t xml:space="preserve">des objets </w:t>
      </w:r>
      <w:r w:rsidRPr="00906DD7">
        <w:rPr>
          <w:lang w:val="fr-FR"/>
        </w:rPr>
        <w:t>emballés ou non emballés (vers une classification tenant compte de l</w:t>
      </w:r>
      <w:r w:rsidR="00906DD7" w:rsidRPr="00906DD7">
        <w:rPr>
          <w:lang w:val="fr-FR"/>
        </w:rPr>
        <w:t>’</w:t>
      </w:r>
      <w:r w:rsidRPr="00906DD7">
        <w:rPr>
          <w:lang w:val="fr-FR"/>
        </w:rPr>
        <w:t>emballage pendant le transport)</w:t>
      </w:r>
      <w:r w:rsidR="00946D8E">
        <w:rPr>
          <w:lang w:val="fr-FR"/>
        </w:rPr>
        <w:t> ?</w:t>
      </w:r>
    </w:p>
    <w:p w:rsidR="00A3624C" w:rsidRPr="00906DD7" w:rsidRDefault="00A3624C" w:rsidP="006F5C47">
      <w:pPr>
        <w:pStyle w:val="SingleTxtG"/>
        <w:ind w:left="2268"/>
        <w:rPr>
          <w:lang w:val="fr-FR"/>
        </w:rPr>
      </w:pPr>
      <w:r w:rsidRPr="00906DD7">
        <w:rPr>
          <w:lang w:val="fr-FR"/>
        </w:rPr>
        <w:t>ii)</w:t>
      </w:r>
      <w:r w:rsidRPr="00906DD7">
        <w:rPr>
          <w:lang w:val="fr-FR"/>
        </w:rPr>
        <w:tab/>
      </w:r>
      <w:r w:rsidR="00946D8E">
        <w:rPr>
          <w:lang w:val="fr-FR"/>
        </w:rPr>
        <w:t xml:space="preserve">Quelle est la </w:t>
      </w:r>
      <w:r w:rsidRPr="00906DD7">
        <w:rPr>
          <w:lang w:val="fr-FR"/>
        </w:rPr>
        <w:t>finalité des épreuves</w:t>
      </w:r>
      <w:r w:rsidR="00946D8E">
        <w:rPr>
          <w:lang w:val="fr-FR"/>
        </w:rPr>
        <w:t> ?</w:t>
      </w:r>
    </w:p>
    <w:p w:rsidR="00A3624C" w:rsidRPr="00906DD7" w:rsidRDefault="00A3624C" w:rsidP="006F5C47">
      <w:pPr>
        <w:pStyle w:val="SingleTxtG"/>
        <w:ind w:left="2268"/>
        <w:rPr>
          <w:lang w:val="fr-FR"/>
        </w:rPr>
      </w:pPr>
      <w:r w:rsidRPr="00906DD7">
        <w:rPr>
          <w:lang w:val="fr-FR"/>
        </w:rPr>
        <w:t>iii)</w:t>
      </w:r>
      <w:r w:rsidRPr="00906DD7">
        <w:rPr>
          <w:lang w:val="fr-FR"/>
        </w:rPr>
        <w:tab/>
        <w:t>Faut-il évaluer l</w:t>
      </w:r>
      <w:r w:rsidR="00906DD7" w:rsidRPr="00906DD7">
        <w:rPr>
          <w:lang w:val="fr-FR"/>
        </w:rPr>
        <w:t>’</w:t>
      </w:r>
      <w:r w:rsidRPr="00906DD7">
        <w:rPr>
          <w:lang w:val="fr-FR"/>
        </w:rPr>
        <w:t xml:space="preserve">ampleur de la réaction uniquement </w:t>
      </w:r>
      <w:r w:rsidR="00946D8E">
        <w:rPr>
          <w:lang w:val="fr-FR"/>
        </w:rPr>
        <w:t xml:space="preserve">aux fins de </w:t>
      </w:r>
      <w:r w:rsidRPr="00906DD7">
        <w:rPr>
          <w:lang w:val="fr-FR"/>
        </w:rPr>
        <w:t>classification ou évaluer l</w:t>
      </w:r>
      <w:r w:rsidR="00906DD7" w:rsidRPr="00906DD7">
        <w:rPr>
          <w:lang w:val="fr-FR"/>
        </w:rPr>
        <w:t>’</w:t>
      </w:r>
      <w:r w:rsidRPr="00906DD7">
        <w:rPr>
          <w:lang w:val="fr-FR"/>
        </w:rPr>
        <w:t>ampleur de la réaction et la sensibilité</w:t>
      </w:r>
      <w:r w:rsidR="00946D8E">
        <w:rPr>
          <w:lang w:val="fr-FR"/>
        </w:rPr>
        <w:t> ?</w:t>
      </w:r>
    </w:p>
    <w:p w:rsidR="00A3624C" w:rsidRPr="00906DD7" w:rsidRDefault="00A3624C" w:rsidP="006F5C47">
      <w:pPr>
        <w:pStyle w:val="H1G"/>
        <w:rPr>
          <w:lang w:val="fr-FR"/>
        </w:rPr>
      </w:pPr>
      <w:r w:rsidRPr="00906DD7">
        <w:rPr>
          <w:lang w:val="fr-FR"/>
        </w:rPr>
        <w:tab/>
      </w:r>
      <w:r w:rsidRPr="00906DD7">
        <w:rPr>
          <w:lang w:val="fr-FR"/>
        </w:rPr>
        <w:tab/>
        <w:t>Exposé d</w:t>
      </w:r>
      <w:r w:rsidR="00906DD7" w:rsidRPr="00906DD7">
        <w:rPr>
          <w:lang w:val="fr-FR"/>
        </w:rPr>
        <w:t>’</w:t>
      </w:r>
      <w:r w:rsidRPr="00906DD7">
        <w:rPr>
          <w:lang w:val="fr-FR"/>
        </w:rPr>
        <w:t>INERIS</w:t>
      </w:r>
    </w:p>
    <w:p w:rsidR="00A3624C" w:rsidRPr="00906DD7" w:rsidRDefault="00A3624C" w:rsidP="006F5C47">
      <w:pPr>
        <w:pStyle w:val="ParNoG"/>
        <w:keepNext/>
        <w:rPr>
          <w:lang w:val="fr-FR"/>
        </w:rPr>
      </w:pPr>
      <w:r w:rsidRPr="00906DD7">
        <w:rPr>
          <w:lang w:val="fr-FR"/>
        </w:rPr>
        <w:t>L</w:t>
      </w:r>
      <w:r w:rsidR="00906DD7" w:rsidRPr="00906DD7">
        <w:rPr>
          <w:lang w:val="fr-FR"/>
        </w:rPr>
        <w:t>’</w:t>
      </w:r>
      <w:r w:rsidRPr="00906DD7">
        <w:rPr>
          <w:lang w:val="fr-FR"/>
        </w:rPr>
        <w:t>Institut national de l</w:t>
      </w:r>
      <w:r w:rsidR="00906DD7" w:rsidRPr="00906DD7">
        <w:rPr>
          <w:lang w:val="fr-FR"/>
        </w:rPr>
        <w:t>’</w:t>
      </w:r>
      <w:r w:rsidRPr="00906DD7">
        <w:rPr>
          <w:lang w:val="fr-FR"/>
        </w:rPr>
        <w:t>environnement industriel et des risques (INERIS) a présenté un résumé de l</w:t>
      </w:r>
      <w:r w:rsidR="00906DD7" w:rsidRPr="00906DD7">
        <w:rPr>
          <w:lang w:val="fr-FR"/>
        </w:rPr>
        <w:t>’</w:t>
      </w:r>
      <w:r w:rsidRPr="00906DD7">
        <w:rPr>
          <w:lang w:val="fr-FR"/>
        </w:rPr>
        <w:t>épreuve à laquelle il avait soumis différents types de batteries au lithium. L</w:t>
      </w:r>
      <w:r w:rsidR="00906DD7" w:rsidRPr="00906DD7">
        <w:rPr>
          <w:lang w:val="fr-FR"/>
        </w:rPr>
        <w:t>’</w:t>
      </w:r>
      <w:r w:rsidRPr="00906DD7">
        <w:rPr>
          <w:lang w:val="fr-FR"/>
        </w:rPr>
        <w:t xml:space="preserve">Institut avait examiné les différents effets résultant des accidents/incendies concernant des batteries au lithium et comparé ces effets en fonction des propriétés chimiques de la batterie. Il a </w:t>
      </w:r>
      <w:r w:rsidR="00946D8E">
        <w:rPr>
          <w:lang w:val="fr-FR"/>
        </w:rPr>
        <w:t>constaté les effets suivants</w:t>
      </w:r>
      <w:r w:rsidR="006F5C47">
        <w:rPr>
          <w:lang w:val="fr-FR"/>
        </w:rPr>
        <w:t> </w:t>
      </w:r>
      <w:r w:rsidRPr="00906DD7">
        <w:rPr>
          <w:lang w:val="fr-FR"/>
        </w:rPr>
        <w:t>:</w:t>
      </w:r>
    </w:p>
    <w:p w:rsidR="00A3624C" w:rsidRPr="00906DD7" w:rsidRDefault="00766E5E" w:rsidP="004704E9">
      <w:pPr>
        <w:pStyle w:val="SingleTxtG"/>
        <w:ind w:firstLine="567"/>
        <w:rPr>
          <w:lang w:val="fr-FR"/>
        </w:rPr>
      </w:pPr>
      <w:r>
        <w:rPr>
          <w:lang w:val="fr-FR"/>
        </w:rPr>
        <w:t>a)</w:t>
      </w:r>
      <w:r>
        <w:rPr>
          <w:lang w:val="fr-FR"/>
        </w:rPr>
        <w:tab/>
        <w:t>Ef</w:t>
      </w:r>
      <w:r w:rsidR="00A3624C" w:rsidRPr="00906DD7">
        <w:rPr>
          <w:lang w:val="fr-FR"/>
        </w:rPr>
        <w:t>fets toxiques</w:t>
      </w:r>
      <w:r>
        <w:rPr>
          <w:lang w:val="fr-FR"/>
        </w:rPr>
        <w:t xml:space="preserve"> (t</w:t>
      </w:r>
      <w:r w:rsidR="00A3624C" w:rsidRPr="00906DD7">
        <w:rPr>
          <w:lang w:val="fr-FR"/>
        </w:rPr>
        <w:t>rès variables en fonction</w:t>
      </w:r>
      <w:r w:rsidR="006F5C47">
        <w:rPr>
          <w:lang w:val="fr-FR"/>
        </w:rPr>
        <w:t xml:space="preserve"> des propriétés chimiques de la </w:t>
      </w:r>
      <w:r w:rsidR="00A3624C" w:rsidRPr="00906DD7">
        <w:rPr>
          <w:lang w:val="fr-FR"/>
        </w:rPr>
        <w:t>batterie</w:t>
      </w:r>
      <w:r>
        <w:rPr>
          <w:lang w:val="fr-FR"/>
        </w:rPr>
        <w:t>)</w:t>
      </w:r>
      <w:r w:rsidR="006F5C47">
        <w:rPr>
          <w:lang w:val="fr-FR"/>
        </w:rPr>
        <w:t> </w:t>
      </w:r>
      <w:r w:rsidR="00A3624C" w:rsidRPr="00906DD7">
        <w:rPr>
          <w:lang w:val="fr-FR"/>
        </w:rPr>
        <w:t>;</w:t>
      </w:r>
    </w:p>
    <w:p w:rsidR="00A3624C" w:rsidRPr="00906DD7" w:rsidRDefault="00A3624C" w:rsidP="004704E9">
      <w:pPr>
        <w:pStyle w:val="SingleTxtG"/>
        <w:ind w:firstLine="567"/>
        <w:rPr>
          <w:lang w:val="fr-FR"/>
        </w:rPr>
      </w:pPr>
      <w:r w:rsidRPr="00906DD7">
        <w:rPr>
          <w:lang w:val="fr-FR"/>
        </w:rPr>
        <w:t>b)</w:t>
      </w:r>
      <w:r w:rsidRPr="00906DD7">
        <w:rPr>
          <w:lang w:val="fr-FR"/>
        </w:rPr>
        <w:tab/>
      </w:r>
      <w:r w:rsidR="00766E5E">
        <w:rPr>
          <w:lang w:val="fr-FR"/>
        </w:rPr>
        <w:t>E</w:t>
      </w:r>
      <w:r w:rsidRPr="00906DD7">
        <w:rPr>
          <w:lang w:val="fr-FR"/>
        </w:rPr>
        <w:t>ffets thermiques</w:t>
      </w:r>
      <w:r w:rsidR="00766E5E">
        <w:rPr>
          <w:lang w:val="fr-FR"/>
        </w:rPr>
        <w:t xml:space="preserve"> (</w:t>
      </w:r>
      <w:r w:rsidRPr="00906DD7">
        <w:rPr>
          <w:lang w:val="fr-FR"/>
        </w:rPr>
        <w:t>très variables en fonction des propriétés chimiques de la batterie</w:t>
      </w:r>
      <w:r w:rsidR="00766E5E">
        <w:rPr>
          <w:lang w:val="fr-FR"/>
        </w:rPr>
        <w:t>)</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lastRenderedPageBreak/>
        <w:t>c)</w:t>
      </w:r>
      <w:r w:rsidRPr="00906DD7">
        <w:rPr>
          <w:lang w:val="fr-FR"/>
        </w:rPr>
        <w:tab/>
      </w:r>
      <w:r w:rsidR="00766E5E">
        <w:rPr>
          <w:lang w:val="fr-FR"/>
        </w:rPr>
        <w:t>E</w:t>
      </w:r>
      <w:r w:rsidRPr="00906DD7">
        <w:rPr>
          <w:lang w:val="fr-FR"/>
        </w:rPr>
        <w:t>ffets mécaniques</w:t>
      </w:r>
      <w:r w:rsidR="00766E5E">
        <w:rPr>
          <w:lang w:val="fr-FR"/>
        </w:rPr>
        <w:t xml:space="preserve"> (</w:t>
      </w:r>
      <w:r w:rsidRPr="00906DD7">
        <w:rPr>
          <w:lang w:val="fr-FR"/>
        </w:rPr>
        <w:t>données insuffisantes pour établir des comparaisons significatives</w:t>
      </w:r>
      <w:r w:rsidR="00766E5E">
        <w:rPr>
          <w:lang w:val="fr-FR"/>
        </w:rPr>
        <w:t>)</w:t>
      </w:r>
      <w:r w:rsidRPr="00906DD7">
        <w:rPr>
          <w:lang w:val="fr-FR"/>
        </w:rPr>
        <w:t>.</w:t>
      </w:r>
    </w:p>
    <w:p w:rsidR="00A3624C" w:rsidRPr="00906DD7" w:rsidRDefault="00A3624C" w:rsidP="006F5C47">
      <w:pPr>
        <w:pStyle w:val="ParNoG"/>
        <w:keepNext/>
        <w:rPr>
          <w:lang w:val="fr-FR"/>
        </w:rPr>
      </w:pPr>
      <w:r w:rsidRPr="00906DD7">
        <w:rPr>
          <w:lang w:val="fr-FR"/>
        </w:rPr>
        <w:t>INERIS avait également comparé les effets susmentionnés à ceux résultant d</w:t>
      </w:r>
      <w:r w:rsidR="00906DD7" w:rsidRPr="00906DD7">
        <w:rPr>
          <w:lang w:val="fr-FR"/>
        </w:rPr>
        <w:t>’</w:t>
      </w:r>
      <w:r w:rsidRPr="00906DD7">
        <w:rPr>
          <w:lang w:val="fr-FR"/>
        </w:rPr>
        <w:t>épreuves portant sur d</w:t>
      </w:r>
      <w:r w:rsidR="00906DD7" w:rsidRPr="00906DD7">
        <w:rPr>
          <w:lang w:val="fr-FR"/>
        </w:rPr>
        <w:t>’</w:t>
      </w:r>
      <w:r w:rsidRPr="00906DD7">
        <w:rPr>
          <w:lang w:val="fr-FR"/>
        </w:rPr>
        <w:t xml:space="preserve">autres </w:t>
      </w:r>
      <w:r w:rsidR="00766E5E">
        <w:rPr>
          <w:lang w:val="fr-FR"/>
        </w:rPr>
        <w:t>objets</w:t>
      </w:r>
      <w:r w:rsidRPr="00906DD7">
        <w:rPr>
          <w:lang w:val="fr-FR"/>
        </w:rPr>
        <w:t xml:space="preserve"> courants tels que des aérosols, des DVD, des fûts en plastique et </w:t>
      </w:r>
      <w:r w:rsidR="00766E5E">
        <w:rPr>
          <w:lang w:val="fr-FR"/>
        </w:rPr>
        <w:t>une</w:t>
      </w:r>
      <w:r w:rsidRPr="00906DD7">
        <w:rPr>
          <w:lang w:val="fr-FR"/>
        </w:rPr>
        <w:t xml:space="preserve"> palette de salades </w:t>
      </w:r>
      <w:r w:rsidR="00766E5E">
        <w:rPr>
          <w:lang w:val="fr-FR"/>
        </w:rPr>
        <w:t>en sachets</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a)</w:t>
      </w:r>
      <w:r w:rsidRPr="00906DD7">
        <w:rPr>
          <w:lang w:val="fr-FR"/>
        </w:rPr>
        <w:tab/>
        <w:t>Effets thermiques</w:t>
      </w:r>
      <w:r w:rsidR="00766E5E">
        <w:rPr>
          <w:lang w:val="fr-FR"/>
        </w:rPr>
        <w:t> </w:t>
      </w:r>
      <w:r w:rsidRPr="00906DD7">
        <w:rPr>
          <w:lang w:val="fr-FR"/>
        </w:rPr>
        <w:t>: INERIS avait conclu qu</w:t>
      </w:r>
      <w:r w:rsidR="00906DD7" w:rsidRPr="00906DD7">
        <w:rPr>
          <w:lang w:val="fr-FR"/>
        </w:rPr>
        <w:t>’</w:t>
      </w:r>
      <w:r w:rsidRPr="00906DD7">
        <w:rPr>
          <w:lang w:val="fr-FR"/>
        </w:rPr>
        <w:t xml:space="preserve">un </w:t>
      </w:r>
      <w:r w:rsidR="00766E5E">
        <w:rPr>
          <w:lang w:val="fr-FR"/>
        </w:rPr>
        <w:t>« pack</w:t>
      </w:r>
      <w:r w:rsidRPr="00906DD7">
        <w:rPr>
          <w:lang w:val="fr-FR"/>
        </w:rPr>
        <w:t>-batterie</w:t>
      </w:r>
      <w:r w:rsidR="00766E5E">
        <w:rPr>
          <w:lang w:val="fr-FR"/>
        </w:rPr>
        <w:t> »</w:t>
      </w:r>
      <w:r w:rsidRPr="00906DD7">
        <w:rPr>
          <w:lang w:val="fr-FR"/>
        </w:rPr>
        <w:t xml:space="preserve"> soumis à l</w:t>
      </w:r>
      <w:r w:rsidR="00906DD7" w:rsidRPr="00906DD7">
        <w:rPr>
          <w:lang w:val="fr-FR"/>
        </w:rPr>
        <w:t>’</w:t>
      </w:r>
      <w:r w:rsidRPr="00906DD7">
        <w:rPr>
          <w:lang w:val="fr-FR"/>
        </w:rPr>
        <w:t>épreuve présentait un risque supérieur à une palette d</w:t>
      </w:r>
      <w:r w:rsidR="00906DD7" w:rsidRPr="00906DD7">
        <w:rPr>
          <w:lang w:val="fr-FR"/>
        </w:rPr>
        <w:t>’</w:t>
      </w:r>
      <w:r w:rsidRPr="00906DD7">
        <w:rPr>
          <w:lang w:val="fr-FR"/>
        </w:rPr>
        <w:t>aérosols, tandis qu</w:t>
      </w:r>
      <w:r w:rsidR="00906DD7" w:rsidRPr="00906DD7">
        <w:rPr>
          <w:lang w:val="fr-FR"/>
        </w:rPr>
        <w:t>’</w:t>
      </w:r>
      <w:r w:rsidRPr="00906DD7">
        <w:rPr>
          <w:lang w:val="fr-FR"/>
        </w:rPr>
        <w:t xml:space="preserve">un deuxième </w:t>
      </w:r>
      <w:r w:rsidR="00766E5E">
        <w:rPr>
          <w:lang w:val="fr-FR"/>
        </w:rPr>
        <w:t>« pack-</w:t>
      </w:r>
      <w:r w:rsidRPr="00906DD7">
        <w:rPr>
          <w:lang w:val="fr-FR"/>
        </w:rPr>
        <w:t>batterie</w:t>
      </w:r>
      <w:r w:rsidR="00766E5E">
        <w:rPr>
          <w:lang w:val="fr-FR"/>
        </w:rPr>
        <w:t> »</w:t>
      </w:r>
      <w:r w:rsidRPr="00906DD7">
        <w:rPr>
          <w:lang w:val="fr-FR"/>
        </w:rPr>
        <w:t xml:space="preserve"> soumis à l</w:t>
      </w:r>
      <w:r w:rsidR="00906DD7" w:rsidRPr="00906DD7">
        <w:rPr>
          <w:lang w:val="fr-FR"/>
        </w:rPr>
        <w:t>’</w:t>
      </w:r>
      <w:r w:rsidRPr="00906DD7">
        <w:rPr>
          <w:lang w:val="fr-FR"/>
        </w:rPr>
        <w:t>épreuve présentait un risqu</w:t>
      </w:r>
      <w:r w:rsidR="00E66EC3">
        <w:rPr>
          <w:lang w:val="fr-FR"/>
        </w:rPr>
        <w:t>e de la même importance que les </w:t>
      </w:r>
      <w:r w:rsidRPr="00906DD7">
        <w:rPr>
          <w:lang w:val="fr-FR"/>
        </w:rPr>
        <w:t xml:space="preserve">DVD, les </w:t>
      </w:r>
      <w:r w:rsidR="00766E5E">
        <w:rPr>
          <w:lang w:val="fr-FR"/>
        </w:rPr>
        <w:t>sachets de salades en plastique</w:t>
      </w:r>
      <w:r w:rsidRPr="00906DD7">
        <w:rPr>
          <w:lang w:val="fr-FR"/>
        </w:rPr>
        <w:t xml:space="preserve"> et les fûts en plastique. Les résultats faisaient apparaître deux groupes bien définis de niveaux d</w:t>
      </w:r>
      <w:r w:rsidR="00906DD7" w:rsidRPr="00906DD7">
        <w:rPr>
          <w:lang w:val="fr-FR"/>
        </w:rPr>
        <w:t>’</w:t>
      </w:r>
      <w:r w:rsidRPr="00906DD7">
        <w:rPr>
          <w:lang w:val="fr-FR"/>
        </w:rPr>
        <w:t>énergie thermique, l</w:t>
      </w:r>
      <w:r w:rsidR="00906DD7" w:rsidRPr="00906DD7">
        <w:rPr>
          <w:lang w:val="fr-FR"/>
        </w:rPr>
        <w:t>’</w:t>
      </w:r>
      <w:r w:rsidR="006F5C47">
        <w:rPr>
          <w:lang w:val="fr-FR"/>
        </w:rPr>
        <w:t>un étant supérieur à </w:t>
      </w:r>
      <w:r w:rsidRPr="00906DD7">
        <w:rPr>
          <w:lang w:val="fr-FR"/>
        </w:rPr>
        <w:t>140</w:t>
      </w:r>
      <w:r w:rsidR="006F5C47">
        <w:rPr>
          <w:lang w:val="fr-FR"/>
        </w:rPr>
        <w:t> </w:t>
      </w:r>
      <w:r w:rsidRPr="00906DD7">
        <w:rPr>
          <w:lang w:val="fr-FR"/>
        </w:rPr>
        <w:t>mégawatts (MW) et le deuxième inférieur à 70</w:t>
      </w:r>
      <w:r w:rsidR="006F5C47">
        <w:rPr>
          <w:lang w:val="fr-FR"/>
        </w:rPr>
        <w:t> MW ;</w:t>
      </w:r>
    </w:p>
    <w:p w:rsidR="00A3624C" w:rsidRPr="00906DD7" w:rsidRDefault="00A3624C" w:rsidP="004704E9">
      <w:pPr>
        <w:pStyle w:val="SingleTxtG"/>
        <w:ind w:firstLine="567"/>
        <w:rPr>
          <w:lang w:val="fr-FR"/>
        </w:rPr>
      </w:pPr>
      <w:r w:rsidRPr="00906DD7">
        <w:rPr>
          <w:lang w:val="fr-FR"/>
        </w:rPr>
        <w:t>b)</w:t>
      </w:r>
      <w:r w:rsidRPr="00906DD7">
        <w:rPr>
          <w:lang w:val="fr-FR"/>
        </w:rPr>
        <w:tab/>
        <w:t>Production de flammes et hauteur de celles-ci</w:t>
      </w:r>
      <w:r w:rsidR="006F5C47">
        <w:rPr>
          <w:lang w:val="fr-FR"/>
        </w:rPr>
        <w:t> </w:t>
      </w:r>
      <w:r w:rsidRPr="00906DD7">
        <w:rPr>
          <w:lang w:val="fr-FR"/>
        </w:rPr>
        <w:t xml:space="preserve">: les résultats étaient similaires à ceux des épreuves </w:t>
      </w:r>
      <w:r w:rsidR="006F5C47">
        <w:rPr>
          <w:lang w:val="fr-FR"/>
        </w:rPr>
        <w:t>relatives aux effets thermiques ;</w:t>
      </w:r>
    </w:p>
    <w:p w:rsidR="00A3624C" w:rsidRPr="00906DD7" w:rsidRDefault="00A3624C" w:rsidP="004704E9">
      <w:pPr>
        <w:pStyle w:val="SingleTxtG"/>
        <w:ind w:firstLine="567"/>
        <w:rPr>
          <w:lang w:val="fr-FR"/>
        </w:rPr>
      </w:pPr>
      <w:r w:rsidRPr="00906DD7">
        <w:rPr>
          <w:lang w:val="fr-FR"/>
        </w:rPr>
        <w:t>c)</w:t>
      </w:r>
      <w:r w:rsidRPr="00906DD7">
        <w:rPr>
          <w:lang w:val="fr-FR"/>
        </w:rPr>
        <w:tab/>
        <w:t>Effets toxiques</w:t>
      </w:r>
      <w:r w:rsidR="006F5C47">
        <w:rPr>
          <w:lang w:val="fr-FR"/>
        </w:rPr>
        <w:t> </w:t>
      </w:r>
      <w:r w:rsidRPr="00906DD7">
        <w:rPr>
          <w:lang w:val="fr-FR"/>
        </w:rPr>
        <w:t xml:space="preserve">: INERIS a examiné la concentration des effluents gazeux et comparé leur niveau de toxicité en </w:t>
      </w:r>
      <w:r w:rsidRPr="00906DD7">
        <w:rPr>
          <w:iCs/>
          <w:lang w:val="fr-FR"/>
        </w:rPr>
        <w:t>parties par million</w:t>
      </w:r>
      <w:r w:rsidRPr="00906DD7">
        <w:rPr>
          <w:i/>
          <w:iCs/>
          <w:lang w:val="fr-FR"/>
        </w:rPr>
        <w:t xml:space="preserve"> </w:t>
      </w:r>
      <w:r w:rsidRPr="00906DD7">
        <w:rPr>
          <w:lang w:val="fr-FR"/>
        </w:rPr>
        <w:t>(ppm). Les batteries au lithium présentaient un danger de niveau intermédiaire en comparaison avec d</w:t>
      </w:r>
      <w:r w:rsidR="00906DD7" w:rsidRPr="00906DD7">
        <w:rPr>
          <w:lang w:val="fr-FR"/>
        </w:rPr>
        <w:t>’</w:t>
      </w:r>
      <w:r w:rsidRPr="00906DD7">
        <w:rPr>
          <w:lang w:val="fr-FR"/>
        </w:rPr>
        <w:t xml:space="preserve">autres </w:t>
      </w:r>
      <w:r w:rsidR="00B1122E">
        <w:rPr>
          <w:lang w:val="fr-FR"/>
        </w:rPr>
        <w:t>objets. Les </w:t>
      </w:r>
      <w:r w:rsidRPr="00906DD7">
        <w:rPr>
          <w:lang w:val="fr-FR"/>
        </w:rPr>
        <w:t>fûts en plastique présentaient le niveau de toxicité le plus élevé, supérieur à celui des batteries au lithium.</w:t>
      </w:r>
    </w:p>
    <w:p w:rsidR="00A3624C" w:rsidRPr="00906DD7" w:rsidRDefault="00A3624C" w:rsidP="006F5C47">
      <w:pPr>
        <w:pStyle w:val="ParNoG"/>
        <w:rPr>
          <w:lang w:val="fr-FR"/>
        </w:rPr>
      </w:pPr>
      <w:r w:rsidRPr="00906DD7">
        <w:rPr>
          <w:lang w:val="fr-FR"/>
        </w:rPr>
        <w:t>Les résultats de l</w:t>
      </w:r>
      <w:r w:rsidR="00906DD7" w:rsidRPr="00906DD7">
        <w:rPr>
          <w:lang w:val="fr-FR"/>
        </w:rPr>
        <w:t>’</w:t>
      </w:r>
      <w:r w:rsidRPr="00906DD7">
        <w:rPr>
          <w:lang w:val="fr-FR"/>
        </w:rPr>
        <w:t>étude ont montré une grande variabilité des effets toxiques et thermiques en fonction des types de batteries, le niveau de nombreux effets étant inférieur à celui d</w:t>
      </w:r>
      <w:r w:rsidR="00906DD7" w:rsidRPr="00906DD7">
        <w:rPr>
          <w:lang w:val="fr-FR"/>
        </w:rPr>
        <w:t>’</w:t>
      </w:r>
      <w:r w:rsidRPr="00906DD7">
        <w:rPr>
          <w:lang w:val="fr-FR"/>
        </w:rPr>
        <w:t>autres marchandises couramment transportées. INERIS a conclu qu</w:t>
      </w:r>
      <w:r w:rsidR="00906DD7" w:rsidRPr="00906DD7">
        <w:rPr>
          <w:lang w:val="fr-FR"/>
        </w:rPr>
        <w:t>’</w:t>
      </w:r>
      <w:r w:rsidRPr="00906DD7">
        <w:rPr>
          <w:lang w:val="fr-FR"/>
        </w:rPr>
        <w:t>un système de classification en fonction des effets toxiques et thermiques serait pertinent.</w:t>
      </w:r>
    </w:p>
    <w:p w:rsidR="00A3624C" w:rsidRPr="00906DD7" w:rsidRDefault="00A3624C" w:rsidP="006F5C47">
      <w:pPr>
        <w:pStyle w:val="ParNoG"/>
        <w:rPr>
          <w:lang w:val="fr-FR"/>
        </w:rPr>
      </w:pPr>
      <w:r w:rsidRPr="00906DD7">
        <w:rPr>
          <w:lang w:val="fr-FR"/>
        </w:rPr>
        <w:t>Les participants ont examiné la question de savoir s</w:t>
      </w:r>
      <w:r w:rsidR="00906DD7" w:rsidRPr="00906DD7">
        <w:rPr>
          <w:lang w:val="fr-FR"/>
        </w:rPr>
        <w:t>’</w:t>
      </w:r>
      <w:r w:rsidRPr="00906DD7">
        <w:rPr>
          <w:lang w:val="fr-FR"/>
        </w:rPr>
        <w:t>il était important d</w:t>
      </w:r>
      <w:r w:rsidR="00906DD7" w:rsidRPr="00906DD7">
        <w:rPr>
          <w:lang w:val="fr-FR"/>
        </w:rPr>
        <w:t>’</w:t>
      </w:r>
      <w:r w:rsidRPr="00906DD7">
        <w:rPr>
          <w:lang w:val="fr-FR"/>
        </w:rPr>
        <w:t>examiner les dangers particuliers présentés par les batteries au lithium ou si ces effets devaient être comparés à ceux d</w:t>
      </w:r>
      <w:r w:rsidR="00906DD7" w:rsidRPr="00906DD7">
        <w:rPr>
          <w:lang w:val="fr-FR"/>
        </w:rPr>
        <w:t>’</w:t>
      </w:r>
      <w:r w:rsidRPr="00906DD7">
        <w:rPr>
          <w:lang w:val="fr-FR"/>
        </w:rPr>
        <w:t>autres marchandises. Certains ont estimé qu</w:t>
      </w:r>
      <w:r w:rsidR="00906DD7" w:rsidRPr="00906DD7">
        <w:rPr>
          <w:lang w:val="fr-FR"/>
        </w:rPr>
        <w:t>’</w:t>
      </w:r>
      <w:r w:rsidRPr="00906DD7">
        <w:rPr>
          <w:lang w:val="fr-FR"/>
        </w:rPr>
        <w:t>il fallait considérer les propriétés particulières des batteries au lithium comme la donnée de base et qu</w:t>
      </w:r>
      <w:r w:rsidR="00906DD7" w:rsidRPr="00906DD7">
        <w:rPr>
          <w:lang w:val="fr-FR"/>
        </w:rPr>
        <w:t>’</w:t>
      </w:r>
      <w:r w:rsidRPr="00906DD7">
        <w:rPr>
          <w:lang w:val="fr-FR"/>
        </w:rPr>
        <w:t>un système devait être mis en place pour répondre aux préoccupations qui seraient mises au jour, indépendamment de la comparaison de ces données avec celles d</w:t>
      </w:r>
      <w:r w:rsidR="00906DD7" w:rsidRPr="00906DD7">
        <w:rPr>
          <w:lang w:val="fr-FR"/>
        </w:rPr>
        <w:t>’</w:t>
      </w:r>
      <w:r w:rsidRPr="00906DD7">
        <w:rPr>
          <w:lang w:val="fr-FR"/>
        </w:rPr>
        <w:t>autres matériaux. Mais le groupe de travail est convenu que la première étape devrait être de recenser les différents dangers existants et ensuite, dans un second temps, les facteurs d</w:t>
      </w:r>
      <w:r w:rsidR="00906DD7" w:rsidRPr="00906DD7">
        <w:rPr>
          <w:lang w:val="fr-FR"/>
        </w:rPr>
        <w:t>’</w:t>
      </w:r>
      <w:r w:rsidRPr="00906DD7">
        <w:rPr>
          <w:lang w:val="fr-FR"/>
        </w:rPr>
        <w:t>atténuation des risques permettant de réduire ou d</w:t>
      </w:r>
      <w:r w:rsidR="00906DD7" w:rsidRPr="00906DD7">
        <w:rPr>
          <w:lang w:val="fr-FR"/>
        </w:rPr>
        <w:t>’</w:t>
      </w:r>
      <w:r w:rsidRPr="00906DD7">
        <w:rPr>
          <w:lang w:val="fr-FR"/>
        </w:rPr>
        <w:t xml:space="preserve">éliminer ces dangers. Une approche multimodale devrait être envisagée. Le groupe de travail a été informé des activités du </w:t>
      </w:r>
      <w:bookmarkStart w:id="1" w:name="_Hlk481329364"/>
      <w:r w:rsidRPr="00906DD7">
        <w:rPr>
          <w:lang w:val="fr-FR"/>
        </w:rPr>
        <w:t>Comité G-27 de la Society of Automotive Engineers (</w:t>
      </w:r>
      <w:bookmarkStart w:id="2" w:name="hit4"/>
      <w:bookmarkEnd w:id="2"/>
      <w:r w:rsidRPr="00906DD7">
        <w:rPr>
          <w:lang w:val="fr-FR"/>
        </w:rPr>
        <w:t>SAE) sur l</w:t>
      </w:r>
      <w:r w:rsidR="00906DD7" w:rsidRPr="00906DD7">
        <w:rPr>
          <w:lang w:val="fr-FR"/>
        </w:rPr>
        <w:t>’</w:t>
      </w:r>
      <w:r w:rsidRPr="00906DD7">
        <w:rPr>
          <w:lang w:val="fr-FR"/>
        </w:rPr>
        <w:t>efficacité des emba</w:t>
      </w:r>
      <w:r w:rsidR="00EA28D7">
        <w:rPr>
          <w:lang w:val="fr-FR"/>
        </w:rPr>
        <w:t>llages des batteries au lithium</w:t>
      </w:r>
      <w:r w:rsidRPr="00906DD7">
        <w:rPr>
          <w:lang w:val="fr-FR"/>
        </w:rPr>
        <w:t xml:space="preserve"> </w:t>
      </w:r>
      <w:bookmarkEnd w:id="1"/>
      <w:r w:rsidRPr="00906DD7">
        <w:rPr>
          <w:lang w:val="fr-FR"/>
        </w:rPr>
        <w:t>qui procédait à l</w:t>
      </w:r>
      <w:r w:rsidR="00906DD7" w:rsidRPr="00906DD7">
        <w:rPr>
          <w:lang w:val="fr-FR"/>
        </w:rPr>
        <w:t>’</w:t>
      </w:r>
      <w:r w:rsidRPr="00906DD7">
        <w:rPr>
          <w:lang w:val="fr-FR"/>
        </w:rPr>
        <w:t>examen des emballages des batteries au lithium pour le transport par voie aérienne. Le Président a rappelé au groupe de travail que cette question ne serait pas résolue pendant cette séance et qu</w:t>
      </w:r>
      <w:r w:rsidR="00906DD7" w:rsidRPr="00906DD7">
        <w:rPr>
          <w:lang w:val="fr-FR"/>
        </w:rPr>
        <w:t>’</w:t>
      </w:r>
      <w:r w:rsidRPr="00906DD7">
        <w:rPr>
          <w:lang w:val="fr-FR"/>
        </w:rPr>
        <w:t>il faudrait plus d</w:t>
      </w:r>
      <w:r w:rsidR="00906DD7" w:rsidRPr="00906DD7">
        <w:rPr>
          <w:lang w:val="fr-FR"/>
        </w:rPr>
        <w:t>’</w:t>
      </w:r>
      <w:r w:rsidRPr="00906DD7">
        <w:rPr>
          <w:lang w:val="fr-FR"/>
        </w:rPr>
        <w:t>un exercice biennal pour parvenir à un résultat final. Il fallait d</w:t>
      </w:r>
      <w:r w:rsidR="00906DD7" w:rsidRPr="00906DD7">
        <w:rPr>
          <w:lang w:val="fr-FR"/>
        </w:rPr>
        <w:t>’</w:t>
      </w:r>
      <w:r w:rsidRPr="00906DD7">
        <w:rPr>
          <w:lang w:val="fr-FR"/>
        </w:rPr>
        <w:t>abord recenser les dangers et définir les épreuves en vue de recueillir les données nécessaires. Mais il était également important de comprendre comment définir les échantillons représentatifs (taille, propriétés chimiques des batteries/des piles, conception).</w:t>
      </w:r>
    </w:p>
    <w:p w:rsidR="00A3624C" w:rsidRPr="00906DD7" w:rsidRDefault="00A3624C" w:rsidP="006F5C47">
      <w:pPr>
        <w:pStyle w:val="ParNoG"/>
        <w:rPr>
          <w:lang w:val="fr-FR"/>
        </w:rPr>
      </w:pPr>
      <w:r w:rsidRPr="00906DD7">
        <w:rPr>
          <w:lang w:val="fr-FR"/>
        </w:rPr>
        <w:t>Certains participants ont fait observer que l</w:t>
      </w:r>
      <w:r w:rsidR="00EA28D7">
        <w:rPr>
          <w:lang w:val="fr-FR"/>
        </w:rPr>
        <w:t xml:space="preserve">’efficacité </w:t>
      </w:r>
      <w:r w:rsidRPr="00906DD7">
        <w:rPr>
          <w:lang w:val="fr-FR"/>
        </w:rPr>
        <w:t>des batteries industrielles dépendait de l</w:t>
      </w:r>
      <w:r w:rsidR="00906DD7" w:rsidRPr="00906DD7">
        <w:rPr>
          <w:lang w:val="fr-FR"/>
        </w:rPr>
        <w:t>’</w:t>
      </w:r>
      <w:r w:rsidRPr="00906DD7">
        <w:rPr>
          <w:lang w:val="fr-FR"/>
        </w:rPr>
        <w:t xml:space="preserve">usage auquel la pile/la batterie était destinée et des réglementations en vigueur. La </w:t>
      </w:r>
      <w:r w:rsidR="00EA28D7">
        <w:rPr>
          <w:lang w:val="fr-FR"/>
        </w:rPr>
        <w:t>qualité marchande</w:t>
      </w:r>
      <w:r w:rsidRPr="00906DD7">
        <w:rPr>
          <w:lang w:val="fr-FR"/>
        </w:rPr>
        <w:t xml:space="preserve"> et la rentabilité étaient des facteurs clefs dans l</w:t>
      </w:r>
      <w:r w:rsidR="00906DD7" w:rsidRPr="00906DD7">
        <w:rPr>
          <w:lang w:val="fr-FR"/>
        </w:rPr>
        <w:t>’</w:t>
      </w:r>
      <w:r w:rsidR="006F5C47">
        <w:rPr>
          <w:lang w:val="fr-FR"/>
        </w:rPr>
        <w:t>industrie. Il</w:t>
      </w:r>
      <w:r w:rsidR="00EA28D7">
        <w:rPr>
          <w:lang w:val="fr-FR"/>
        </w:rPr>
        <w:t> </w:t>
      </w:r>
      <w:r w:rsidRPr="00906DD7">
        <w:rPr>
          <w:lang w:val="fr-FR"/>
        </w:rPr>
        <w:t>était important de veiller à ce que les nouvelles épreuves n</w:t>
      </w:r>
      <w:r w:rsidR="00906DD7" w:rsidRPr="00906DD7">
        <w:rPr>
          <w:lang w:val="fr-FR"/>
        </w:rPr>
        <w:t>’</w:t>
      </w:r>
      <w:r w:rsidRPr="00906DD7">
        <w:rPr>
          <w:lang w:val="fr-FR"/>
        </w:rPr>
        <w:t>aient pas de conséquences imprévues (par exemple, de nouveaux modèles auraient des résultats satisfaisants aux épreuves mais les dangers subsisteraient).</w:t>
      </w:r>
    </w:p>
    <w:p w:rsidR="00A3624C" w:rsidRPr="00906DD7" w:rsidRDefault="00A3624C" w:rsidP="006F5C47">
      <w:pPr>
        <w:pStyle w:val="H1G"/>
        <w:rPr>
          <w:lang w:val="fr-FR"/>
        </w:rPr>
      </w:pPr>
      <w:r w:rsidRPr="00906DD7">
        <w:rPr>
          <w:lang w:val="fr-FR"/>
        </w:rPr>
        <w:tab/>
      </w:r>
      <w:r w:rsidRPr="00906DD7">
        <w:rPr>
          <w:lang w:val="fr-FR"/>
        </w:rPr>
        <w:tab/>
        <w:t xml:space="preserve">Association RECHARGE </w:t>
      </w:r>
      <w:r w:rsidR="006F5C47">
        <w:rPr>
          <w:lang w:val="fr-FR"/>
        </w:rPr>
        <w:t>−</w:t>
      </w:r>
      <w:r w:rsidRPr="00906DD7">
        <w:rPr>
          <w:lang w:val="fr-FR"/>
        </w:rPr>
        <w:t xml:space="preserve"> Exposé </w:t>
      </w:r>
      <w:r w:rsidR="006F5C47">
        <w:rPr>
          <w:lang w:val="fr-FR"/>
        </w:rPr>
        <w:t>n</w:t>
      </w:r>
      <w:r w:rsidR="006F5C47" w:rsidRPr="006F5C47">
        <w:rPr>
          <w:vertAlign w:val="superscript"/>
          <w:lang w:val="fr-FR"/>
        </w:rPr>
        <w:t>o</w:t>
      </w:r>
      <w:r w:rsidR="006F5C47">
        <w:rPr>
          <w:lang w:val="fr-FR"/>
        </w:rPr>
        <w:t> </w:t>
      </w:r>
      <w:r w:rsidRPr="00906DD7">
        <w:rPr>
          <w:lang w:val="fr-FR"/>
        </w:rPr>
        <w:t>1</w:t>
      </w:r>
    </w:p>
    <w:p w:rsidR="00A3624C" w:rsidRPr="00906DD7" w:rsidRDefault="00A3624C" w:rsidP="006F5C47">
      <w:pPr>
        <w:pStyle w:val="ParNoG"/>
        <w:keepNext/>
        <w:rPr>
          <w:lang w:val="fr-FR"/>
        </w:rPr>
      </w:pPr>
      <w:r w:rsidRPr="00906DD7">
        <w:rPr>
          <w:lang w:val="fr-FR"/>
        </w:rPr>
        <w:t>L</w:t>
      </w:r>
      <w:r w:rsidR="00906DD7" w:rsidRPr="00906DD7">
        <w:rPr>
          <w:lang w:val="fr-FR"/>
        </w:rPr>
        <w:t>’</w:t>
      </w:r>
      <w:r w:rsidR="00E66EC3">
        <w:rPr>
          <w:lang w:val="fr-FR"/>
        </w:rPr>
        <w:t>a</w:t>
      </w:r>
      <w:r w:rsidRPr="00906DD7">
        <w:rPr>
          <w:lang w:val="fr-FR"/>
        </w:rPr>
        <w:t>ssociation Advanced Rechargeable and Lithium Batteries Association (RECHARGE) a examiné les dangers potentiels des batteries au lithium liés aux éléments suivants</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a)</w:t>
      </w:r>
      <w:r w:rsidRPr="00906DD7">
        <w:rPr>
          <w:lang w:val="fr-FR"/>
        </w:rPr>
        <w:tab/>
        <w:t>Les propriétés électriques</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b)</w:t>
      </w:r>
      <w:r w:rsidRPr="00906DD7">
        <w:rPr>
          <w:lang w:val="fr-FR"/>
        </w:rPr>
        <w:tab/>
        <w:t>L</w:t>
      </w:r>
      <w:r w:rsidR="00906DD7" w:rsidRPr="00906DD7">
        <w:rPr>
          <w:lang w:val="fr-FR"/>
        </w:rPr>
        <w:t>’</w:t>
      </w:r>
      <w:r w:rsidRPr="00906DD7">
        <w:rPr>
          <w:lang w:val="fr-FR"/>
        </w:rPr>
        <w:t>emballement thermique</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c)</w:t>
      </w:r>
      <w:r w:rsidRPr="00906DD7">
        <w:rPr>
          <w:lang w:val="fr-FR"/>
        </w:rPr>
        <w:tab/>
        <w:t>Les propriétés chimiques (fuite d</w:t>
      </w:r>
      <w:r w:rsidR="00906DD7" w:rsidRPr="00906DD7">
        <w:rPr>
          <w:lang w:val="fr-FR"/>
        </w:rPr>
        <w:t>’</w:t>
      </w:r>
      <w:r w:rsidRPr="00906DD7">
        <w:rPr>
          <w:lang w:val="fr-FR"/>
        </w:rPr>
        <w:t>électrolyte)</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d)</w:t>
      </w:r>
      <w:r w:rsidRPr="00906DD7">
        <w:rPr>
          <w:lang w:val="fr-FR"/>
        </w:rPr>
        <w:tab/>
        <w:t>Les propriétés mécaniques.</w:t>
      </w:r>
    </w:p>
    <w:p w:rsidR="00A3624C" w:rsidRPr="00906DD7" w:rsidRDefault="00A3624C" w:rsidP="006F5C47">
      <w:pPr>
        <w:pStyle w:val="ParNoG"/>
        <w:keepNext/>
        <w:rPr>
          <w:lang w:val="fr-FR"/>
        </w:rPr>
      </w:pPr>
      <w:r w:rsidRPr="00906DD7">
        <w:rPr>
          <w:lang w:val="fr-FR"/>
        </w:rPr>
        <w:t>En cas d</w:t>
      </w:r>
      <w:r w:rsidR="00906DD7" w:rsidRPr="00906DD7">
        <w:rPr>
          <w:lang w:val="fr-FR"/>
        </w:rPr>
        <w:t>’</w:t>
      </w:r>
      <w:r w:rsidRPr="00906DD7">
        <w:rPr>
          <w:lang w:val="fr-FR"/>
        </w:rPr>
        <w:t>emballement thermique</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a)</w:t>
      </w:r>
      <w:r w:rsidRPr="00906DD7">
        <w:rPr>
          <w:lang w:val="fr-FR"/>
        </w:rPr>
        <w:tab/>
        <w:t>La toxicité et le volume des émissions de gaz</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b)</w:t>
      </w:r>
      <w:r w:rsidRPr="00906DD7">
        <w:rPr>
          <w:lang w:val="fr-FR"/>
        </w:rPr>
        <w:tab/>
        <w:t>La production de flammes ou de chaleur</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c)</w:t>
      </w:r>
      <w:r w:rsidRPr="00906DD7">
        <w:rPr>
          <w:lang w:val="fr-FR"/>
        </w:rPr>
        <w:tab/>
        <w:t>L</w:t>
      </w:r>
      <w:r w:rsidR="00906DD7" w:rsidRPr="00906DD7">
        <w:rPr>
          <w:lang w:val="fr-FR"/>
        </w:rPr>
        <w:t>’</w:t>
      </w:r>
      <w:r w:rsidRPr="00906DD7">
        <w:rPr>
          <w:lang w:val="fr-FR"/>
        </w:rPr>
        <w:t>éclatement rapide</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d)</w:t>
      </w:r>
      <w:r w:rsidRPr="00906DD7">
        <w:rPr>
          <w:lang w:val="fr-FR"/>
        </w:rPr>
        <w:tab/>
        <w:t>La fuite d</w:t>
      </w:r>
      <w:r w:rsidR="00906DD7" w:rsidRPr="00906DD7">
        <w:rPr>
          <w:lang w:val="fr-FR"/>
        </w:rPr>
        <w:t>’</w:t>
      </w:r>
      <w:r w:rsidRPr="00906DD7">
        <w:rPr>
          <w:lang w:val="fr-FR"/>
        </w:rPr>
        <w:t>électrolyte.</w:t>
      </w:r>
    </w:p>
    <w:p w:rsidR="00A3624C" w:rsidRPr="00906DD7" w:rsidRDefault="00A3624C" w:rsidP="006F5C47">
      <w:pPr>
        <w:pStyle w:val="ParNoG"/>
        <w:rPr>
          <w:lang w:val="fr-FR"/>
        </w:rPr>
      </w:pPr>
      <w:r w:rsidRPr="00906DD7">
        <w:rPr>
          <w:lang w:val="fr-FR"/>
        </w:rPr>
        <w:t>RECHARGE a expliqué que l</w:t>
      </w:r>
      <w:r w:rsidR="00906DD7" w:rsidRPr="00906DD7">
        <w:rPr>
          <w:lang w:val="fr-FR"/>
        </w:rPr>
        <w:t>’</w:t>
      </w:r>
      <w:r w:rsidRPr="00906DD7">
        <w:rPr>
          <w:lang w:val="fr-FR"/>
        </w:rPr>
        <w:t>emballement thermique était en fait une série ou un enchaînement de réactions chimiques, plusieurs d</w:t>
      </w:r>
      <w:r w:rsidR="00906DD7" w:rsidRPr="00906DD7">
        <w:rPr>
          <w:lang w:val="fr-FR"/>
        </w:rPr>
        <w:t>’</w:t>
      </w:r>
      <w:r w:rsidRPr="00906DD7">
        <w:rPr>
          <w:lang w:val="fr-FR"/>
        </w:rPr>
        <w:t>entre elles produisant de la chaleur et du gaz. Ce processus n</w:t>
      </w:r>
      <w:r w:rsidR="00906DD7" w:rsidRPr="00906DD7">
        <w:rPr>
          <w:lang w:val="fr-FR"/>
        </w:rPr>
        <w:t>’</w:t>
      </w:r>
      <w:r w:rsidRPr="00906DD7">
        <w:rPr>
          <w:lang w:val="fr-FR"/>
        </w:rPr>
        <w:t xml:space="preserve">était pas une réaction unique mais plusieurs réactions </w:t>
      </w:r>
      <w:r w:rsidR="00D95F60">
        <w:rPr>
          <w:lang w:val="fr-FR"/>
        </w:rPr>
        <w:t>en retour.</w:t>
      </w:r>
      <w:r w:rsidRPr="00906DD7">
        <w:rPr>
          <w:lang w:val="fr-FR"/>
        </w:rPr>
        <w:t xml:space="preserve"> Ces</w:t>
      </w:r>
      <w:r w:rsidR="00D811DD">
        <w:rPr>
          <w:lang w:val="fr-FR"/>
        </w:rPr>
        <w:t> </w:t>
      </w:r>
      <w:r w:rsidRPr="00906DD7">
        <w:rPr>
          <w:lang w:val="fr-FR"/>
        </w:rPr>
        <w:t xml:space="preserve">réactions se propageaient en raison de la transmission </w:t>
      </w:r>
      <w:r w:rsidR="00D811DD">
        <w:rPr>
          <w:lang w:val="fr-FR"/>
        </w:rPr>
        <w:t>de chaleur, la présence de flammes et</w:t>
      </w:r>
      <w:r w:rsidRPr="00906DD7">
        <w:rPr>
          <w:lang w:val="fr-FR"/>
        </w:rPr>
        <w:t xml:space="preserve"> de la combustion de gaz inflammables dans la batterie, le boîtier, ou </w:t>
      </w:r>
      <w:r w:rsidR="00D811DD">
        <w:rPr>
          <w:lang w:val="fr-FR"/>
        </w:rPr>
        <w:t xml:space="preserve">l’unité </w:t>
      </w:r>
      <w:r w:rsidRPr="00906DD7">
        <w:rPr>
          <w:lang w:val="fr-FR"/>
        </w:rPr>
        <w:t>de haute densité dans l</w:t>
      </w:r>
      <w:r w:rsidR="00906DD7" w:rsidRPr="00906DD7">
        <w:rPr>
          <w:lang w:val="fr-FR"/>
        </w:rPr>
        <w:t>’</w:t>
      </w:r>
      <w:r w:rsidRPr="00906DD7">
        <w:rPr>
          <w:lang w:val="fr-FR"/>
        </w:rPr>
        <w:t>emballage. Les systèmes de refroidissement pouvaient évacuer la chaleur entre les piles ou vers l</w:t>
      </w:r>
      <w:r w:rsidR="00906DD7" w:rsidRPr="00906DD7">
        <w:rPr>
          <w:lang w:val="fr-FR"/>
        </w:rPr>
        <w:t>’</w:t>
      </w:r>
      <w:r w:rsidRPr="00906DD7">
        <w:rPr>
          <w:lang w:val="fr-FR"/>
        </w:rPr>
        <w:t>extérieur de la batterie. L</w:t>
      </w:r>
      <w:r w:rsidR="00906DD7" w:rsidRPr="00906DD7">
        <w:rPr>
          <w:lang w:val="fr-FR"/>
        </w:rPr>
        <w:t>’</w:t>
      </w:r>
      <w:r w:rsidRPr="00906DD7">
        <w:rPr>
          <w:lang w:val="fr-FR"/>
        </w:rPr>
        <w:t>isolation thermique pouvait aussi réduire la transmission de chaleur d</w:t>
      </w:r>
      <w:r w:rsidR="00906DD7" w:rsidRPr="00906DD7">
        <w:rPr>
          <w:lang w:val="fr-FR"/>
        </w:rPr>
        <w:t>’</w:t>
      </w:r>
      <w:r w:rsidRPr="00906DD7">
        <w:rPr>
          <w:lang w:val="fr-FR"/>
        </w:rPr>
        <w:t>une pile à l</w:t>
      </w:r>
      <w:r w:rsidR="00906DD7" w:rsidRPr="00906DD7">
        <w:rPr>
          <w:lang w:val="fr-FR"/>
        </w:rPr>
        <w:t>’</w:t>
      </w:r>
      <w:r w:rsidRPr="00906DD7">
        <w:rPr>
          <w:lang w:val="fr-FR"/>
        </w:rPr>
        <w:t>autre. RECHARGE avait étudié les propriétés isolantes de différents mat</w:t>
      </w:r>
      <w:r w:rsidR="00D811DD">
        <w:rPr>
          <w:lang w:val="fr-FR"/>
        </w:rPr>
        <w:t>ériaux (à savoir la vermiculite et</w:t>
      </w:r>
      <w:r w:rsidRPr="00906DD7">
        <w:rPr>
          <w:lang w:val="fr-FR"/>
        </w:rPr>
        <w:t xml:space="preserve"> le sable). Elle avait également examiné la probabilité de ces </w:t>
      </w:r>
      <w:r w:rsidR="00D811DD">
        <w:rPr>
          <w:lang w:val="fr-FR"/>
        </w:rPr>
        <w:t>incidents</w:t>
      </w:r>
      <w:r w:rsidRPr="00906DD7">
        <w:rPr>
          <w:lang w:val="fr-FR"/>
        </w:rPr>
        <w:t xml:space="preserve"> </w:t>
      </w:r>
      <w:r w:rsidR="006F5C47">
        <w:rPr>
          <w:lang w:val="fr-FR"/>
        </w:rPr>
        <w:t>−</w:t>
      </w:r>
      <w:r w:rsidRPr="00906DD7">
        <w:rPr>
          <w:lang w:val="fr-FR"/>
        </w:rPr>
        <w:t xml:space="preserve"> risque que la batterie produise un </w:t>
      </w:r>
      <w:r w:rsidR="00285DE1">
        <w:rPr>
          <w:lang w:val="fr-FR"/>
        </w:rPr>
        <w:t>échauffement e</w:t>
      </w:r>
      <w:r w:rsidRPr="00906DD7">
        <w:rPr>
          <w:lang w:val="fr-FR"/>
        </w:rPr>
        <w:t>n fonction de l</w:t>
      </w:r>
      <w:r w:rsidR="00906DD7" w:rsidRPr="00906DD7">
        <w:rPr>
          <w:lang w:val="fr-FR"/>
        </w:rPr>
        <w:t>’</w:t>
      </w:r>
      <w:r w:rsidRPr="00906DD7">
        <w:rPr>
          <w:lang w:val="fr-FR"/>
        </w:rPr>
        <w:t xml:space="preserve">état et de la conception de </w:t>
      </w:r>
      <w:r w:rsidR="00285DE1">
        <w:rPr>
          <w:lang w:val="fr-FR"/>
        </w:rPr>
        <w:t xml:space="preserve">la </w:t>
      </w:r>
      <w:r w:rsidRPr="00906DD7">
        <w:rPr>
          <w:lang w:val="fr-FR"/>
        </w:rPr>
        <w:t>batterie. Prenant en considération le fait qu</w:t>
      </w:r>
      <w:r w:rsidR="00906DD7" w:rsidRPr="00906DD7">
        <w:rPr>
          <w:lang w:val="fr-FR"/>
        </w:rPr>
        <w:t>’</w:t>
      </w:r>
      <w:r w:rsidRPr="00906DD7">
        <w:rPr>
          <w:lang w:val="fr-FR"/>
        </w:rPr>
        <w:t>en cas de danger important, le taux d</w:t>
      </w:r>
      <w:r w:rsidR="00906DD7" w:rsidRPr="00906DD7">
        <w:rPr>
          <w:lang w:val="fr-FR"/>
        </w:rPr>
        <w:t>’</w:t>
      </w:r>
      <w:r w:rsidRPr="00906DD7">
        <w:rPr>
          <w:lang w:val="fr-FR"/>
        </w:rPr>
        <w:t xml:space="preserve">acceptation </w:t>
      </w:r>
      <w:r w:rsidR="00285DE1">
        <w:rPr>
          <w:lang w:val="fr-FR"/>
        </w:rPr>
        <w:t>au</w:t>
      </w:r>
      <w:r w:rsidRPr="00906DD7">
        <w:rPr>
          <w:lang w:val="fr-FR"/>
        </w:rPr>
        <w:t xml:space="preserve"> transport serait faible, et</w:t>
      </w:r>
      <w:r w:rsidR="00285DE1">
        <w:rPr>
          <w:lang w:val="fr-FR"/>
        </w:rPr>
        <w:t xml:space="preserve"> inversement</w:t>
      </w:r>
      <w:r w:rsidRPr="00906DD7">
        <w:rPr>
          <w:lang w:val="fr-FR"/>
        </w:rPr>
        <w:t>, RECHARGE a conclu qu</w:t>
      </w:r>
      <w:r w:rsidR="00906DD7" w:rsidRPr="00906DD7">
        <w:rPr>
          <w:lang w:val="fr-FR"/>
        </w:rPr>
        <w:t>’</w:t>
      </w:r>
      <w:r w:rsidRPr="00906DD7">
        <w:rPr>
          <w:lang w:val="fr-FR"/>
        </w:rPr>
        <w:t>un système pourrait être mis en place en vue d</w:t>
      </w:r>
      <w:r w:rsidR="00906DD7" w:rsidRPr="00906DD7">
        <w:rPr>
          <w:lang w:val="fr-FR"/>
        </w:rPr>
        <w:t>’</w:t>
      </w:r>
      <w:r w:rsidRPr="00906DD7">
        <w:rPr>
          <w:lang w:val="fr-FR"/>
        </w:rPr>
        <w:t>atténuer ou d</w:t>
      </w:r>
      <w:r w:rsidR="00906DD7" w:rsidRPr="00906DD7">
        <w:rPr>
          <w:lang w:val="fr-FR"/>
        </w:rPr>
        <w:t>’</w:t>
      </w:r>
      <w:r w:rsidRPr="00906DD7">
        <w:rPr>
          <w:lang w:val="fr-FR"/>
        </w:rPr>
        <w:t>éliminer les dangers importants lors du transport tout en permettant l</w:t>
      </w:r>
      <w:r w:rsidR="00906DD7" w:rsidRPr="00906DD7">
        <w:rPr>
          <w:lang w:val="fr-FR"/>
        </w:rPr>
        <w:t>’</w:t>
      </w:r>
      <w:r w:rsidRPr="00906DD7">
        <w:rPr>
          <w:lang w:val="fr-FR"/>
        </w:rPr>
        <w:t>existence de dangers plus minimes</w:t>
      </w:r>
      <w:r w:rsidR="00285DE1">
        <w:rPr>
          <w:lang w:val="fr-FR"/>
        </w:rPr>
        <w:t xml:space="preserve"> à condition qu’ils soient limités</w:t>
      </w:r>
      <w:r w:rsidRPr="00906DD7">
        <w:rPr>
          <w:lang w:val="fr-FR"/>
        </w:rPr>
        <w:t>.</w:t>
      </w:r>
    </w:p>
    <w:p w:rsidR="00A3624C" w:rsidRPr="00906DD7" w:rsidRDefault="00A3624C" w:rsidP="006F5C47">
      <w:pPr>
        <w:pStyle w:val="ParNoG"/>
        <w:rPr>
          <w:lang w:val="fr-FR"/>
        </w:rPr>
      </w:pPr>
      <w:r w:rsidRPr="00906DD7">
        <w:rPr>
          <w:lang w:val="fr-FR"/>
        </w:rPr>
        <w:t>Le groupe de travail a débattu de la difficulté de déterminer la probabilité d</w:t>
      </w:r>
      <w:r w:rsidR="00906DD7" w:rsidRPr="00906DD7">
        <w:rPr>
          <w:lang w:val="fr-FR"/>
        </w:rPr>
        <w:t>’</w:t>
      </w:r>
      <w:r w:rsidRPr="00906DD7">
        <w:rPr>
          <w:lang w:val="fr-FR"/>
        </w:rPr>
        <w:t xml:space="preserve">un </w:t>
      </w:r>
      <w:r w:rsidR="00706890">
        <w:rPr>
          <w:lang w:val="fr-FR"/>
        </w:rPr>
        <w:t>incident</w:t>
      </w:r>
      <w:r w:rsidRPr="00906DD7">
        <w:rPr>
          <w:lang w:val="fr-FR"/>
        </w:rPr>
        <w:t>. Comment cette probabilité pouvait-elle être déterminée dans tous les cas</w:t>
      </w:r>
      <w:r w:rsidR="006F5C47">
        <w:rPr>
          <w:lang w:val="fr-FR"/>
        </w:rPr>
        <w:t> </w:t>
      </w:r>
      <w:r w:rsidRPr="00906DD7">
        <w:rPr>
          <w:lang w:val="fr-FR"/>
        </w:rPr>
        <w:t>? Le</w:t>
      </w:r>
      <w:r w:rsidR="00706890">
        <w:rPr>
          <w:lang w:val="fr-FR"/>
        </w:rPr>
        <w:t> </w:t>
      </w:r>
      <w:r w:rsidRPr="00906DD7">
        <w:rPr>
          <w:lang w:val="fr-FR"/>
        </w:rPr>
        <w:t xml:space="preserve">groupe </w:t>
      </w:r>
      <w:r w:rsidR="00706890">
        <w:rPr>
          <w:lang w:val="fr-FR"/>
        </w:rPr>
        <w:t xml:space="preserve">de travail </w:t>
      </w:r>
      <w:r w:rsidRPr="00906DD7">
        <w:rPr>
          <w:lang w:val="fr-FR"/>
        </w:rPr>
        <w:t>a aussi examiné le fait que différents aspects du danger pouvaient être atténués de manières diverses. Les participants se sont généralement déclarés favorables à l</w:t>
      </w:r>
      <w:r w:rsidR="00906DD7" w:rsidRPr="00906DD7">
        <w:rPr>
          <w:lang w:val="fr-FR"/>
        </w:rPr>
        <w:t>’</w:t>
      </w:r>
      <w:r w:rsidRPr="00906DD7">
        <w:rPr>
          <w:lang w:val="fr-FR"/>
        </w:rPr>
        <w:t>élaboration de nouveaux critères de classification mais ils ont exprimé des opinions divergentes sur la question de savoir si l</w:t>
      </w:r>
      <w:r w:rsidR="00906DD7" w:rsidRPr="00906DD7">
        <w:rPr>
          <w:lang w:val="fr-FR"/>
        </w:rPr>
        <w:t>’</w:t>
      </w:r>
      <w:r w:rsidRPr="00906DD7">
        <w:rPr>
          <w:lang w:val="fr-FR"/>
        </w:rPr>
        <w:t>emballage ou la conception de la batterie devaient être considérés comme des facteurs d</w:t>
      </w:r>
      <w:r w:rsidR="00906DD7" w:rsidRPr="00906DD7">
        <w:rPr>
          <w:lang w:val="fr-FR"/>
        </w:rPr>
        <w:t>’</w:t>
      </w:r>
      <w:r w:rsidRPr="00906DD7">
        <w:rPr>
          <w:lang w:val="fr-FR"/>
        </w:rPr>
        <w:t>atténuation aux fins de classification. Le Président et d</w:t>
      </w:r>
      <w:r w:rsidR="00906DD7" w:rsidRPr="00906DD7">
        <w:rPr>
          <w:lang w:val="fr-FR"/>
        </w:rPr>
        <w:t>’</w:t>
      </w:r>
      <w:r w:rsidRPr="00906DD7">
        <w:rPr>
          <w:lang w:val="fr-FR"/>
        </w:rPr>
        <w:t xml:space="preserve">autres participants se sont </w:t>
      </w:r>
      <w:proofErr w:type="gramStart"/>
      <w:r w:rsidRPr="00906DD7">
        <w:rPr>
          <w:lang w:val="fr-FR"/>
        </w:rPr>
        <w:t>dits</w:t>
      </w:r>
      <w:proofErr w:type="gramEnd"/>
      <w:r w:rsidRPr="00906DD7">
        <w:rPr>
          <w:lang w:val="fr-FR"/>
        </w:rPr>
        <w:t xml:space="preserve"> convaincus que les facteurs d</w:t>
      </w:r>
      <w:r w:rsidR="00906DD7" w:rsidRPr="00906DD7">
        <w:rPr>
          <w:lang w:val="fr-FR"/>
        </w:rPr>
        <w:t>’</w:t>
      </w:r>
      <w:r w:rsidRPr="00906DD7">
        <w:rPr>
          <w:lang w:val="fr-FR"/>
        </w:rPr>
        <w:t>atténuation devaient être laissés de côté dans un premier temps et que le groupe de travail devait déterminer les dangers intrinsèques, élaborer des épreuves visant à déterminer les dangers relatifs, et s</w:t>
      </w:r>
      <w:r w:rsidR="00906DD7" w:rsidRPr="00906DD7">
        <w:rPr>
          <w:lang w:val="fr-FR"/>
        </w:rPr>
        <w:t>’</w:t>
      </w:r>
      <w:r w:rsidRPr="00906DD7">
        <w:rPr>
          <w:lang w:val="fr-FR"/>
        </w:rPr>
        <w:t>intéresser aux facteurs d</w:t>
      </w:r>
      <w:r w:rsidR="00906DD7" w:rsidRPr="00906DD7">
        <w:rPr>
          <w:lang w:val="fr-FR"/>
        </w:rPr>
        <w:t>’</w:t>
      </w:r>
      <w:r w:rsidRPr="00906DD7">
        <w:rPr>
          <w:lang w:val="fr-FR"/>
        </w:rPr>
        <w:t>atténuation lors d</w:t>
      </w:r>
      <w:r w:rsidR="00906DD7" w:rsidRPr="00906DD7">
        <w:rPr>
          <w:lang w:val="fr-FR"/>
        </w:rPr>
        <w:t>’</w:t>
      </w:r>
      <w:r w:rsidRPr="00906DD7">
        <w:rPr>
          <w:lang w:val="fr-FR"/>
        </w:rPr>
        <w:t>une session ultérieure.</w:t>
      </w:r>
    </w:p>
    <w:p w:rsidR="00A3624C" w:rsidRPr="00906DD7" w:rsidRDefault="006F5C47" w:rsidP="00A5197D">
      <w:pPr>
        <w:pStyle w:val="H1G"/>
        <w:spacing w:before="340" w:after="220" w:line="250" w:lineRule="exact"/>
        <w:rPr>
          <w:lang w:val="fr-FR"/>
        </w:rPr>
      </w:pPr>
      <w:r>
        <w:rPr>
          <w:lang w:val="fr-FR"/>
        </w:rPr>
        <w:tab/>
      </w:r>
      <w:r>
        <w:rPr>
          <w:lang w:val="fr-FR"/>
        </w:rPr>
        <w:tab/>
        <w:t>RECHARGE −</w:t>
      </w:r>
      <w:r w:rsidR="00A3624C" w:rsidRPr="00906DD7">
        <w:rPr>
          <w:lang w:val="fr-FR"/>
        </w:rPr>
        <w:t xml:space="preserve"> Exposé n</w:t>
      </w:r>
      <w:r w:rsidRPr="006F5C47">
        <w:rPr>
          <w:vertAlign w:val="superscript"/>
          <w:lang w:val="fr-FR"/>
        </w:rPr>
        <w:t>o</w:t>
      </w:r>
      <w:r>
        <w:rPr>
          <w:lang w:val="fr-FR"/>
        </w:rPr>
        <w:t> </w:t>
      </w:r>
      <w:r w:rsidR="00A3624C" w:rsidRPr="00906DD7">
        <w:rPr>
          <w:lang w:val="fr-FR"/>
        </w:rPr>
        <w:t>2</w:t>
      </w:r>
    </w:p>
    <w:p w:rsidR="00A3624C" w:rsidRPr="00A5197D" w:rsidRDefault="00A3624C" w:rsidP="006F5C47">
      <w:pPr>
        <w:pStyle w:val="ParNoG"/>
        <w:keepNext/>
        <w:rPr>
          <w:lang w:val="fr-FR"/>
        </w:rPr>
      </w:pPr>
      <w:r w:rsidRPr="00A5197D">
        <w:rPr>
          <w:lang w:val="fr-FR"/>
        </w:rPr>
        <w:t>RECHARGE a fait un deuxième exposé sur les facteurs pouvant être utilisés pour la classification des dangers. L</w:t>
      </w:r>
      <w:r w:rsidR="00906DD7" w:rsidRPr="00A5197D">
        <w:rPr>
          <w:lang w:val="fr-FR"/>
        </w:rPr>
        <w:t>’</w:t>
      </w:r>
      <w:r w:rsidRPr="00A5197D">
        <w:rPr>
          <w:lang w:val="fr-FR"/>
        </w:rPr>
        <w:t>approche présentée prévoyait d</w:t>
      </w:r>
      <w:r w:rsidR="00906DD7" w:rsidRPr="00A5197D">
        <w:rPr>
          <w:lang w:val="fr-FR"/>
        </w:rPr>
        <w:t>’</w:t>
      </w:r>
      <w:r w:rsidRPr="00A5197D">
        <w:rPr>
          <w:lang w:val="fr-FR"/>
        </w:rPr>
        <w:t>examiner le danger maximal (effet) pouvant être causé par une batterie et le risque qu</w:t>
      </w:r>
      <w:r w:rsidR="00906DD7" w:rsidRPr="00A5197D">
        <w:rPr>
          <w:lang w:val="fr-FR"/>
        </w:rPr>
        <w:t>’</w:t>
      </w:r>
      <w:r w:rsidRPr="00A5197D">
        <w:rPr>
          <w:lang w:val="fr-FR"/>
        </w:rPr>
        <w:t>une batterie puisse présenter un danger maximal. La propension à la propagation pouvait être considérée comme l</w:t>
      </w:r>
      <w:r w:rsidR="00906DD7" w:rsidRPr="00A5197D">
        <w:rPr>
          <w:lang w:val="fr-FR"/>
        </w:rPr>
        <w:t>’</w:t>
      </w:r>
      <w:r w:rsidRPr="00A5197D">
        <w:rPr>
          <w:lang w:val="fr-FR"/>
        </w:rPr>
        <w:t>un des facteurs de probabilité. RECHARGE a proposé une app</w:t>
      </w:r>
      <w:r w:rsidR="006F5C47" w:rsidRPr="00A5197D">
        <w:rPr>
          <w:lang w:val="fr-FR"/>
        </w:rPr>
        <w:t xml:space="preserve">roche de la classification en trois </w:t>
      </w:r>
      <w:r w:rsidRPr="00A5197D">
        <w:rPr>
          <w:lang w:val="fr-FR"/>
        </w:rPr>
        <w:t>étapes</w:t>
      </w:r>
      <w:r w:rsidR="006F5C47" w:rsidRPr="00A5197D">
        <w:rPr>
          <w:lang w:val="fr-FR"/>
        </w:rPr>
        <w:t> </w:t>
      </w:r>
      <w:r w:rsidRPr="00A5197D">
        <w:rPr>
          <w:lang w:val="fr-FR"/>
        </w:rPr>
        <w:t>:</w:t>
      </w:r>
    </w:p>
    <w:p w:rsidR="00A3624C" w:rsidRPr="00906DD7" w:rsidRDefault="00A3624C" w:rsidP="004704E9">
      <w:pPr>
        <w:pStyle w:val="SingleTxtG"/>
        <w:ind w:firstLine="567"/>
        <w:rPr>
          <w:lang w:val="fr-FR"/>
        </w:rPr>
      </w:pPr>
      <w:r w:rsidRPr="00906DD7">
        <w:rPr>
          <w:lang w:val="fr-FR"/>
        </w:rPr>
        <w:t>a)</w:t>
      </w:r>
      <w:r w:rsidRPr="00906DD7">
        <w:rPr>
          <w:lang w:val="fr-FR"/>
        </w:rPr>
        <w:tab/>
        <w:t>La détermination de l</w:t>
      </w:r>
      <w:r w:rsidR="00906DD7" w:rsidRPr="00906DD7">
        <w:rPr>
          <w:lang w:val="fr-FR"/>
        </w:rPr>
        <w:t>’</w:t>
      </w:r>
      <w:r w:rsidRPr="00906DD7">
        <w:rPr>
          <w:lang w:val="fr-FR"/>
        </w:rPr>
        <w:t>effet potentiel du danger maximal</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b)</w:t>
      </w:r>
      <w:r w:rsidRPr="00906DD7">
        <w:rPr>
          <w:lang w:val="fr-FR"/>
        </w:rPr>
        <w:tab/>
        <w:t>Les caractéristiques de la probabilité du danger</w:t>
      </w:r>
      <w:r w:rsidR="006F5C47">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c)</w:t>
      </w:r>
      <w:r w:rsidRPr="00906DD7">
        <w:rPr>
          <w:lang w:val="fr-FR"/>
        </w:rPr>
        <w:tab/>
        <w:t>L</w:t>
      </w:r>
      <w:r w:rsidR="00906DD7" w:rsidRPr="00906DD7">
        <w:rPr>
          <w:lang w:val="fr-FR"/>
        </w:rPr>
        <w:t>’</w:t>
      </w:r>
      <w:r w:rsidRPr="00906DD7">
        <w:rPr>
          <w:lang w:val="fr-FR"/>
        </w:rPr>
        <w:t>examen des facteurs d</w:t>
      </w:r>
      <w:r w:rsidR="00906DD7" w:rsidRPr="00906DD7">
        <w:rPr>
          <w:lang w:val="fr-FR"/>
        </w:rPr>
        <w:t>’</w:t>
      </w:r>
      <w:r w:rsidR="006F5C47">
        <w:rPr>
          <w:lang w:val="fr-FR"/>
        </w:rPr>
        <w:t>atténuation.</w:t>
      </w:r>
    </w:p>
    <w:p w:rsidR="00A3624C" w:rsidRPr="00A5197D" w:rsidRDefault="00A3624C" w:rsidP="006F5C47">
      <w:pPr>
        <w:pStyle w:val="ParNoG"/>
        <w:rPr>
          <w:lang w:val="fr-FR"/>
        </w:rPr>
      </w:pPr>
      <w:r w:rsidRPr="00A5197D">
        <w:rPr>
          <w:spacing w:val="-1"/>
          <w:lang w:val="fr-FR"/>
        </w:rPr>
        <w:t>Cette proposition portait notamment sur les concepts d</w:t>
      </w:r>
      <w:r w:rsidR="00906DD7" w:rsidRPr="00A5197D">
        <w:rPr>
          <w:spacing w:val="-1"/>
          <w:lang w:val="fr-FR"/>
        </w:rPr>
        <w:t>’</w:t>
      </w:r>
      <w:r w:rsidRPr="00A5197D">
        <w:rPr>
          <w:spacing w:val="-1"/>
          <w:lang w:val="fr-FR"/>
        </w:rPr>
        <w:t>épreuve concernant le danger potentiel maximal et la probabilité, et sur la détermination des niveaux de danger relatif en fonction des données concernant les dangers et la probabilité. Une fois que les données d</w:t>
      </w:r>
      <w:r w:rsidR="00906DD7" w:rsidRPr="00A5197D">
        <w:rPr>
          <w:spacing w:val="-1"/>
          <w:lang w:val="fr-FR"/>
        </w:rPr>
        <w:t>’</w:t>
      </w:r>
      <w:r w:rsidRPr="00A5197D">
        <w:rPr>
          <w:spacing w:val="-1"/>
          <w:lang w:val="fr-FR"/>
        </w:rPr>
        <w:t>épreuve avaient permis de déterminer le danger relatif, les facteurs d</w:t>
      </w:r>
      <w:r w:rsidR="00906DD7" w:rsidRPr="00A5197D">
        <w:rPr>
          <w:spacing w:val="-1"/>
          <w:lang w:val="fr-FR"/>
        </w:rPr>
        <w:t>’</w:t>
      </w:r>
      <w:r w:rsidRPr="00A5197D">
        <w:rPr>
          <w:spacing w:val="-1"/>
          <w:lang w:val="fr-FR"/>
        </w:rPr>
        <w:t>atténuation pouvaient être utilisés pour réduire le danger ou la probabilité. Cet exposé a donné un aperçu des fondements d</w:t>
      </w:r>
      <w:r w:rsidR="00906DD7" w:rsidRPr="00A5197D">
        <w:rPr>
          <w:spacing w:val="-1"/>
          <w:lang w:val="fr-FR"/>
        </w:rPr>
        <w:t>’</w:t>
      </w:r>
      <w:r w:rsidRPr="00A5197D">
        <w:rPr>
          <w:spacing w:val="-1"/>
          <w:lang w:val="fr-FR"/>
        </w:rPr>
        <w:t>un nouveau système de classification des batteries au lithium mais n</w:t>
      </w:r>
      <w:r w:rsidR="00906DD7" w:rsidRPr="00A5197D">
        <w:rPr>
          <w:spacing w:val="-1"/>
          <w:lang w:val="fr-FR"/>
        </w:rPr>
        <w:t>’</w:t>
      </w:r>
      <w:r w:rsidRPr="00A5197D">
        <w:rPr>
          <w:spacing w:val="-1"/>
          <w:lang w:val="fr-FR"/>
        </w:rPr>
        <w:t>a pas examiné en détail les dangers spécifiques qui devaient être examinés lors de l</w:t>
      </w:r>
      <w:r w:rsidR="00906DD7" w:rsidRPr="00A5197D">
        <w:rPr>
          <w:spacing w:val="-1"/>
          <w:lang w:val="fr-FR"/>
        </w:rPr>
        <w:t>’</w:t>
      </w:r>
      <w:r w:rsidRPr="00A5197D">
        <w:rPr>
          <w:spacing w:val="-1"/>
          <w:lang w:val="fr-FR"/>
        </w:rPr>
        <w:t xml:space="preserve">épreuve. </w:t>
      </w:r>
      <w:r w:rsidRPr="00A5197D">
        <w:rPr>
          <w:lang w:val="fr-FR"/>
        </w:rPr>
        <w:t xml:space="preserve">RECHARGE a conclu son exposé en proposant </w:t>
      </w:r>
      <w:r w:rsidR="001548AF" w:rsidRPr="00A5197D">
        <w:rPr>
          <w:lang w:val="fr-FR"/>
        </w:rPr>
        <w:t>des travaux à entreprendre à l’avenir</w:t>
      </w:r>
      <w:r w:rsidRPr="00A5197D">
        <w:rPr>
          <w:lang w:val="fr-FR"/>
        </w:rPr>
        <w:t>.</w:t>
      </w:r>
    </w:p>
    <w:p w:rsidR="00A3624C" w:rsidRPr="00906DD7" w:rsidRDefault="00A3624C" w:rsidP="006F5C47">
      <w:pPr>
        <w:pStyle w:val="ParNoG"/>
        <w:rPr>
          <w:lang w:val="fr-FR"/>
        </w:rPr>
      </w:pPr>
      <w:r w:rsidRPr="00906DD7">
        <w:rPr>
          <w:lang w:val="fr-FR"/>
        </w:rPr>
        <w:t>Le groupe de travail a demandé des renseignements complémentaires sur les moyens de tester la probabilité. Les exemples cités étaient notamment de déterminer à quelle température une batterie était susceptible de produire un emballement thermique, ou de savoir si les réactions des piles pouvaient se propager dans une batterie. Le Président a proposé que les activités examinées dans le cadre du groupe de travail soient dans un premier temps envisagées parallèlement et en complément aux tra</w:t>
      </w:r>
      <w:r w:rsidR="006F5C47">
        <w:rPr>
          <w:lang w:val="fr-FR"/>
        </w:rPr>
        <w:t>vaux relatifs à la sous-section </w:t>
      </w:r>
      <w:r w:rsidRPr="00906DD7">
        <w:rPr>
          <w:lang w:val="fr-FR"/>
        </w:rPr>
        <w:t>38.3 du Manuel d</w:t>
      </w:r>
      <w:r w:rsidR="00906DD7" w:rsidRPr="00906DD7">
        <w:rPr>
          <w:lang w:val="fr-FR"/>
        </w:rPr>
        <w:t>’</w:t>
      </w:r>
      <w:r w:rsidRPr="00906DD7">
        <w:rPr>
          <w:lang w:val="fr-FR"/>
        </w:rPr>
        <w:t>épreuves et de critères</w:t>
      </w:r>
      <w:r w:rsidR="00F467BD">
        <w:rPr>
          <w:lang w:val="fr-FR"/>
        </w:rPr>
        <w:t xml:space="preserve">, </w:t>
      </w:r>
      <w:r w:rsidRPr="00906DD7">
        <w:rPr>
          <w:lang w:val="fr-FR"/>
        </w:rPr>
        <w:t>mais que des modifications à la sous-section 38.3 puissent être examinée</w:t>
      </w:r>
      <w:r w:rsidR="006F5C47">
        <w:rPr>
          <w:lang w:val="fr-FR"/>
        </w:rPr>
        <w:t>s à une session ultérieure. L</w:t>
      </w:r>
      <w:r w:rsidR="00F467BD">
        <w:rPr>
          <w:lang w:val="fr-FR"/>
        </w:rPr>
        <w:t xml:space="preserve">es travaux proposés ont </w:t>
      </w:r>
      <w:r w:rsidRPr="00906DD7">
        <w:rPr>
          <w:lang w:val="fr-FR"/>
        </w:rPr>
        <w:t xml:space="preserve">été globalement </w:t>
      </w:r>
      <w:r w:rsidR="00F467BD">
        <w:rPr>
          <w:lang w:val="fr-FR"/>
        </w:rPr>
        <w:t xml:space="preserve">acceptés parce qu’ils devraient permettre d’aller </w:t>
      </w:r>
      <w:r w:rsidRPr="00906DD7">
        <w:rPr>
          <w:lang w:val="fr-FR"/>
        </w:rPr>
        <w:t>de l</w:t>
      </w:r>
      <w:r w:rsidR="00906DD7" w:rsidRPr="00906DD7">
        <w:rPr>
          <w:lang w:val="fr-FR"/>
        </w:rPr>
        <w:t>’</w:t>
      </w:r>
      <w:r w:rsidRPr="00906DD7">
        <w:rPr>
          <w:lang w:val="fr-FR"/>
        </w:rPr>
        <w:t>avant.</w:t>
      </w:r>
    </w:p>
    <w:p w:rsidR="00A3624C" w:rsidRPr="00906DD7" w:rsidRDefault="00A3624C" w:rsidP="006F5C47">
      <w:pPr>
        <w:pStyle w:val="ParNoG"/>
        <w:rPr>
          <w:lang w:val="fr-FR"/>
        </w:rPr>
      </w:pPr>
      <w:r w:rsidRPr="00906DD7">
        <w:rPr>
          <w:lang w:val="fr-FR"/>
        </w:rPr>
        <w:t>Un participant a demandé si le groupe de travail pourrait aussi examiner des modifications aux prescriptions relatives aux épreuve</w:t>
      </w:r>
      <w:r w:rsidR="00C855F9">
        <w:rPr>
          <w:lang w:val="fr-FR"/>
        </w:rPr>
        <w:t>s énoncées dans la sous-section </w:t>
      </w:r>
      <w:r w:rsidRPr="00906DD7">
        <w:rPr>
          <w:lang w:val="fr-FR"/>
        </w:rPr>
        <w:t>38.3. Le Président a expliqué que le mandat actuel du groupe de travail ne prévoyait pas l</w:t>
      </w:r>
      <w:r w:rsidR="00906DD7" w:rsidRPr="00906DD7">
        <w:rPr>
          <w:lang w:val="fr-FR"/>
        </w:rPr>
        <w:t>’</w:t>
      </w:r>
      <w:r w:rsidRPr="00906DD7">
        <w:rPr>
          <w:lang w:val="fr-FR"/>
        </w:rPr>
        <w:t>examen des prescriptions figurant dans la sous-section 38.3. Les préoccupations relatives à la sous-section</w:t>
      </w:r>
      <w:r w:rsidR="00C855F9">
        <w:rPr>
          <w:lang w:val="fr-FR"/>
        </w:rPr>
        <w:t> </w:t>
      </w:r>
      <w:r w:rsidRPr="00906DD7">
        <w:rPr>
          <w:lang w:val="fr-FR"/>
        </w:rPr>
        <w:t>38.3 pourraient être examinées dans le cadre d</w:t>
      </w:r>
      <w:r w:rsidR="00906DD7" w:rsidRPr="00906DD7">
        <w:rPr>
          <w:lang w:val="fr-FR"/>
        </w:rPr>
        <w:t>’</w:t>
      </w:r>
      <w:r w:rsidRPr="00906DD7">
        <w:rPr>
          <w:lang w:val="fr-FR"/>
        </w:rPr>
        <w:t>un autre domaine de travail. Même si les activités du groupe de travail n</w:t>
      </w:r>
      <w:r w:rsidR="00906DD7" w:rsidRPr="00906DD7">
        <w:rPr>
          <w:lang w:val="fr-FR"/>
        </w:rPr>
        <w:t>’</w:t>
      </w:r>
      <w:r w:rsidRPr="00906DD7">
        <w:rPr>
          <w:lang w:val="fr-FR"/>
        </w:rPr>
        <w:t>étaient pas dire</w:t>
      </w:r>
      <w:r w:rsidR="00C855F9">
        <w:rPr>
          <w:lang w:val="fr-FR"/>
        </w:rPr>
        <w:t>ctement liées à la sous-section </w:t>
      </w:r>
      <w:r w:rsidRPr="00906DD7">
        <w:rPr>
          <w:lang w:val="fr-FR"/>
        </w:rPr>
        <w:t>38.3, les résultats des débats pourraient avoir des conséquences sur ces dispositions et pourraient être examinés ultérieurement. Le respect des p</w:t>
      </w:r>
      <w:r w:rsidR="00C855F9">
        <w:rPr>
          <w:lang w:val="fr-FR"/>
        </w:rPr>
        <w:t>rescriptions de la sous-section </w:t>
      </w:r>
      <w:r w:rsidRPr="00906DD7">
        <w:rPr>
          <w:lang w:val="fr-FR"/>
        </w:rPr>
        <w:t>38.3 était une condition d</w:t>
      </w:r>
      <w:r w:rsidR="00906DD7" w:rsidRPr="00906DD7">
        <w:rPr>
          <w:lang w:val="fr-FR"/>
        </w:rPr>
        <w:t>’</w:t>
      </w:r>
      <w:r w:rsidRPr="00906DD7">
        <w:rPr>
          <w:lang w:val="fr-FR"/>
        </w:rPr>
        <w:t xml:space="preserve">acceptation. Si un modèle était accepté, il était acceptable </w:t>
      </w:r>
      <w:r w:rsidR="00BE159B">
        <w:rPr>
          <w:lang w:val="fr-FR"/>
        </w:rPr>
        <w:t xml:space="preserve">au </w:t>
      </w:r>
      <w:r w:rsidRPr="00906DD7">
        <w:rPr>
          <w:lang w:val="fr-FR"/>
        </w:rPr>
        <w:t xml:space="preserve">transport </w:t>
      </w:r>
      <w:r w:rsidR="00BE159B">
        <w:rPr>
          <w:lang w:val="fr-FR"/>
        </w:rPr>
        <w:t xml:space="preserve">au titre </w:t>
      </w:r>
      <w:r w:rsidRPr="00906DD7">
        <w:rPr>
          <w:lang w:val="fr-FR"/>
        </w:rPr>
        <w:t>de la classe</w:t>
      </w:r>
      <w:r w:rsidR="00C855F9">
        <w:rPr>
          <w:lang w:val="fr-FR"/>
        </w:rPr>
        <w:t> </w:t>
      </w:r>
      <w:r w:rsidRPr="00906DD7">
        <w:rPr>
          <w:lang w:val="fr-FR"/>
        </w:rPr>
        <w:t>9. S</w:t>
      </w:r>
      <w:r w:rsidR="00906DD7" w:rsidRPr="00906DD7">
        <w:rPr>
          <w:lang w:val="fr-FR"/>
        </w:rPr>
        <w:t>’</w:t>
      </w:r>
      <w:r w:rsidRPr="00906DD7">
        <w:rPr>
          <w:lang w:val="fr-FR"/>
        </w:rPr>
        <w:t>il ne satisfaisait pas aux prescriptions, il n</w:t>
      </w:r>
      <w:r w:rsidR="00906DD7" w:rsidRPr="00906DD7">
        <w:rPr>
          <w:lang w:val="fr-FR"/>
        </w:rPr>
        <w:t>’</w:t>
      </w:r>
      <w:r w:rsidRPr="00906DD7">
        <w:rPr>
          <w:lang w:val="fr-FR"/>
        </w:rPr>
        <w:t xml:space="preserve">était pas acceptable </w:t>
      </w:r>
      <w:r w:rsidR="00BE159B">
        <w:rPr>
          <w:lang w:val="fr-FR"/>
        </w:rPr>
        <w:t xml:space="preserve">au </w:t>
      </w:r>
      <w:r w:rsidRPr="00906DD7">
        <w:rPr>
          <w:lang w:val="fr-FR"/>
        </w:rPr>
        <w:t xml:space="preserve">transport général </w:t>
      </w:r>
      <w:r w:rsidR="00BE159B">
        <w:rPr>
          <w:lang w:val="fr-FR"/>
        </w:rPr>
        <w:t>au titre</w:t>
      </w:r>
      <w:r w:rsidRPr="00906DD7">
        <w:rPr>
          <w:lang w:val="fr-FR"/>
        </w:rPr>
        <w:t xml:space="preserve"> de la classe</w:t>
      </w:r>
      <w:r w:rsidR="00C855F9">
        <w:rPr>
          <w:lang w:val="fr-FR"/>
        </w:rPr>
        <w:t> </w:t>
      </w:r>
      <w:r w:rsidRPr="00906DD7">
        <w:rPr>
          <w:lang w:val="fr-FR"/>
        </w:rPr>
        <w:t>9. Dans le cadre de la nouvelle méthode, il était prévu d</w:t>
      </w:r>
      <w:r w:rsidR="00906DD7" w:rsidRPr="00906DD7">
        <w:rPr>
          <w:lang w:val="fr-FR"/>
        </w:rPr>
        <w:t>’</w:t>
      </w:r>
      <w:r w:rsidRPr="00906DD7">
        <w:rPr>
          <w:lang w:val="fr-FR"/>
        </w:rPr>
        <w:t>envisager la situation la plus défavorable et, en conséquence, toutes les piles et les batteries échoueraient probablement à l</w:t>
      </w:r>
      <w:r w:rsidR="00906DD7" w:rsidRPr="00906DD7">
        <w:rPr>
          <w:lang w:val="fr-FR"/>
        </w:rPr>
        <w:t>’</w:t>
      </w:r>
      <w:r w:rsidR="00C855F9">
        <w:rPr>
          <w:lang w:val="fr-FR"/>
        </w:rPr>
        <w:t>épreuve. La</w:t>
      </w:r>
      <w:r w:rsidR="00BE159B">
        <w:rPr>
          <w:lang w:val="fr-FR"/>
        </w:rPr>
        <w:t xml:space="preserve"> </w:t>
      </w:r>
      <w:r w:rsidRPr="00906DD7">
        <w:rPr>
          <w:lang w:val="fr-FR"/>
        </w:rPr>
        <w:t>définition des facteurs clefs à contrôler était donc plus pertinente dans le nouveau processus que l</w:t>
      </w:r>
      <w:r w:rsidR="00906DD7" w:rsidRPr="00906DD7">
        <w:rPr>
          <w:lang w:val="fr-FR"/>
        </w:rPr>
        <w:t>’</w:t>
      </w:r>
      <w:r w:rsidRPr="00906DD7">
        <w:rPr>
          <w:lang w:val="fr-FR"/>
        </w:rPr>
        <w:t>acceptation en vertu des c</w:t>
      </w:r>
      <w:r w:rsidR="00C855F9">
        <w:rPr>
          <w:lang w:val="fr-FR"/>
        </w:rPr>
        <w:t>ritères de la sous-section 38.3</w:t>
      </w:r>
      <w:r w:rsidRPr="00906DD7">
        <w:rPr>
          <w:lang w:val="fr-FR"/>
        </w:rPr>
        <w:t>.</w:t>
      </w:r>
    </w:p>
    <w:p w:rsidR="00A3624C" w:rsidRPr="00906DD7" w:rsidRDefault="00A3624C" w:rsidP="00C855F9">
      <w:pPr>
        <w:pStyle w:val="ParNoG"/>
        <w:rPr>
          <w:lang w:val="fr-FR"/>
        </w:rPr>
      </w:pPr>
      <w:r w:rsidRPr="00906DD7">
        <w:rPr>
          <w:lang w:val="fr-FR"/>
        </w:rPr>
        <w:t>Le Président a proposé que le groupe de travail examine la situation la plus défavorable, passe en revue les dangers à mesurer, et envisage les méthodes d</w:t>
      </w:r>
      <w:r w:rsidR="00906DD7" w:rsidRPr="00906DD7">
        <w:rPr>
          <w:lang w:val="fr-FR"/>
        </w:rPr>
        <w:t>’</w:t>
      </w:r>
      <w:r w:rsidRPr="00906DD7">
        <w:rPr>
          <w:lang w:val="fr-FR"/>
        </w:rPr>
        <w:t>épreuve qui pourraient être utilisées pour évaluer le danger. Il a rappelé que toutes les recommandations émanant du groupe de travail devraient être examinées ultérieurement par le Sous-Comité. Par conséquent, il faudrait justifier la conduite des travaux par des données dans le cadre du groupe de travail.</w:t>
      </w:r>
    </w:p>
    <w:p w:rsidR="00A3624C" w:rsidRPr="00906DD7" w:rsidRDefault="00A3624C" w:rsidP="00C855F9">
      <w:pPr>
        <w:pStyle w:val="ParNoG"/>
        <w:rPr>
          <w:lang w:val="fr-FR"/>
        </w:rPr>
      </w:pPr>
      <w:r w:rsidRPr="00906DD7">
        <w:rPr>
          <w:lang w:val="fr-FR"/>
        </w:rPr>
        <w:t>Le groupe de travail informel s</w:t>
      </w:r>
      <w:r w:rsidR="00906DD7" w:rsidRPr="00906DD7">
        <w:rPr>
          <w:lang w:val="fr-FR"/>
        </w:rPr>
        <w:t>’</w:t>
      </w:r>
      <w:r w:rsidRPr="00906DD7">
        <w:rPr>
          <w:lang w:val="fr-FR"/>
        </w:rPr>
        <w:t>est demandé quels dangers n</w:t>
      </w:r>
      <w:r w:rsidR="00906DD7" w:rsidRPr="00906DD7">
        <w:rPr>
          <w:lang w:val="fr-FR"/>
        </w:rPr>
        <w:t>’</w:t>
      </w:r>
      <w:r w:rsidRPr="00906DD7">
        <w:rPr>
          <w:lang w:val="fr-FR"/>
        </w:rPr>
        <w:t>étaient pas actuellement recensés au moyen d</w:t>
      </w:r>
      <w:r w:rsidR="00906DD7" w:rsidRPr="00906DD7">
        <w:rPr>
          <w:lang w:val="fr-FR"/>
        </w:rPr>
        <w:t>’</w:t>
      </w:r>
      <w:r w:rsidRPr="00906DD7">
        <w:rPr>
          <w:lang w:val="fr-FR"/>
        </w:rPr>
        <w:t>épreu</w:t>
      </w:r>
      <w:r w:rsidR="00C855F9">
        <w:rPr>
          <w:lang w:val="fr-FR"/>
        </w:rPr>
        <w:t>ves au titre de la sous-section 38.3. La sous-section </w:t>
      </w:r>
      <w:r w:rsidRPr="00906DD7">
        <w:rPr>
          <w:lang w:val="fr-FR"/>
        </w:rPr>
        <w:t>38.3 avait pour objet de contrôler le niveau de sécurité de la conception de</w:t>
      </w:r>
      <w:r w:rsidR="00BE159B">
        <w:rPr>
          <w:lang w:val="fr-FR"/>
        </w:rPr>
        <w:t>s</w:t>
      </w:r>
      <w:r w:rsidRPr="00906DD7">
        <w:rPr>
          <w:lang w:val="fr-FR"/>
        </w:rPr>
        <w:t xml:space="preserve"> pile</w:t>
      </w:r>
      <w:r w:rsidR="00BE159B">
        <w:rPr>
          <w:lang w:val="fr-FR"/>
        </w:rPr>
        <w:t>s</w:t>
      </w:r>
      <w:r w:rsidRPr="00906DD7">
        <w:rPr>
          <w:lang w:val="fr-FR"/>
        </w:rPr>
        <w:t xml:space="preserve"> et de</w:t>
      </w:r>
      <w:r w:rsidR="00BE159B">
        <w:rPr>
          <w:lang w:val="fr-FR"/>
        </w:rPr>
        <w:t xml:space="preserve">s </w:t>
      </w:r>
      <w:r w:rsidRPr="00906DD7">
        <w:rPr>
          <w:lang w:val="fr-FR"/>
        </w:rPr>
        <w:t>batterie</w:t>
      </w:r>
      <w:r w:rsidR="00BE159B">
        <w:rPr>
          <w:lang w:val="fr-FR"/>
        </w:rPr>
        <w:t>s</w:t>
      </w:r>
      <w:r w:rsidRPr="00906DD7">
        <w:rPr>
          <w:lang w:val="fr-FR"/>
        </w:rPr>
        <w:t xml:space="preserve"> en vue du transport, mais les dangers n</w:t>
      </w:r>
      <w:r w:rsidR="00906DD7" w:rsidRPr="00906DD7">
        <w:rPr>
          <w:lang w:val="fr-FR"/>
        </w:rPr>
        <w:t>’</w:t>
      </w:r>
      <w:r w:rsidRPr="00906DD7">
        <w:rPr>
          <w:lang w:val="fr-FR"/>
        </w:rPr>
        <w:t>étaient pas évalués de manière quantitative. Les méthodes d</w:t>
      </w:r>
      <w:r w:rsidR="00906DD7" w:rsidRPr="00906DD7">
        <w:rPr>
          <w:lang w:val="fr-FR"/>
        </w:rPr>
        <w:t>’</w:t>
      </w:r>
      <w:r w:rsidRPr="00906DD7">
        <w:rPr>
          <w:lang w:val="fr-FR"/>
        </w:rPr>
        <w:t>épreuve utilisées provoquaient un large éventail de réactions dont le niveau de danger pouvait être très faible ou très élevé. La nouvelle méthode devrait recenser les réactions qui suscitaient des préoccupations, mesurer ces réactions et proposer une approche du danger. L</w:t>
      </w:r>
      <w:r w:rsidR="00906DD7" w:rsidRPr="00906DD7">
        <w:rPr>
          <w:lang w:val="fr-FR"/>
        </w:rPr>
        <w:t>’</w:t>
      </w:r>
      <w:r w:rsidRPr="00906DD7">
        <w:rPr>
          <w:lang w:val="fr-FR"/>
        </w:rPr>
        <w:t>emballage devrait être examiné une fois que les dangers et les méthodes d</w:t>
      </w:r>
      <w:r w:rsidR="00906DD7" w:rsidRPr="00906DD7">
        <w:rPr>
          <w:lang w:val="fr-FR"/>
        </w:rPr>
        <w:t>’</w:t>
      </w:r>
      <w:r w:rsidRPr="00906DD7">
        <w:rPr>
          <w:lang w:val="fr-FR"/>
        </w:rPr>
        <w:t>épreuve seraient définis. Certains participants se sont demandé s</w:t>
      </w:r>
      <w:r w:rsidR="00906DD7" w:rsidRPr="00906DD7">
        <w:rPr>
          <w:lang w:val="fr-FR"/>
        </w:rPr>
        <w:t>’</w:t>
      </w:r>
      <w:r w:rsidRPr="00906DD7">
        <w:rPr>
          <w:lang w:val="fr-FR"/>
        </w:rPr>
        <w:t xml:space="preserve">il ne fallait pas envisager de poursuivre les travaux du G-27 au lieu de modifier </w:t>
      </w:r>
      <w:r w:rsidR="00C855F9" w:rsidRPr="00906DD7">
        <w:rPr>
          <w:lang w:val="fr-FR"/>
        </w:rPr>
        <w:t>complétement</w:t>
      </w:r>
      <w:r w:rsidRPr="00906DD7">
        <w:rPr>
          <w:lang w:val="fr-FR"/>
        </w:rPr>
        <w:t xml:space="preserve"> la classification. Ils ont constaté avec préoccupation que, puisque les dangers associés aux batteries au lithium étaient recensés dans le cadre du groupe de travail, le groupe dans son ensemble examinerait tous les dangers à atténuer sous l</w:t>
      </w:r>
      <w:r w:rsidR="00906DD7" w:rsidRPr="00906DD7">
        <w:rPr>
          <w:lang w:val="fr-FR"/>
        </w:rPr>
        <w:t>’</w:t>
      </w:r>
      <w:r w:rsidRPr="00906DD7">
        <w:rPr>
          <w:lang w:val="fr-FR"/>
        </w:rPr>
        <w:t xml:space="preserve">angle de </w:t>
      </w:r>
      <w:r w:rsidR="00C855F9">
        <w:rPr>
          <w:lang w:val="fr-FR"/>
        </w:rPr>
        <w:t>« </w:t>
      </w:r>
      <w:r w:rsidRPr="00906DD7">
        <w:rPr>
          <w:lang w:val="fr-FR"/>
        </w:rPr>
        <w:t>la situation la plus défavorable</w:t>
      </w:r>
      <w:r w:rsidR="00C855F9">
        <w:rPr>
          <w:lang w:val="fr-FR"/>
        </w:rPr>
        <w:t> »</w:t>
      </w:r>
      <w:r w:rsidRPr="00906DD7">
        <w:rPr>
          <w:lang w:val="fr-FR"/>
        </w:rPr>
        <w:t>, alors qu</w:t>
      </w:r>
      <w:r w:rsidR="00906DD7" w:rsidRPr="00906DD7">
        <w:rPr>
          <w:lang w:val="fr-FR"/>
        </w:rPr>
        <w:t>’</w:t>
      </w:r>
      <w:r w:rsidRPr="00906DD7">
        <w:rPr>
          <w:lang w:val="fr-FR"/>
        </w:rPr>
        <w:t>en réalité, les effets dangereux pourraient déjà être contenus au moyen de l</w:t>
      </w:r>
      <w:r w:rsidR="00906DD7" w:rsidRPr="00906DD7">
        <w:rPr>
          <w:lang w:val="fr-FR"/>
        </w:rPr>
        <w:t>’</w:t>
      </w:r>
      <w:r w:rsidRPr="00906DD7">
        <w:rPr>
          <w:lang w:val="fr-FR"/>
        </w:rPr>
        <w:t>emballage ou de la conception de la batterie dans le système actuel. D</w:t>
      </w:r>
      <w:r w:rsidR="00906DD7" w:rsidRPr="00906DD7">
        <w:rPr>
          <w:lang w:val="fr-FR"/>
        </w:rPr>
        <w:t>’</w:t>
      </w:r>
      <w:r w:rsidRPr="00906DD7">
        <w:rPr>
          <w:lang w:val="fr-FR"/>
        </w:rPr>
        <w:t>autres participants ont expliqué que le système actuel ne pouvait pas s</w:t>
      </w:r>
      <w:r w:rsidR="00906DD7" w:rsidRPr="00906DD7">
        <w:rPr>
          <w:lang w:val="fr-FR"/>
        </w:rPr>
        <w:t>’</w:t>
      </w:r>
      <w:r w:rsidRPr="00906DD7">
        <w:rPr>
          <w:lang w:val="fr-FR"/>
        </w:rPr>
        <w:t>appliquer aux nouvelles technologies et, en se fondant sur les informations communiquées par les organes modaux, qu</w:t>
      </w:r>
      <w:r w:rsidR="00906DD7" w:rsidRPr="00906DD7">
        <w:rPr>
          <w:lang w:val="fr-FR"/>
        </w:rPr>
        <w:t>’</w:t>
      </w:r>
      <w:r w:rsidRPr="00906DD7">
        <w:rPr>
          <w:lang w:val="fr-FR"/>
        </w:rPr>
        <w:t>il n</w:t>
      </w:r>
      <w:r w:rsidR="00906DD7" w:rsidRPr="00906DD7">
        <w:rPr>
          <w:lang w:val="fr-FR"/>
        </w:rPr>
        <w:t>’</w:t>
      </w:r>
      <w:r w:rsidRPr="00906DD7">
        <w:rPr>
          <w:lang w:val="fr-FR"/>
        </w:rPr>
        <w:t>était pas suffisamment précis pour permettre une qualification appropriée du danger relatif. Pour cette raison, de nouveaux processus devaient être envisagés. Le secteur du transport aérien était celui qui avait exprimé le plus fermement la nécessité d</w:t>
      </w:r>
      <w:r w:rsidR="00906DD7" w:rsidRPr="00906DD7">
        <w:rPr>
          <w:lang w:val="fr-FR"/>
        </w:rPr>
        <w:t>’</w:t>
      </w:r>
      <w:r w:rsidRPr="00906DD7">
        <w:rPr>
          <w:lang w:val="fr-FR"/>
        </w:rPr>
        <w:t>un changement et il avait appelé l</w:t>
      </w:r>
      <w:r w:rsidR="00906DD7" w:rsidRPr="00906DD7">
        <w:rPr>
          <w:lang w:val="fr-FR"/>
        </w:rPr>
        <w:t>’</w:t>
      </w:r>
      <w:r w:rsidRPr="00906DD7">
        <w:rPr>
          <w:lang w:val="fr-FR"/>
        </w:rPr>
        <w:t>attention sur cette question parce que tous les dangers présentés par les batteries au lithium n</w:t>
      </w:r>
      <w:r w:rsidR="00906DD7" w:rsidRPr="00906DD7">
        <w:rPr>
          <w:lang w:val="fr-FR"/>
        </w:rPr>
        <w:t>’</w:t>
      </w:r>
      <w:r w:rsidRPr="00906DD7">
        <w:rPr>
          <w:lang w:val="fr-FR"/>
        </w:rPr>
        <w:t>étaient pas entièrement définis dans le système actuel, mais ce système présentait des problèmes dans tous les modes de transport. Une fois que le groupe de travail aurait décidé d</w:t>
      </w:r>
      <w:r w:rsidR="00906DD7" w:rsidRPr="00906DD7">
        <w:rPr>
          <w:lang w:val="fr-FR"/>
        </w:rPr>
        <w:t>’</w:t>
      </w:r>
      <w:r w:rsidRPr="00906DD7">
        <w:rPr>
          <w:lang w:val="fr-FR"/>
        </w:rPr>
        <w:t>une ligne de conduite et que celle-ci aurait été approuvée par le Sous-Comité, les organes modaux pourraient examiner comment atténuer les dangers au moyen de l</w:t>
      </w:r>
      <w:r w:rsidR="00906DD7" w:rsidRPr="00906DD7">
        <w:rPr>
          <w:lang w:val="fr-FR"/>
        </w:rPr>
        <w:t>’</w:t>
      </w:r>
      <w:r w:rsidRPr="00906DD7">
        <w:rPr>
          <w:lang w:val="fr-FR"/>
        </w:rPr>
        <w:t>emballage, de la communication des risques ou de la définition d</w:t>
      </w:r>
      <w:r w:rsidR="00906DD7" w:rsidRPr="00906DD7">
        <w:rPr>
          <w:lang w:val="fr-FR"/>
        </w:rPr>
        <w:t>’</w:t>
      </w:r>
      <w:r w:rsidRPr="00906DD7">
        <w:rPr>
          <w:lang w:val="fr-FR"/>
        </w:rPr>
        <w:t>exceptions.</w:t>
      </w:r>
    </w:p>
    <w:p w:rsidR="00A3624C" w:rsidRPr="00906DD7" w:rsidRDefault="00A3624C" w:rsidP="00C855F9">
      <w:pPr>
        <w:pStyle w:val="ParNoG"/>
        <w:rPr>
          <w:lang w:val="fr-FR"/>
        </w:rPr>
      </w:pPr>
      <w:r w:rsidRPr="00906DD7">
        <w:rPr>
          <w:lang w:val="fr-FR"/>
        </w:rPr>
        <w:t>Le groupe de travail informel a estimé qu</w:t>
      </w:r>
      <w:r w:rsidR="00906DD7" w:rsidRPr="00906DD7">
        <w:rPr>
          <w:lang w:val="fr-FR"/>
        </w:rPr>
        <w:t>’</w:t>
      </w:r>
      <w:r w:rsidRPr="00906DD7">
        <w:rPr>
          <w:lang w:val="fr-FR"/>
        </w:rPr>
        <w:t>il importait d</w:t>
      </w:r>
      <w:r w:rsidR="00906DD7" w:rsidRPr="00906DD7">
        <w:rPr>
          <w:lang w:val="fr-FR"/>
        </w:rPr>
        <w:t>’</w:t>
      </w:r>
      <w:r w:rsidRPr="00906DD7">
        <w:rPr>
          <w:lang w:val="fr-FR"/>
        </w:rPr>
        <w:t>abord de définir les dangers et de déterminer des critères acceptables pour chacun de ces dangers avant de passer aux épreuves et à l</w:t>
      </w:r>
      <w:r w:rsidR="00906DD7" w:rsidRPr="00906DD7">
        <w:rPr>
          <w:lang w:val="fr-FR"/>
        </w:rPr>
        <w:t>’</w:t>
      </w:r>
      <w:r w:rsidRPr="00906DD7">
        <w:rPr>
          <w:lang w:val="fr-FR"/>
        </w:rPr>
        <w:t>atténuation des effets, en tenant compte des possibilités offertes par les technologies futures. Le Président a approuvé ce point de vue et a indiqué que le système mis en place devrait être</w:t>
      </w:r>
      <w:r w:rsidR="00C855F9">
        <w:rPr>
          <w:lang w:val="fr-FR"/>
        </w:rPr>
        <w:t xml:space="preserve"> indépendant des technologies.</w:t>
      </w:r>
    </w:p>
    <w:p w:rsidR="00A3624C" w:rsidRPr="00906DD7" w:rsidRDefault="00A3624C" w:rsidP="00C855F9">
      <w:pPr>
        <w:pStyle w:val="H1G"/>
        <w:rPr>
          <w:lang w:val="fr-FR"/>
        </w:rPr>
      </w:pPr>
      <w:r w:rsidRPr="00906DD7">
        <w:rPr>
          <w:lang w:val="fr-FR"/>
        </w:rPr>
        <w:tab/>
      </w:r>
      <w:r w:rsidRPr="00906DD7">
        <w:rPr>
          <w:lang w:val="fr-FR"/>
        </w:rPr>
        <w:tab/>
      </w:r>
      <w:r w:rsidR="00C855F9">
        <w:rPr>
          <w:lang w:val="fr-FR"/>
        </w:rPr>
        <w:t>Exposé de la FAA</w:t>
      </w:r>
    </w:p>
    <w:p w:rsidR="00A3624C" w:rsidRPr="00E66EC3" w:rsidRDefault="00A3624C" w:rsidP="00C855F9">
      <w:pPr>
        <w:pStyle w:val="ParNoG"/>
        <w:rPr>
          <w:lang w:val="fr-FR"/>
        </w:rPr>
      </w:pPr>
      <w:r w:rsidRPr="00E66EC3">
        <w:rPr>
          <w:spacing w:val="-1"/>
          <w:lang w:val="fr-FR"/>
        </w:rPr>
        <w:t xml:space="preserve">La Federal Aviation Administration (FAA) a présenté brièvement les épreuves auxquelles les batteries au lithium avaient été soumises par le Service de la sécurité incendie de la FAA à Atlantic City, dans le New Jersey, aux </w:t>
      </w:r>
      <w:r w:rsidR="00C855F9" w:rsidRPr="00E66EC3">
        <w:rPr>
          <w:spacing w:val="-1"/>
          <w:lang w:val="fr-FR"/>
        </w:rPr>
        <w:t>É</w:t>
      </w:r>
      <w:r w:rsidRPr="00E66EC3">
        <w:rPr>
          <w:spacing w:val="-1"/>
          <w:lang w:val="fr-FR"/>
        </w:rPr>
        <w:t>tats-Unis. Le rapport TC</w:t>
      </w:r>
      <w:r w:rsidR="00C855F9" w:rsidRPr="00E66EC3">
        <w:rPr>
          <w:spacing w:val="-1"/>
          <w:lang w:val="fr-FR"/>
        </w:rPr>
        <w:noBreakHyphen/>
      </w:r>
      <w:r w:rsidRPr="00E66EC3">
        <w:rPr>
          <w:spacing w:val="-1"/>
          <w:lang w:val="fr-FR"/>
        </w:rPr>
        <w:t>16/37 indiquait que les premiers tests visaient à déterminer</w:t>
      </w:r>
      <w:r w:rsidR="00E66EC3" w:rsidRPr="00E66EC3">
        <w:rPr>
          <w:spacing w:val="-1"/>
          <w:lang w:val="fr-FR"/>
        </w:rPr>
        <w:t xml:space="preserve"> si</w:t>
      </w:r>
      <w:r w:rsidRPr="00E66EC3">
        <w:rPr>
          <w:spacing w:val="-1"/>
          <w:lang w:val="fr-FR"/>
        </w:rPr>
        <w:t xml:space="preserve"> </w:t>
      </w:r>
      <w:r w:rsidR="00616ED6" w:rsidRPr="00E66EC3">
        <w:rPr>
          <w:spacing w:val="-1"/>
          <w:lang w:val="fr-FR"/>
        </w:rPr>
        <w:t xml:space="preserve">le </w:t>
      </w:r>
      <w:r w:rsidRPr="00E66EC3">
        <w:rPr>
          <w:spacing w:val="-1"/>
          <w:lang w:val="fr-FR"/>
        </w:rPr>
        <w:t>halon ou les emballages existants empêchaient la propagation d</w:t>
      </w:r>
      <w:r w:rsidR="00906DD7" w:rsidRPr="00E66EC3">
        <w:rPr>
          <w:spacing w:val="-1"/>
          <w:lang w:val="fr-FR"/>
        </w:rPr>
        <w:t>’</w:t>
      </w:r>
      <w:r w:rsidRPr="00E66EC3">
        <w:rPr>
          <w:spacing w:val="-1"/>
          <w:lang w:val="fr-FR"/>
        </w:rPr>
        <w:t>un emballement thermique dans les compartiments de chargement de classe C. Les résultats avaient montré que les emballages existants n</w:t>
      </w:r>
      <w:r w:rsidR="00906DD7" w:rsidRPr="00E66EC3">
        <w:rPr>
          <w:spacing w:val="-1"/>
          <w:lang w:val="fr-FR"/>
        </w:rPr>
        <w:t>’</w:t>
      </w:r>
      <w:r w:rsidRPr="00E66EC3">
        <w:rPr>
          <w:spacing w:val="-1"/>
          <w:lang w:val="fr-FR"/>
        </w:rPr>
        <w:t>empêchaient pas la propagation d</w:t>
      </w:r>
      <w:r w:rsidR="00906DD7" w:rsidRPr="00E66EC3">
        <w:rPr>
          <w:spacing w:val="-1"/>
          <w:lang w:val="fr-FR"/>
        </w:rPr>
        <w:t>’</w:t>
      </w:r>
      <w:r w:rsidRPr="00E66EC3">
        <w:rPr>
          <w:spacing w:val="-1"/>
          <w:lang w:val="fr-FR"/>
        </w:rPr>
        <w:t>une pile à l</w:t>
      </w:r>
      <w:r w:rsidR="00906DD7" w:rsidRPr="00E66EC3">
        <w:rPr>
          <w:spacing w:val="-1"/>
          <w:lang w:val="fr-FR"/>
        </w:rPr>
        <w:t>’</w:t>
      </w:r>
      <w:r w:rsidRPr="00E66EC3">
        <w:rPr>
          <w:spacing w:val="-1"/>
          <w:lang w:val="fr-FR"/>
        </w:rPr>
        <w:t>autre, et que le halon ne permettait pas d</w:t>
      </w:r>
      <w:r w:rsidR="00906DD7" w:rsidRPr="00E66EC3">
        <w:rPr>
          <w:spacing w:val="-1"/>
          <w:lang w:val="fr-FR"/>
        </w:rPr>
        <w:t>’</w:t>
      </w:r>
      <w:r w:rsidRPr="00E66EC3">
        <w:rPr>
          <w:spacing w:val="-1"/>
          <w:lang w:val="fr-FR"/>
        </w:rPr>
        <w:t>assurer l</w:t>
      </w:r>
      <w:r w:rsidR="00906DD7" w:rsidRPr="00E66EC3">
        <w:rPr>
          <w:spacing w:val="-1"/>
          <w:lang w:val="fr-FR"/>
        </w:rPr>
        <w:t>’</w:t>
      </w:r>
      <w:r w:rsidRPr="00E66EC3">
        <w:rPr>
          <w:spacing w:val="-1"/>
          <w:lang w:val="fr-FR"/>
        </w:rPr>
        <w:t>extinction complète d</w:t>
      </w:r>
      <w:r w:rsidR="00906DD7" w:rsidRPr="00E66EC3">
        <w:rPr>
          <w:spacing w:val="-1"/>
          <w:lang w:val="fr-FR"/>
        </w:rPr>
        <w:t>’</w:t>
      </w:r>
      <w:r w:rsidRPr="00E66EC3">
        <w:rPr>
          <w:spacing w:val="-1"/>
          <w:lang w:val="fr-FR"/>
        </w:rPr>
        <w:t>un début de feu sur du lithium</w:t>
      </w:r>
      <w:r w:rsidR="00616ED6" w:rsidRPr="00E66EC3">
        <w:rPr>
          <w:spacing w:val="-1"/>
          <w:lang w:val="fr-FR"/>
        </w:rPr>
        <w:t>-</w:t>
      </w:r>
      <w:r w:rsidRPr="00E66EC3">
        <w:rPr>
          <w:spacing w:val="-1"/>
          <w:lang w:val="fr-FR"/>
        </w:rPr>
        <w:t>ion. Dans le cadre de ces épreuves, la FAA a montré que la propagation de l</w:t>
      </w:r>
      <w:r w:rsidR="00906DD7" w:rsidRPr="00E66EC3">
        <w:rPr>
          <w:spacing w:val="-1"/>
          <w:lang w:val="fr-FR"/>
        </w:rPr>
        <w:t>’</w:t>
      </w:r>
      <w:r w:rsidRPr="00E66EC3">
        <w:rPr>
          <w:spacing w:val="-1"/>
          <w:lang w:val="fr-FR"/>
        </w:rPr>
        <w:t xml:space="preserve">emballement thermique ne se produisait </w:t>
      </w:r>
      <w:r w:rsidRPr="00E66EC3">
        <w:rPr>
          <w:lang w:val="fr-FR"/>
        </w:rPr>
        <w:t>pas pour la majorité des piles testées lorsque l</w:t>
      </w:r>
      <w:r w:rsidR="00906DD7" w:rsidRPr="00E66EC3">
        <w:rPr>
          <w:lang w:val="fr-FR"/>
        </w:rPr>
        <w:t>’</w:t>
      </w:r>
      <w:r w:rsidRPr="00E66EC3">
        <w:rPr>
          <w:lang w:val="fr-FR"/>
        </w:rPr>
        <w:t>état de charge</w:t>
      </w:r>
      <w:r w:rsidR="00C855F9" w:rsidRPr="00E66EC3">
        <w:rPr>
          <w:lang w:val="fr-FR"/>
        </w:rPr>
        <w:t xml:space="preserve"> était réduit </w:t>
      </w:r>
      <w:r w:rsidR="00616ED6" w:rsidRPr="00E66EC3">
        <w:rPr>
          <w:lang w:val="fr-FR"/>
        </w:rPr>
        <w:t>de</w:t>
      </w:r>
      <w:r w:rsidR="00C855F9" w:rsidRPr="00E66EC3">
        <w:rPr>
          <w:lang w:val="fr-FR"/>
        </w:rPr>
        <w:t xml:space="preserve"> 30 </w:t>
      </w:r>
      <w:r w:rsidRPr="00E66EC3">
        <w:rPr>
          <w:lang w:val="fr-FR"/>
        </w:rPr>
        <w:t>%.</w:t>
      </w:r>
    </w:p>
    <w:p w:rsidR="00A3624C" w:rsidRPr="00906DD7" w:rsidRDefault="00A3624C" w:rsidP="00C855F9">
      <w:pPr>
        <w:pStyle w:val="ParNoG"/>
        <w:rPr>
          <w:lang w:val="fr-FR"/>
        </w:rPr>
      </w:pPr>
      <w:r w:rsidRPr="00906DD7">
        <w:rPr>
          <w:lang w:val="fr-FR"/>
        </w:rPr>
        <w:t>Les autres rapports publiés étaient notamment le TC-TN 16/22 et le TC-16/17, qui visaient à déterminer les conditions de la production de chaleur et les effets de la défaillance d</w:t>
      </w:r>
      <w:r w:rsidR="00906DD7" w:rsidRPr="00906DD7">
        <w:rPr>
          <w:lang w:val="fr-FR"/>
        </w:rPr>
        <w:t>’</w:t>
      </w:r>
      <w:r w:rsidRPr="00906DD7">
        <w:rPr>
          <w:lang w:val="fr-FR"/>
        </w:rPr>
        <w:t>une pile.</w:t>
      </w:r>
    </w:p>
    <w:p w:rsidR="00A3624C" w:rsidRPr="00906DD7" w:rsidRDefault="00A3624C" w:rsidP="00C855F9">
      <w:pPr>
        <w:pStyle w:val="ParNoG"/>
        <w:rPr>
          <w:lang w:val="fr-FR"/>
        </w:rPr>
      </w:pPr>
      <w:r w:rsidRPr="00906DD7">
        <w:rPr>
          <w:lang w:val="fr-FR"/>
        </w:rPr>
        <w:t xml:space="preserve">Certains membres se sont </w:t>
      </w:r>
      <w:proofErr w:type="gramStart"/>
      <w:r w:rsidRPr="00906DD7">
        <w:rPr>
          <w:lang w:val="fr-FR"/>
        </w:rPr>
        <w:t>demandé</w:t>
      </w:r>
      <w:proofErr w:type="gramEnd"/>
      <w:r w:rsidRPr="00906DD7">
        <w:rPr>
          <w:lang w:val="fr-FR"/>
        </w:rPr>
        <w:t xml:space="preserve"> pourquoi l</w:t>
      </w:r>
      <w:r w:rsidR="00906DD7" w:rsidRPr="00906DD7">
        <w:rPr>
          <w:lang w:val="fr-FR"/>
        </w:rPr>
        <w:t>’</w:t>
      </w:r>
      <w:r w:rsidRPr="00906DD7">
        <w:rPr>
          <w:lang w:val="fr-FR"/>
        </w:rPr>
        <w:t>industrie aéronautique utilisait le halon comme agent d</w:t>
      </w:r>
      <w:r w:rsidR="00906DD7" w:rsidRPr="00906DD7">
        <w:rPr>
          <w:lang w:val="fr-FR"/>
        </w:rPr>
        <w:t>’</w:t>
      </w:r>
      <w:r w:rsidRPr="00906DD7">
        <w:rPr>
          <w:lang w:val="fr-FR"/>
        </w:rPr>
        <w:t>extinction. La FAA a expliqué que d</w:t>
      </w:r>
      <w:r w:rsidR="00906DD7" w:rsidRPr="00906DD7">
        <w:rPr>
          <w:lang w:val="fr-FR"/>
        </w:rPr>
        <w:t>’</w:t>
      </w:r>
      <w:r w:rsidRPr="00906DD7">
        <w:rPr>
          <w:lang w:val="fr-FR"/>
        </w:rPr>
        <w:t>autres solutions avaient fait l</w:t>
      </w:r>
      <w:r w:rsidR="00906DD7" w:rsidRPr="00906DD7">
        <w:rPr>
          <w:lang w:val="fr-FR"/>
        </w:rPr>
        <w:t>’</w:t>
      </w:r>
      <w:r w:rsidRPr="00906DD7">
        <w:rPr>
          <w:lang w:val="fr-FR"/>
        </w:rPr>
        <w:t>objet de recherches mais n</w:t>
      </w:r>
      <w:r w:rsidR="00906DD7" w:rsidRPr="00906DD7">
        <w:rPr>
          <w:lang w:val="fr-FR"/>
        </w:rPr>
        <w:t>’</w:t>
      </w:r>
      <w:r w:rsidRPr="00906DD7">
        <w:rPr>
          <w:lang w:val="fr-FR"/>
        </w:rPr>
        <w:t>avaient pas encore été adoptées. Le groupe de travail s</w:t>
      </w:r>
      <w:r w:rsidR="00906DD7" w:rsidRPr="00906DD7">
        <w:rPr>
          <w:lang w:val="fr-FR"/>
        </w:rPr>
        <w:t>’</w:t>
      </w:r>
      <w:r w:rsidRPr="00906DD7">
        <w:rPr>
          <w:lang w:val="fr-FR"/>
        </w:rPr>
        <w:t>est demandé s</w:t>
      </w:r>
      <w:r w:rsidR="00906DD7" w:rsidRPr="00906DD7">
        <w:rPr>
          <w:lang w:val="fr-FR"/>
        </w:rPr>
        <w:t>’</w:t>
      </w:r>
      <w:r w:rsidRPr="00906DD7">
        <w:rPr>
          <w:lang w:val="fr-FR"/>
        </w:rPr>
        <w:t>il existait une relation claire entre l</w:t>
      </w:r>
      <w:r w:rsidR="00906DD7" w:rsidRPr="00906DD7">
        <w:rPr>
          <w:lang w:val="fr-FR"/>
        </w:rPr>
        <w:t>’</w:t>
      </w:r>
      <w:r w:rsidRPr="00906DD7">
        <w:rPr>
          <w:lang w:val="fr-FR"/>
        </w:rPr>
        <w:t>énergie électrique stockée et l</w:t>
      </w:r>
      <w:r w:rsidR="00906DD7" w:rsidRPr="00906DD7">
        <w:rPr>
          <w:lang w:val="fr-FR"/>
        </w:rPr>
        <w:t>’</w:t>
      </w:r>
      <w:r w:rsidRPr="00906DD7">
        <w:rPr>
          <w:lang w:val="fr-FR"/>
        </w:rPr>
        <w:t>énergie libérée lors d</w:t>
      </w:r>
      <w:r w:rsidR="00906DD7" w:rsidRPr="00906DD7">
        <w:rPr>
          <w:lang w:val="fr-FR"/>
        </w:rPr>
        <w:t>’</w:t>
      </w:r>
      <w:r w:rsidRPr="00906DD7">
        <w:rPr>
          <w:lang w:val="fr-FR"/>
        </w:rPr>
        <w:t>un emballement thermique. La FAA a indiqué que les épreuves avaient confirmé qu</w:t>
      </w:r>
      <w:r w:rsidR="004C2583">
        <w:rPr>
          <w:lang w:val="fr-FR"/>
        </w:rPr>
        <w:t xml:space="preserve">e </w:t>
      </w:r>
      <w:r w:rsidRPr="00906DD7">
        <w:rPr>
          <w:lang w:val="fr-FR"/>
        </w:rPr>
        <w:t>l</w:t>
      </w:r>
      <w:r w:rsidR="00906DD7" w:rsidRPr="00906DD7">
        <w:rPr>
          <w:lang w:val="fr-FR"/>
        </w:rPr>
        <w:t>’</w:t>
      </w:r>
      <w:r w:rsidRPr="00906DD7">
        <w:rPr>
          <w:lang w:val="fr-FR"/>
        </w:rPr>
        <w:t>emballement thermique</w:t>
      </w:r>
      <w:r w:rsidR="004C2583">
        <w:rPr>
          <w:lang w:val="fr-FR"/>
        </w:rPr>
        <w:t xml:space="preserve"> libérait plus d’</w:t>
      </w:r>
      <w:r w:rsidRPr="00906DD7">
        <w:rPr>
          <w:lang w:val="fr-FR"/>
        </w:rPr>
        <w:t xml:space="preserve">énergie </w:t>
      </w:r>
      <w:r w:rsidR="004C2583">
        <w:rPr>
          <w:lang w:val="fr-FR"/>
        </w:rPr>
        <w:t xml:space="preserve">que l’énergie </w:t>
      </w:r>
      <w:r w:rsidRPr="00906DD7">
        <w:rPr>
          <w:lang w:val="fr-FR"/>
        </w:rPr>
        <w:t>électrique totale stockée dans la batterie.</w:t>
      </w:r>
    </w:p>
    <w:p w:rsidR="00A3624C" w:rsidRPr="00906DD7" w:rsidRDefault="00A3624C" w:rsidP="00C855F9">
      <w:pPr>
        <w:pStyle w:val="ParNoG"/>
        <w:keepNext/>
        <w:rPr>
          <w:lang w:val="fr-FR"/>
        </w:rPr>
      </w:pPr>
      <w:r w:rsidRPr="00906DD7">
        <w:rPr>
          <w:lang w:val="fr-FR"/>
        </w:rPr>
        <w:t>Les trois rapports mentionnés étaient disponibles sur le site Web du Centre d</w:t>
      </w:r>
      <w:r w:rsidR="00906DD7" w:rsidRPr="00906DD7">
        <w:rPr>
          <w:lang w:val="fr-FR"/>
        </w:rPr>
        <w:t>’</w:t>
      </w:r>
      <w:r w:rsidRPr="00906DD7">
        <w:rPr>
          <w:lang w:val="fr-FR"/>
        </w:rPr>
        <w:t>épreuves de la FAA</w:t>
      </w:r>
      <w:r w:rsidR="00C855F9">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a)</w:t>
      </w:r>
      <w:r w:rsidRPr="00906DD7">
        <w:rPr>
          <w:lang w:val="fr-FR"/>
        </w:rPr>
        <w:tab/>
        <w:t xml:space="preserve">Le rapport DOT/FAA/TC-16/37, intitulé </w:t>
      </w:r>
      <w:r w:rsidR="00C855F9">
        <w:rPr>
          <w:lang w:val="fr-FR"/>
        </w:rPr>
        <w:t>« </w:t>
      </w:r>
      <w:r w:rsidRPr="00906DD7">
        <w:rPr>
          <w:lang w:val="fr-FR"/>
        </w:rPr>
        <w:t>Résumé des études de la FAA relatives aux dangers présentés par les piles au lithium en cas d</w:t>
      </w:r>
      <w:r w:rsidR="00906DD7" w:rsidRPr="00906DD7">
        <w:rPr>
          <w:lang w:val="fr-FR"/>
        </w:rPr>
        <w:t>’</w:t>
      </w:r>
      <w:r w:rsidRPr="00906DD7">
        <w:rPr>
          <w:lang w:val="fr-FR"/>
        </w:rPr>
        <w:t>emballement thermique dans les compartiments de chargement des aéronefs</w:t>
      </w:r>
      <w:r w:rsidR="00C855F9">
        <w:rPr>
          <w:lang w:val="fr-FR"/>
        </w:rPr>
        <w:t> »</w:t>
      </w:r>
      <w:r w:rsidRPr="00906DD7">
        <w:rPr>
          <w:lang w:val="fr-FR"/>
        </w:rPr>
        <w:t xml:space="preserve"> (juillet 2016), propose une synthèse des données et des résultats des épreuves réalisées dans le cadre de projets menés par le Service de la sécurité incendie au cours des </w:t>
      </w:r>
      <w:r w:rsidR="00C855F9">
        <w:rPr>
          <w:lang w:val="fr-FR"/>
        </w:rPr>
        <w:t>quinze</w:t>
      </w:r>
      <w:r w:rsidRPr="00906DD7">
        <w:rPr>
          <w:lang w:val="fr-FR"/>
        </w:rPr>
        <w:t xml:space="preserve"> dernières années.</w:t>
      </w:r>
    </w:p>
    <w:p w:rsidR="00A3624C" w:rsidRPr="00906DD7" w:rsidRDefault="00A3624C" w:rsidP="00C855F9">
      <w:pPr>
        <w:pStyle w:val="SingleTxtG"/>
        <w:ind w:firstLine="567"/>
        <w:rPr>
          <w:lang w:val="fr-FR"/>
        </w:rPr>
      </w:pPr>
      <w:r w:rsidRPr="00906DD7">
        <w:rPr>
          <w:lang w:val="fr-FR"/>
        </w:rPr>
        <w:t>(https://www.fire.tc.faa.gov/pdf/TC-16-37.pdf)</w:t>
      </w:r>
    </w:p>
    <w:p w:rsidR="00A3624C" w:rsidRPr="00906DD7" w:rsidRDefault="00A3624C" w:rsidP="004704E9">
      <w:pPr>
        <w:pStyle w:val="SingleTxtG"/>
        <w:ind w:firstLine="567"/>
        <w:rPr>
          <w:lang w:val="fr-FR"/>
        </w:rPr>
      </w:pPr>
      <w:r w:rsidRPr="00906DD7">
        <w:rPr>
          <w:lang w:val="fr-FR"/>
        </w:rPr>
        <w:t>b)</w:t>
      </w:r>
      <w:r w:rsidRPr="00906DD7">
        <w:rPr>
          <w:lang w:val="fr-FR"/>
        </w:rPr>
        <w:tab/>
        <w:t xml:space="preserve">Le rapport DOT/FAA/TC-16/17, intitulé </w:t>
      </w:r>
      <w:r w:rsidR="00E03A51">
        <w:rPr>
          <w:lang w:val="fr-FR"/>
        </w:rPr>
        <w:t>« </w:t>
      </w:r>
      <w:r w:rsidRPr="00906DD7">
        <w:rPr>
          <w:lang w:val="fr-FR"/>
        </w:rPr>
        <w:t>Analyse des risques d</w:t>
      </w:r>
      <w:r w:rsidR="00906DD7" w:rsidRPr="00906DD7">
        <w:rPr>
          <w:lang w:val="fr-FR"/>
        </w:rPr>
        <w:t>’</w:t>
      </w:r>
      <w:r w:rsidRPr="00906DD7">
        <w:rPr>
          <w:lang w:val="fr-FR"/>
        </w:rPr>
        <w:t>incendie pour diverses batteries au lithium</w:t>
      </w:r>
      <w:r w:rsidR="00E03A51">
        <w:rPr>
          <w:lang w:val="fr-FR"/>
        </w:rPr>
        <w:t> »</w:t>
      </w:r>
      <w:r w:rsidRPr="00906DD7">
        <w:rPr>
          <w:lang w:val="fr-FR"/>
        </w:rPr>
        <w:t xml:space="preserve"> (mars 2017), est un rapport consacré à une épreuve d</w:t>
      </w:r>
      <w:r w:rsidR="00906DD7" w:rsidRPr="00906DD7">
        <w:rPr>
          <w:lang w:val="fr-FR"/>
        </w:rPr>
        <w:t>’</w:t>
      </w:r>
      <w:r w:rsidRPr="00906DD7">
        <w:rPr>
          <w:lang w:val="fr-FR"/>
        </w:rPr>
        <w:t>exposition au feu réa</w:t>
      </w:r>
      <w:r w:rsidR="00D04D00">
        <w:rPr>
          <w:lang w:val="fr-FR"/>
        </w:rPr>
        <w:t>lisé</w:t>
      </w:r>
      <w:r w:rsidR="008A4A07">
        <w:rPr>
          <w:lang w:val="fr-FR"/>
        </w:rPr>
        <w:t>e</w:t>
      </w:r>
      <w:r w:rsidR="00D04D00">
        <w:rPr>
          <w:lang w:val="fr-FR"/>
        </w:rPr>
        <w:t xml:space="preserve"> sur des piles au lithium-</w:t>
      </w:r>
      <w:r w:rsidRPr="00906DD7">
        <w:rPr>
          <w:lang w:val="fr-FR"/>
        </w:rPr>
        <w:t xml:space="preserve">ion (piles </w:t>
      </w:r>
      <w:r w:rsidR="00E03A51">
        <w:rPr>
          <w:lang w:val="fr-FR"/>
        </w:rPr>
        <w:t>« </w:t>
      </w:r>
      <w:r w:rsidRPr="00906DD7">
        <w:rPr>
          <w:lang w:val="fr-FR"/>
        </w:rPr>
        <w:t>en sachet</w:t>
      </w:r>
      <w:r w:rsidR="00E03A51">
        <w:rPr>
          <w:lang w:val="fr-FR"/>
        </w:rPr>
        <w:t> »</w:t>
      </w:r>
      <w:r w:rsidRPr="00906DD7">
        <w:rPr>
          <w:lang w:val="fr-FR"/>
        </w:rPr>
        <w:t>, piles cylind</w:t>
      </w:r>
      <w:r w:rsidR="00D04D00">
        <w:rPr>
          <w:lang w:val="fr-FR"/>
        </w:rPr>
        <w:t>riques) et des piles au lithium-</w:t>
      </w:r>
      <w:r w:rsidRPr="00906DD7">
        <w:rPr>
          <w:lang w:val="fr-FR"/>
        </w:rPr>
        <w:t>métal (cylindriques) équipées de cathodes ayant des propriétés chimiques et des tailles diverses pour évaluer les effets de leur défaillance.</w:t>
      </w:r>
    </w:p>
    <w:p w:rsidR="00A3624C" w:rsidRPr="00906DD7" w:rsidRDefault="00A3624C" w:rsidP="00C855F9">
      <w:pPr>
        <w:pStyle w:val="SingleTxtG"/>
        <w:ind w:firstLine="567"/>
        <w:rPr>
          <w:lang w:val="fr-FR"/>
        </w:rPr>
      </w:pPr>
      <w:r w:rsidRPr="00906DD7">
        <w:rPr>
          <w:lang w:val="fr-FR"/>
        </w:rPr>
        <w:t>(https://www.fi</w:t>
      </w:r>
      <w:r w:rsidR="00E03A51">
        <w:rPr>
          <w:lang w:val="fr-FR"/>
        </w:rPr>
        <w:t>re.tc.faa.gov/pdf/TC-16-17.pdf)</w:t>
      </w:r>
    </w:p>
    <w:p w:rsidR="00A3624C" w:rsidRPr="00906DD7" w:rsidRDefault="00A3624C" w:rsidP="004704E9">
      <w:pPr>
        <w:pStyle w:val="SingleTxtG"/>
        <w:ind w:firstLine="567"/>
        <w:rPr>
          <w:lang w:val="fr-FR"/>
        </w:rPr>
      </w:pPr>
      <w:r w:rsidRPr="00906DD7">
        <w:rPr>
          <w:lang w:val="fr-FR"/>
        </w:rPr>
        <w:t>c)</w:t>
      </w:r>
      <w:r w:rsidRPr="00906DD7">
        <w:rPr>
          <w:lang w:val="fr-FR"/>
        </w:rPr>
        <w:tab/>
        <w:t xml:space="preserve">La note technique DOT/FAA/TC-TN16/22, intitulée </w:t>
      </w:r>
      <w:r w:rsidR="00E03A51">
        <w:rPr>
          <w:lang w:val="fr-FR"/>
        </w:rPr>
        <w:t>« </w:t>
      </w:r>
      <w:r w:rsidRPr="00906DD7">
        <w:rPr>
          <w:lang w:val="fr-FR"/>
        </w:rPr>
        <w:t>Libération d</w:t>
      </w:r>
      <w:r w:rsidR="00906DD7" w:rsidRPr="00906DD7">
        <w:rPr>
          <w:lang w:val="fr-FR"/>
        </w:rPr>
        <w:t>’</w:t>
      </w:r>
      <w:r w:rsidRPr="00906DD7">
        <w:rPr>
          <w:lang w:val="fr-FR"/>
        </w:rPr>
        <w:t>énergie par des batteries rechargeables au lithium</w:t>
      </w:r>
      <w:r w:rsidR="00D04D00">
        <w:rPr>
          <w:lang w:val="fr-FR"/>
        </w:rPr>
        <w:t>-ion</w:t>
      </w:r>
      <w:r w:rsidRPr="00906DD7">
        <w:rPr>
          <w:lang w:val="fr-FR"/>
        </w:rPr>
        <w:t xml:space="preserve"> en cas d</w:t>
      </w:r>
      <w:r w:rsidR="00906DD7" w:rsidRPr="00906DD7">
        <w:rPr>
          <w:lang w:val="fr-FR"/>
        </w:rPr>
        <w:t>’</w:t>
      </w:r>
      <w:r w:rsidRPr="00906DD7">
        <w:rPr>
          <w:lang w:val="fr-FR"/>
        </w:rPr>
        <w:t>emballement thermique</w:t>
      </w:r>
      <w:r w:rsidR="00E03A51">
        <w:rPr>
          <w:lang w:val="fr-FR"/>
        </w:rPr>
        <w:t> »</w:t>
      </w:r>
      <w:r w:rsidRPr="00906DD7">
        <w:rPr>
          <w:lang w:val="fr-FR"/>
        </w:rPr>
        <w:t xml:space="preserve"> (avril 2016), et la pub</w:t>
      </w:r>
      <w:r w:rsidR="00E03A51">
        <w:rPr>
          <w:lang w:val="fr-FR"/>
        </w:rPr>
        <w:t>lication connexe par Richard E. </w:t>
      </w:r>
      <w:r w:rsidRPr="00906DD7">
        <w:rPr>
          <w:lang w:val="fr-FR"/>
        </w:rPr>
        <w:t xml:space="preserve">Lyon et </w:t>
      </w:r>
      <w:r w:rsidR="00E03A51">
        <w:rPr>
          <w:lang w:val="fr-FR"/>
        </w:rPr>
        <w:t>Richard N. </w:t>
      </w:r>
      <w:r w:rsidRPr="00906DD7">
        <w:rPr>
          <w:lang w:val="fr-FR"/>
        </w:rPr>
        <w:t xml:space="preserve">Walters de </w:t>
      </w:r>
      <w:r w:rsidR="00E03A51">
        <w:rPr>
          <w:lang w:val="fr-FR"/>
        </w:rPr>
        <w:t>« </w:t>
      </w:r>
      <w:r w:rsidRPr="00906DD7">
        <w:rPr>
          <w:lang w:val="fr-FR"/>
        </w:rPr>
        <w:t>Energetics of lithium ion battery failure</w:t>
      </w:r>
      <w:r w:rsidR="00E03A51">
        <w:rPr>
          <w:lang w:val="fr-FR"/>
        </w:rPr>
        <w:t> »</w:t>
      </w:r>
      <w:r w:rsidRPr="00906DD7">
        <w:rPr>
          <w:lang w:val="fr-FR"/>
        </w:rPr>
        <w:t xml:space="preserve"> dans le Journal of Hazardous</w:t>
      </w:r>
      <w:r w:rsidR="00E03A51">
        <w:rPr>
          <w:lang w:val="fr-FR"/>
        </w:rPr>
        <w:t xml:space="preserve"> Materials 318 (2016) 164-172. </w:t>
      </w:r>
      <w:r w:rsidRPr="00906DD7">
        <w:rPr>
          <w:lang w:val="fr-FR"/>
        </w:rPr>
        <w:t>Ces documents portent sur l</w:t>
      </w:r>
      <w:r w:rsidR="00906DD7" w:rsidRPr="00906DD7">
        <w:rPr>
          <w:lang w:val="fr-FR"/>
        </w:rPr>
        <w:t>’</w:t>
      </w:r>
      <w:r w:rsidRPr="00906DD7">
        <w:rPr>
          <w:lang w:val="fr-FR"/>
        </w:rPr>
        <w:t>énergie libérée en cas de défaillance des piles/bat</w:t>
      </w:r>
      <w:r w:rsidR="00D04D00">
        <w:rPr>
          <w:lang w:val="fr-FR"/>
        </w:rPr>
        <w:t>teries rechargeables au lithium-ion</w:t>
      </w:r>
      <w:r w:rsidRPr="00906DD7">
        <w:rPr>
          <w:lang w:val="fr-FR"/>
        </w:rPr>
        <w:t xml:space="preserve"> 18650 (cylindriques), mesurée dans un calorimètre à bombe avec quatre types de cathode commerciale ayant des propriétés chimiques différentes à tous les niveaux de charge</w:t>
      </w:r>
      <w:r w:rsidR="00D04D00">
        <w:rPr>
          <w:lang w:val="fr-FR"/>
        </w:rPr>
        <w:t>,</w:t>
      </w:r>
      <w:r w:rsidRPr="00906DD7">
        <w:rPr>
          <w:lang w:val="fr-FR"/>
        </w:rPr>
        <w:t xml:space="preserve"> en utilisant une méthode élaborée à cette fin.</w:t>
      </w:r>
    </w:p>
    <w:p w:rsidR="00A3624C" w:rsidRPr="00906DD7" w:rsidRDefault="00A3624C" w:rsidP="00C855F9">
      <w:pPr>
        <w:pStyle w:val="SingleTxtG"/>
        <w:ind w:firstLine="567"/>
        <w:rPr>
          <w:lang w:val="fr-FR"/>
        </w:rPr>
      </w:pPr>
      <w:r w:rsidRPr="00906DD7">
        <w:rPr>
          <w:lang w:val="fr-FR"/>
        </w:rPr>
        <w:t>(https://www.fire</w:t>
      </w:r>
      <w:r w:rsidR="00E03A51">
        <w:rPr>
          <w:lang w:val="fr-FR"/>
        </w:rPr>
        <w:t>.tc.faa.gov/pdf/TC-TN16-22.pdf)</w:t>
      </w:r>
    </w:p>
    <w:p w:rsidR="00A3624C" w:rsidRPr="00906DD7" w:rsidRDefault="00A3624C" w:rsidP="00C855F9">
      <w:pPr>
        <w:pStyle w:val="SingleTxtG"/>
        <w:ind w:firstLine="567"/>
        <w:rPr>
          <w:lang w:val="fr-FR"/>
        </w:rPr>
      </w:pPr>
      <w:r w:rsidRPr="00906DD7">
        <w:rPr>
          <w:lang w:val="fr-FR"/>
        </w:rPr>
        <w:t>(http://www.sciencedirect.com/science/</w:t>
      </w:r>
      <w:r w:rsidR="00E03A51">
        <w:rPr>
          <w:lang w:val="fr-FR"/>
        </w:rPr>
        <w:t>article/pii/S0304389416306008)</w:t>
      </w:r>
    </w:p>
    <w:p w:rsidR="00A3624C" w:rsidRPr="00906DD7" w:rsidRDefault="00A3624C" w:rsidP="004704E9">
      <w:pPr>
        <w:pStyle w:val="SingleTxtG"/>
        <w:ind w:firstLine="567"/>
        <w:rPr>
          <w:lang w:val="fr-FR"/>
        </w:rPr>
      </w:pPr>
      <w:r w:rsidRPr="00906DD7">
        <w:rPr>
          <w:lang w:val="fr-FR"/>
        </w:rPr>
        <w:t>d)</w:t>
      </w:r>
      <w:r w:rsidRPr="00906DD7">
        <w:rPr>
          <w:lang w:val="fr-FR"/>
        </w:rPr>
        <w:tab/>
        <w:t>Des informations, des vidéos et des données complémentaires sont disponibles sur le site Web du Centre d</w:t>
      </w:r>
      <w:r w:rsidR="00906DD7" w:rsidRPr="00906DD7">
        <w:rPr>
          <w:lang w:val="fr-FR"/>
        </w:rPr>
        <w:t>’</w:t>
      </w:r>
      <w:r w:rsidRPr="00906DD7">
        <w:rPr>
          <w:lang w:val="fr-FR"/>
        </w:rPr>
        <w:t>épreuves de la FAA (www.fire.tc.faa.gov.)</w:t>
      </w:r>
    </w:p>
    <w:p w:rsidR="00A3624C" w:rsidRPr="00906DD7" w:rsidRDefault="00A3624C" w:rsidP="00E03A51">
      <w:pPr>
        <w:pStyle w:val="H1G"/>
        <w:rPr>
          <w:lang w:val="fr-FR"/>
        </w:rPr>
      </w:pPr>
      <w:r w:rsidRPr="00906DD7">
        <w:rPr>
          <w:lang w:val="fr-FR"/>
        </w:rPr>
        <w:tab/>
      </w:r>
      <w:r w:rsidRPr="00906DD7">
        <w:rPr>
          <w:lang w:val="fr-FR"/>
        </w:rPr>
        <w:tab/>
        <w:t>Exposé du Comité G-27 de la SAE</w:t>
      </w:r>
    </w:p>
    <w:p w:rsidR="00A3624C" w:rsidRPr="00906DD7" w:rsidRDefault="00A3624C" w:rsidP="00E03A51">
      <w:pPr>
        <w:pStyle w:val="ParNoG"/>
        <w:keepNext/>
        <w:rPr>
          <w:lang w:val="fr-FR"/>
        </w:rPr>
      </w:pPr>
      <w:r w:rsidRPr="00906DD7">
        <w:rPr>
          <w:lang w:val="fr-FR"/>
        </w:rPr>
        <w:t>General Motors a fait le point sur les travaux en cours au sein du G-27 visant à élaborer une norme relative à l</w:t>
      </w:r>
      <w:r w:rsidR="00906DD7" w:rsidRPr="00906DD7">
        <w:rPr>
          <w:lang w:val="fr-FR"/>
        </w:rPr>
        <w:t>’</w:t>
      </w:r>
      <w:r w:rsidRPr="00906DD7">
        <w:rPr>
          <w:lang w:val="fr-FR"/>
        </w:rPr>
        <w:t>efficacité minimale applicable aux emballages utilisés pour le transport des batteries au lithium par voie aérienne. Ces travaux ont porté sur deux préoccupations</w:t>
      </w:r>
      <w:r w:rsidR="00E03A51">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a)</w:t>
      </w:r>
      <w:r w:rsidRPr="00906DD7">
        <w:rPr>
          <w:lang w:val="fr-FR"/>
        </w:rPr>
        <w:tab/>
        <w:t>Le déclenchement d</w:t>
      </w:r>
      <w:r w:rsidR="00906DD7" w:rsidRPr="00906DD7">
        <w:rPr>
          <w:lang w:val="fr-FR"/>
        </w:rPr>
        <w:t>’</w:t>
      </w:r>
      <w:r w:rsidRPr="00906DD7">
        <w:rPr>
          <w:lang w:val="fr-FR"/>
        </w:rPr>
        <w:t>un incendie incontrôlé dan</w:t>
      </w:r>
      <w:r w:rsidR="00E03A51">
        <w:rPr>
          <w:lang w:val="fr-FR"/>
        </w:rPr>
        <w:t>s le compartiment de chargement ;</w:t>
      </w:r>
    </w:p>
    <w:p w:rsidR="00A3624C" w:rsidRPr="00906DD7" w:rsidRDefault="00A3624C" w:rsidP="004704E9">
      <w:pPr>
        <w:pStyle w:val="SingleTxtG"/>
        <w:ind w:firstLine="567"/>
        <w:rPr>
          <w:lang w:val="fr-FR"/>
        </w:rPr>
      </w:pPr>
      <w:r w:rsidRPr="00906DD7">
        <w:rPr>
          <w:lang w:val="fr-FR"/>
        </w:rPr>
        <w:t>b)</w:t>
      </w:r>
      <w:r w:rsidRPr="00906DD7">
        <w:rPr>
          <w:lang w:val="fr-FR"/>
        </w:rPr>
        <w:tab/>
        <w:t>L</w:t>
      </w:r>
      <w:r w:rsidR="00906DD7" w:rsidRPr="00906DD7">
        <w:rPr>
          <w:lang w:val="fr-FR"/>
        </w:rPr>
        <w:t>’</w:t>
      </w:r>
      <w:r w:rsidRPr="00906DD7">
        <w:rPr>
          <w:lang w:val="fr-FR"/>
        </w:rPr>
        <w:t>apparition d</w:t>
      </w:r>
      <w:r w:rsidR="00906DD7" w:rsidRPr="00906DD7">
        <w:rPr>
          <w:lang w:val="fr-FR"/>
        </w:rPr>
        <w:t>’</w:t>
      </w:r>
      <w:r w:rsidRPr="00906DD7">
        <w:rPr>
          <w:lang w:val="fr-FR"/>
        </w:rPr>
        <w:t xml:space="preserve">une surpression </w:t>
      </w:r>
      <w:r w:rsidR="00B93F77">
        <w:rPr>
          <w:lang w:val="fr-FR"/>
        </w:rPr>
        <w:t>critique</w:t>
      </w:r>
      <w:r w:rsidRPr="00906DD7">
        <w:rPr>
          <w:lang w:val="fr-FR"/>
        </w:rPr>
        <w:t xml:space="preserve"> dans le compartiment de chargement.</w:t>
      </w:r>
    </w:p>
    <w:p w:rsidR="00A3624C" w:rsidRPr="00906DD7" w:rsidRDefault="00A3624C" w:rsidP="00E03A51">
      <w:pPr>
        <w:pStyle w:val="ParNoG"/>
        <w:rPr>
          <w:lang w:val="fr-FR"/>
        </w:rPr>
      </w:pPr>
      <w:r w:rsidRPr="00906DD7">
        <w:rPr>
          <w:lang w:val="fr-FR"/>
        </w:rPr>
        <w:t>Le G27 continuait à élaborer des méthodes d</w:t>
      </w:r>
      <w:r w:rsidR="00906DD7" w:rsidRPr="00906DD7">
        <w:rPr>
          <w:lang w:val="fr-FR"/>
        </w:rPr>
        <w:t>’</w:t>
      </w:r>
      <w:r w:rsidRPr="00906DD7">
        <w:rPr>
          <w:lang w:val="fr-FR"/>
        </w:rPr>
        <w:t>épreuve pour déterminer si les emballages permettraient de garantir que les effets dangereux soient limités à l</w:t>
      </w:r>
      <w:r w:rsidR="00906DD7" w:rsidRPr="00906DD7">
        <w:rPr>
          <w:lang w:val="fr-FR"/>
        </w:rPr>
        <w:t>’</w:t>
      </w:r>
      <w:r w:rsidRPr="00906DD7">
        <w:rPr>
          <w:lang w:val="fr-FR"/>
        </w:rPr>
        <w:t>emballage (c</w:t>
      </w:r>
      <w:r w:rsidR="00906DD7" w:rsidRPr="00906DD7">
        <w:rPr>
          <w:lang w:val="fr-FR"/>
        </w:rPr>
        <w:t>’</w:t>
      </w:r>
      <w:r w:rsidRPr="00906DD7">
        <w:rPr>
          <w:lang w:val="fr-FR"/>
        </w:rPr>
        <w:t>est-à-dire qu</w:t>
      </w:r>
      <w:r w:rsidR="00906DD7" w:rsidRPr="00906DD7">
        <w:rPr>
          <w:lang w:val="fr-FR"/>
        </w:rPr>
        <w:t>’</w:t>
      </w:r>
      <w:r w:rsidRPr="00906DD7">
        <w:rPr>
          <w:lang w:val="fr-FR"/>
        </w:rPr>
        <w:t>il n</w:t>
      </w:r>
      <w:r w:rsidR="00906DD7" w:rsidRPr="00906DD7">
        <w:rPr>
          <w:lang w:val="fr-FR"/>
        </w:rPr>
        <w:t>’</w:t>
      </w:r>
      <w:r w:rsidRPr="00906DD7">
        <w:rPr>
          <w:lang w:val="fr-FR"/>
        </w:rPr>
        <w:t>y ait pas d</w:t>
      </w:r>
      <w:r w:rsidR="00906DD7" w:rsidRPr="00906DD7">
        <w:rPr>
          <w:lang w:val="fr-FR"/>
        </w:rPr>
        <w:t>’</w:t>
      </w:r>
      <w:r w:rsidRPr="00906DD7">
        <w:rPr>
          <w:lang w:val="fr-FR"/>
        </w:rPr>
        <w:t>émission de flammes, de risque de projection, d</w:t>
      </w:r>
      <w:r w:rsidR="00906DD7" w:rsidRPr="00906DD7">
        <w:rPr>
          <w:lang w:val="fr-FR"/>
        </w:rPr>
        <w:t>’</w:t>
      </w:r>
      <w:r w:rsidRPr="00906DD7">
        <w:rPr>
          <w:lang w:val="fr-FR"/>
        </w:rPr>
        <w:t>inflammation de vapeurs, que la température maximale de l</w:t>
      </w:r>
      <w:r w:rsidR="00906DD7" w:rsidRPr="00906DD7">
        <w:rPr>
          <w:lang w:val="fr-FR"/>
        </w:rPr>
        <w:t>’</w:t>
      </w:r>
      <w:r w:rsidRPr="00906DD7">
        <w:rPr>
          <w:lang w:val="fr-FR"/>
        </w:rPr>
        <w:t>emballage extérieur ne soit pas excessive et que l</w:t>
      </w:r>
      <w:r w:rsidR="00906DD7" w:rsidRPr="00906DD7">
        <w:rPr>
          <w:lang w:val="fr-FR"/>
        </w:rPr>
        <w:t>’</w:t>
      </w:r>
      <w:r w:rsidRPr="00906DD7">
        <w:rPr>
          <w:lang w:val="fr-FR"/>
        </w:rPr>
        <w:t>intégrité de l</w:t>
      </w:r>
      <w:r w:rsidR="00906DD7" w:rsidRPr="00906DD7">
        <w:rPr>
          <w:lang w:val="fr-FR"/>
        </w:rPr>
        <w:t>’</w:t>
      </w:r>
      <w:r w:rsidRPr="00906DD7">
        <w:rPr>
          <w:lang w:val="fr-FR"/>
        </w:rPr>
        <w:t>emballage soit assurée). Le G-27 envisageait également d</w:t>
      </w:r>
      <w:r w:rsidR="00906DD7" w:rsidRPr="00906DD7">
        <w:rPr>
          <w:lang w:val="fr-FR"/>
        </w:rPr>
        <w:t>’</w:t>
      </w:r>
      <w:r w:rsidRPr="00906DD7">
        <w:rPr>
          <w:lang w:val="fr-FR"/>
        </w:rPr>
        <w:t>élaborer une épreuve permettant de certifier qu</w:t>
      </w:r>
      <w:r w:rsidR="00906DD7" w:rsidRPr="00906DD7">
        <w:rPr>
          <w:lang w:val="fr-FR"/>
        </w:rPr>
        <w:t>’</w:t>
      </w:r>
      <w:r w:rsidRPr="00906DD7">
        <w:rPr>
          <w:lang w:val="fr-FR"/>
        </w:rPr>
        <w:t xml:space="preserve">une </w:t>
      </w:r>
      <w:r w:rsidR="008A4A07">
        <w:rPr>
          <w:lang w:val="fr-FR"/>
        </w:rPr>
        <w:t>pile était totalement sûre. Les </w:t>
      </w:r>
      <w:r w:rsidRPr="00906DD7">
        <w:rPr>
          <w:lang w:val="fr-FR"/>
        </w:rPr>
        <w:t>méthodes actuelles d</w:t>
      </w:r>
      <w:r w:rsidR="00906DD7" w:rsidRPr="00906DD7">
        <w:rPr>
          <w:lang w:val="fr-FR"/>
        </w:rPr>
        <w:t>’</w:t>
      </w:r>
      <w:r w:rsidRPr="00906DD7">
        <w:rPr>
          <w:lang w:val="fr-FR"/>
        </w:rPr>
        <w:t>épreuve préalable ont été examinées.</w:t>
      </w:r>
    </w:p>
    <w:p w:rsidR="00A3624C" w:rsidRPr="00906DD7" w:rsidRDefault="00A3624C" w:rsidP="00E03A51">
      <w:pPr>
        <w:pStyle w:val="ParNoG"/>
        <w:rPr>
          <w:lang w:val="fr-FR"/>
        </w:rPr>
      </w:pPr>
      <w:r w:rsidRPr="00906DD7">
        <w:rPr>
          <w:lang w:val="fr-FR"/>
        </w:rPr>
        <w:t>Les participants ont examiné les préoccupations relatives à la vapeur et aux gaz produits par l</w:t>
      </w:r>
      <w:r w:rsidR="00906DD7" w:rsidRPr="00906DD7">
        <w:rPr>
          <w:lang w:val="fr-FR"/>
        </w:rPr>
        <w:t>’</w:t>
      </w:r>
      <w:r w:rsidRPr="00906DD7">
        <w:rPr>
          <w:lang w:val="fr-FR"/>
        </w:rPr>
        <w:t>emballement thermique. Les épreuves ne faisaient pas de distinction entre la production de gaz ou de vapeur. Elles montraient qu</w:t>
      </w:r>
      <w:r w:rsidR="00906DD7" w:rsidRPr="00906DD7">
        <w:rPr>
          <w:lang w:val="fr-FR"/>
        </w:rPr>
        <w:t>’</w:t>
      </w:r>
      <w:r w:rsidRPr="00906DD7">
        <w:rPr>
          <w:lang w:val="fr-FR"/>
        </w:rPr>
        <w:t>il existait de multiples formes de défaillance, notamment la projection d</w:t>
      </w:r>
      <w:r w:rsidR="00906DD7" w:rsidRPr="00906DD7">
        <w:rPr>
          <w:lang w:val="fr-FR"/>
        </w:rPr>
        <w:t>’</w:t>
      </w:r>
      <w:r w:rsidRPr="00906DD7">
        <w:rPr>
          <w:lang w:val="fr-FR"/>
        </w:rPr>
        <w:t>une pile ou d</w:t>
      </w:r>
      <w:r w:rsidR="00906DD7" w:rsidRPr="00906DD7">
        <w:rPr>
          <w:lang w:val="fr-FR"/>
        </w:rPr>
        <w:t>’</w:t>
      </w:r>
      <w:r w:rsidRPr="00906DD7">
        <w:rPr>
          <w:lang w:val="fr-FR"/>
        </w:rPr>
        <w:t>une flamme hors de l</w:t>
      </w:r>
      <w:r w:rsidR="00906DD7" w:rsidRPr="00906DD7">
        <w:rPr>
          <w:lang w:val="fr-FR"/>
        </w:rPr>
        <w:t>’</w:t>
      </w:r>
      <w:r w:rsidRPr="00906DD7">
        <w:rPr>
          <w:lang w:val="fr-FR"/>
        </w:rPr>
        <w:t>emballage. L</w:t>
      </w:r>
      <w:r w:rsidR="00906DD7" w:rsidRPr="00906DD7">
        <w:rPr>
          <w:lang w:val="fr-FR"/>
        </w:rPr>
        <w:t>’</w:t>
      </w:r>
      <w:r w:rsidRPr="00906DD7">
        <w:rPr>
          <w:lang w:val="fr-FR"/>
        </w:rPr>
        <w:t>état de la charge était également examiné et nécessitait de soumettre à l</w:t>
      </w:r>
      <w:r w:rsidR="00906DD7" w:rsidRPr="00906DD7">
        <w:rPr>
          <w:lang w:val="fr-FR"/>
        </w:rPr>
        <w:t>’</w:t>
      </w:r>
      <w:r w:rsidRPr="00906DD7">
        <w:rPr>
          <w:lang w:val="fr-FR"/>
        </w:rPr>
        <w:t>épreuve une batterie ayant une charge de 110 % au moment de sa présentation au transport. Le groupe de travail s</w:t>
      </w:r>
      <w:r w:rsidR="00906DD7" w:rsidRPr="00906DD7">
        <w:rPr>
          <w:lang w:val="fr-FR"/>
        </w:rPr>
        <w:t>’</w:t>
      </w:r>
      <w:r w:rsidRPr="00906DD7">
        <w:rPr>
          <w:lang w:val="fr-FR"/>
        </w:rPr>
        <w:t>est demandé si les matériaux absorbant ou dissipant la chaleur étaient examinés dans le cadre de ces travaux. Des participants ont expliqué que le secteur des emballages s</w:t>
      </w:r>
      <w:r w:rsidR="00906DD7" w:rsidRPr="00906DD7">
        <w:rPr>
          <w:lang w:val="fr-FR"/>
        </w:rPr>
        <w:t>’</w:t>
      </w:r>
      <w:r w:rsidRPr="00906DD7">
        <w:rPr>
          <w:lang w:val="fr-FR"/>
        </w:rPr>
        <w:t>employait activement à mettre au point de nouveaux types d</w:t>
      </w:r>
      <w:r w:rsidR="00906DD7" w:rsidRPr="00906DD7">
        <w:rPr>
          <w:lang w:val="fr-FR"/>
        </w:rPr>
        <w:t>’</w:t>
      </w:r>
      <w:r w:rsidRPr="00906DD7">
        <w:rPr>
          <w:lang w:val="fr-FR"/>
        </w:rPr>
        <w:t>emballage et que certains d</w:t>
      </w:r>
      <w:r w:rsidR="00906DD7" w:rsidRPr="00906DD7">
        <w:rPr>
          <w:lang w:val="fr-FR"/>
        </w:rPr>
        <w:t>’</w:t>
      </w:r>
      <w:r w:rsidRPr="00906DD7">
        <w:rPr>
          <w:lang w:val="fr-FR"/>
        </w:rPr>
        <w:t>entre eux contenaient des matériaux dissipant la chaleur.</w:t>
      </w:r>
    </w:p>
    <w:p w:rsidR="00A3624C" w:rsidRPr="00906DD7" w:rsidRDefault="00A3624C" w:rsidP="00E03A51">
      <w:pPr>
        <w:pStyle w:val="ParNoG"/>
        <w:rPr>
          <w:lang w:val="fr-FR"/>
        </w:rPr>
      </w:pPr>
      <w:r w:rsidRPr="00906DD7">
        <w:rPr>
          <w:lang w:val="fr-FR"/>
        </w:rPr>
        <w:t>Des préoccupations ont été exprimées concernant la manière dont les résultats des travaux du G-27 seraient intégrés dans les règlements et appliqués dans l</w:t>
      </w:r>
      <w:r w:rsidR="00906DD7" w:rsidRPr="00906DD7">
        <w:rPr>
          <w:lang w:val="fr-FR"/>
        </w:rPr>
        <w:t>’</w:t>
      </w:r>
      <w:r w:rsidR="008A4A07">
        <w:rPr>
          <w:lang w:val="fr-FR"/>
        </w:rPr>
        <w:t>industrie. Ces </w:t>
      </w:r>
      <w:r w:rsidRPr="00906DD7">
        <w:rPr>
          <w:lang w:val="fr-FR"/>
        </w:rPr>
        <w:t>résultats pourraient être très complexes, si bien que les expéditeurs pourraient être désorientés et ne pas arriver à déterminer quels emballages avaient été testés et homologués pour quels types de batterie. Il a été rappelé au groupe de travail que les activités du G-27 consistaient à tester des emballages de batterie, alors que le groupe de travail informel étudiait la manière de classer les dangers relatifs présentés p</w:t>
      </w:r>
      <w:r w:rsidR="008A4A07">
        <w:rPr>
          <w:lang w:val="fr-FR"/>
        </w:rPr>
        <w:t>ar les batteries au lithium. Le </w:t>
      </w:r>
      <w:r w:rsidRPr="00906DD7">
        <w:rPr>
          <w:lang w:val="fr-FR"/>
        </w:rPr>
        <w:t>groupe de travail a constaté que les méthodes d</w:t>
      </w:r>
      <w:r w:rsidR="00906DD7" w:rsidRPr="00906DD7">
        <w:rPr>
          <w:lang w:val="fr-FR"/>
        </w:rPr>
        <w:t>’</w:t>
      </w:r>
      <w:r w:rsidRPr="00906DD7">
        <w:rPr>
          <w:lang w:val="fr-FR"/>
        </w:rPr>
        <w:t>épreuve envisagées commençaient par la défaillance d</w:t>
      </w:r>
      <w:r w:rsidR="00906DD7" w:rsidRPr="00906DD7">
        <w:rPr>
          <w:lang w:val="fr-FR"/>
        </w:rPr>
        <w:t>’</w:t>
      </w:r>
      <w:r w:rsidRPr="00906DD7">
        <w:rPr>
          <w:lang w:val="fr-FR"/>
        </w:rPr>
        <w:t>une pile, qui se propageait ensuite sans nécessairement produire de la chaleur ou enclencher une réaction dans l</w:t>
      </w:r>
      <w:r w:rsidR="00906DD7" w:rsidRPr="00906DD7">
        <w:rPr>
          <w:lang w:val="fr-FR"/>
        </w:rPr>
        <w:t>’</w:t>
      </w:r>
      <w:r w:rsidRPr="00906DD7">
        <w:rPr>
          <w:lang w:val="fr-FR"/>
        </w:rPr>
        <w:t>ensemble de la batterie. Il s</w:t>
      </w:r>
      <w:r w:rsidR="00906DD7" w:rsidRPr="00906DD7">
        <w:rPr>
          <w:lang w:val="fr-FR"/>
        </w:rPr>
        <w:t>’</w:t>
      </w:r>
      <w:r w:rsidRPr="00906DD7">
        <w:rPr>
          <w:lang w:val="fr-FR"/>
        </w:rPr>
        <w:t>est demandé s</w:t>
      </w:r>
      <w:r w:rsidR="00906DD7" w:rsidRPr="00906DD7">
        <w:rPr>
          <w:lang w:val="fr-FR"/>
        </w:rPr>
        <w:t>’</w:t>
      </w:r>
      <w:r w:rsidRPr="00906DD7">
        <w:rPr>
          <w:lang w:val="fr-FR"/>
        </w:rPr>
        <w:t>il était possible d</w:t>
      </w:r>
      <w:r w:rsidR="00906DD7" w:rsidRPr="00906DD7">
        <w:rPr>
          <w:lang w:val="fr-FR"/>
        </w:rPr>
        <w:t>’</w:t>
      </w:r>
      <w:r w:rsidRPr="00906DD7">
        <w:rPr>
          <w:lang w:val="fr-FR"/>
        </w:rPr>
        <w:t xml:space="preserve">élaborer des épreuves utilisant les courts-circuits </w:t>
      </w:r>
      <w:r w:rsidR="00B93F77">
        <w:rPr>
          <w:lang w:val="fr-FR"/>
        </w:rPr>
        <w:t>pour déclencher</w:t>
      </w:r>
      <w:r w:rsidRPr="00906DD7">
        <w:rPr>
          <w:lang w:val="fr-FR"/>
        </w:rPr>
        <w:t xml:space="preserve"> </w:t>
      </w:r>
      <w:r w:rsidR="00B93F77">
        <w:rPr>
          <w:lang w:val="fr-FR"/>
        </w:rPr>
        <w:t>la réaction. En </w:t>
      </w:r>
      <w:r w:rsidRPr="00906DD7">
        <w:rPr>
          <w:lang w:val="fr-FR"/>
        </w:rPr>
        <w:t>conclusion, il a été précisé que le G-27 prévoyait d</w:t>
      </w:r>
      <w:r w:rsidR="00906DD7" w:rsidRPr="00906DD7">
        <w:rPr>
          <w:lang w:val="fr-FR"/>
        </w:rPr>
        <w:t>’</w:t>
      </w:r>
      <w:r w:rsidRPr="00906DD7">
        <w:rPr>
          <w:lang w:val="fr-FR"/>
        </w:rPr>
        <w:t>achever l</w:t>
      </w:r>
      <w:r w:rsidR="00906DD7" w:rsidRPr="00906DD7">
        <w:rPr>
          <w:lang w:val="fr-FR"/>
        </w:rPr>
        <w:t>’</w:t>
      </w:r>
      <w:r w:rsidRPr="00906DD7">
        <w:rPr>
          <w:lang w:val="fr-FR"/>
        </w:rPr>
        <w:t>élaboration de la norme à ce sujet à la fin de 2017.</w:t>
      </w:r>
    </w:p>
    <w:p w:rsidR="00A3624C" w:rsidRPr="00906DD7" w:rsidRDefault="00A3624C" w:rsidP="00E03A51">
      <w:pPr>
        <w:pStyle w:val="H1G"/>
        <w:rPr>
          <w:lang w:val="fr-FR"/>
        </w:rPr>
      </w:pPr>
      <w:r w:rsidRPr="00906DD7">
        <w:rPr>
          <w:lang w:val="fr-FR"/>
        </w:rPr>
        <w:tab/>
      </w:r>
      <w:r w:rsidRPr="00906DD7">
        <w:rPr>
          <w:lang w:val="fr-FR"/>
        </w:rPr>
        <w:tab/>
        <w:t>Séance de réf</w:t>
      </w:r>
      <w:r w:rsidR="00E03A51">
        <w:rPr>
          <w:lang w:val="fr-FR"/>
        </w:rPr>
        <w:t>lexion sur les effets dangereux</w:t>
      </w:r>
    </w:p>
    <w:p w:rsidR="00A3624C" w:rsidRPr="00906DD7" w:rsidRDefault="00A3624C" w:rsidP="00E03A51">
      <w:pPr>
        <w:pStyle w:val="ParNoG"/>
        <w:rPr>
          <w:lang w:val="fr-FR"/>
        </w:rPr>
      </w:pPr>
      <w:r w:rsidRPr="00906DD7">
        <w:rPr>
          <w:lang w:val="fr-FR"/>
        </w:rPr>
        <w:t>Le groupe de travail informel a organisé une séance de réflexion ouverte en vue de recenser et d</w:t>
      </w:r>
      <w:r w:rsidR="00906DD7" w:rsidRPr="00906DD7">
        <w:rPr>
          <w:lang w:val="fr-FR"/>
        </w:rPr>
        <w:t>’</w:t>
      </w:r>
      <w:r w:rsidRPr="00906DD7">
        <w:rPr>
          <w:lang w:val="fr-FR"/>
        </w:rPr>
        <w:t xml:space="preserve">examiner les effets dangereux qui devraient être pris en considération dans le cadre du processus de classification. Le </w:t>
      </w:r>
      <w:r w:rsidR="00B93F77">
        <w:rPr>
          <w:lang w:val="fr-FR"/>
        </w:rPr>
        <w:t>t</w:t>
      </w:r>
      <w:r w:rsidRPr="00906DD7">
        <w:rPr>
          <w:lang w:val="fr-FR"/>
        </w:rPr>
        <w:t>ableau des caractéristiques de danger (voir annexe) énumère les dangers recensés, les motifs de préoccupation, les paramètres à mesurer, et contient des remarques générales à ce sujet.</w:t>
      </w:r>
    </w:p>
    <w:p w:rsidR="00A3624C" w:rsidRPr="00906DD7" w:rsidRDefault="00A3624C" w:rsidP="00E03A51">
      <w:pPr>
        <w:pStyle w:val="ParNoG"/>
        <w:rPr>
          <w:lang w:val="fr-FR"/>
        </w:rPr>
      </w:pPr>
      <w:r w:rsidRPr="00906DD7">
        <w:rPr>
          <w:lang w:val="fr-FR"/>
        </w:rPr>
        <w:t>Le groupe de travail a recommandé aux participants de continuer à recueillir et à communiquer des informations sur les questions en suspens en vue de déterminer quelles épreuves seraient appropriées pour les différentes catégories de danger.</w:t>
      </w:r>
    </w:p>
    <w:p w:rsidR="00A3624C" w:rsidRPr="00906DD7" w:rsidRDefault="00A3624C" w:rsidP="00E03A51">
      <w:pPr>
        <w:pStyle w:val="H1G"/>
        <w:rPr>
          <w:lang w:val="fr-FR"/>
        </w:rPr>
      </w:pPr>
      <w:r w:rsidRPr="00906DD7">
        <w:rPr>
          <w:lang w:val="fr-FR"/>
        </w:rPr>
        <w:tab/>
      </w:r>
      <w:r w:rsidRPr="00906DD7">
        <w:rPr>
          <w:lang w:val="fr-FR"/>
        </w:rPr>
        <w:tab/>
        <w:t>Débat sur le déclenchement de la réaction</w:t>
      </w:r>
    </w:p>
    <w:p w:rsidR="00A3624C" w:rsidRPr="00906DD7" w:rsidRDefault="00A3624C" w:rsidP="00E03A51">
      <w:pPr>
        <w:pStyle w:val="ParNoG"/>
        <w:rPr>
          <w:lang w:val="fr-FR"/>
        </w:rPr>
      </w:pPr>
      <w:r w:rsidRPr="00906DD7">
        <w:rPr>
          <w:lang w:val="fr-FR"/>
        </w:rPr>
        <w:t xml:space="preserve">Le groupe de travail informel a examiné les problèmes liés au déclenchement de la réaction. Il serait très difficile </w:t>
      </w:r>
      <w:r w:rsidR="00354CBA">
        <w:rPr>
          <w:lang w:val="fr-FR"/>
        </w:rPr>
        <w:t xml:space="preserve">de provoquer </w:t>
      </w:r>
      <w:r w:rsidRPr="00906DD7">
        <w:rPr>
          <w:lang w:val="fr-FR"/>
        </w:rPr>
        <w:t xml:space="preserve">un court-circuit externe pour </w:t>
      </w:r>
      <w:r w:rsidR="00354CBA">
        <w:rPr>
          <w:lang w:val="fr-FR"/>
        </w:rPr>
        <w:t xml:space="preserve">créer </w:t>
      </w:r>
      <w:r w:rsidRPr="00906DD7">
        <w:rPr>
          <w:lang w:val="fr-FR"/>
        </w:rPr>
        <w:t>une réaction d</w:t>
      </w:r>
      <w:r w:rsidR="00906DD7" w:rsidRPr="00906DD7">
        <w:rPr>
          <w:lang w:val="fr-FR"/>
        </w:rPr>
        <w:t>’</w:t>
      </w:r>
      <w:r w:rsidRPr="00906DD7">
        <w:rPr>
          <w:lang w:val="fr-FR"/>
        </w:rPr>
        <w:t xml:space="preserve">emballement thermique dans </w:t>
      </w:r>
      <w:r w:rsidR="00354CBA">
        <w:rPr>
          <w:lang w:val="fr-FR"/>
        </w:rPr>
        <w:t xml:space="preserve">les conditions les plus </w:t>
      </w:r>
      <w:r w:rsidRPr="00906DD7">
        <w:rPr>
          <w:lang w:val="fr-FR"/>
        </w:rPr>
        <w:t>défavorable</w:t>
      </w:r>
      <w:r w:rsidR="00354CBA">
        <w:rPr>
          <w:lang w:val="fr-FR"/>
        </w:rPr>
        <w:t>s</w:t>
      </w:r>
      <w:r w:rsidRPr="00906DD7">
        <w:rPr>
          <w:lang w:val="fr-FR"/>
        </w:rPr>
        <w:t>. Le court-circuit actuellement prévu dans la sous-section</w:t>
      </w:r>
      <w:r w:rsidR="00E03A51">
        <w:rPr>
          <w:lang w:val="fr-FR"/>
        </w:rPr>
        <w:t> </w:t>
      </w:r>
      <w:r w:rsidRPr="00906DD7">
        <w:rPr>
          <w:lang w:val="fr-FR"/>
        </w:rPr>
        <w:t>38.3 ne produirait pas la situation la plus défavorable recherchée. L</w:t>
      </w:r>
      <w:r w:rsidR="00906DD7" w:rsidRPr="00906DD7">
        <w:rPr>
          <w:lang w:val="fr-FR"/>
        </w:rPr>
        <w:t>’</w:t>
      </w:r>
      <w:r w:rsidRPr="00906DD7">
        <w:rPr>
          <w:lang w:val="fr-FR"/>
        </w:rPr>
        <w:t>épreuve de court-circuit porte sur une situation liée à une mauvaise utilisation et n</w:t>
      </w:r>
      <w:r w:rsidR="00906DD7" w:rsidRPr="00906DD7">
        <w:rPr>
          <w:lang w:val="fr-FR"/>
        </w:rPr>
        <w:t>’</w:t>
      </w:r>
      <w:r w:rsidRPr="00906DD7">
        <w:rPr>
          <w:lang w:val="fr-FR"/>
        </w:rPr>
        <w:t>atteint pas l</w:t>
      </w:r>
      <w:r w:rsidR="00906DD7" w:rsidRPr="00906DD7">
        <w:rPr>
          <w:lang w:val="fr-FR"/>
        </w:rPr>
        <w:t>’</w:t>
      </w:r>
      <w:r w:rsidRPr="00906DD7">
        <w:rPr>
          <w:lang w:val="fr-FR"/>
        </w:rPr>
        <w:t>objectif d</w:t>
      </w:r>
      <w:r w:rsidR="00906DD7" w:rsidRPr="00906DD7">
        <w:rPr>
          <w:lang w:val="fr-FR"/>
        </w:rPr>
        <w:t>’</w:t>
      </w:r>
      <w:r w:rsidRPr="00906DD7">
        <w:rPr>
          <w:lang w:val="fr-FR"/>
        </w:rPr>
        <w:t>une épreuve destructive. Des participants ont estimé qu</w:t>
      </w:r>
      <w:r w:rsidR="00906DD7" w:rsidRPr="00906DD7">
        <w:rPr>
          <w:lang w:val="fr-FR"/>
        </w:rPr>
        <w:t>’</w:t>
      </w:r>
      <w:r w:rsidRPr="00906DD7">
        <w:rPr>
          <w:lang w:val="fr-FR"/>
        </w:rPr>
        <w:t>il était nécessaire qu</w:t>
      </w:r>
      <w:r w:rsidR="00906DD7" w:rsidRPr="00906DD7">
        <w:rPr>
          <w:lang w:val="fr-FR"/>
        </w:rPr>
        <w:t>’</w:t>
      </w:r>
      <w:r w:rsidRPr="00906DD7">
        <w:rPr>
          <w:lang w:val="fr-FR"/>
        </w:rPr>
        <w:t>il y ait une réaction dans tous les cas et qu</w:t>
      </w:r>
      <w:r w:rsidR="00906DD7" w:rsidRPr="00906DD7">
        <w:rPr>
          <w:lang w:val="fr-FR"/>
        </w:rPr>
        <w:t>’</w:t>
      </w:r>
      <w:r w:rsidRPr="00906DD7">
        <w:rPr>
          <w:lang w:val="fr-FR"/>
        </w:rPr>
        <w:t>un court-circuit pourrait ne pas être facilement reproductible. Une épreuve du brasier pourrait être trop destructive, mais une source de flammes pourrait être utilisée (incendie de liquide inflammable, etc.). La production de chaleur semblait plus facilement reproductible que les courts-circuits. Certains ont estimé que l</w:t>
      </w:r>
      <w:r w:rsidR="00906DD7" w:rsidRPr="00906DD7">
        <w:rPr>
          <w:lang w:val="fr-FR"/>
        </w:rPr>
        <w:t>’</w:t>
      </w:r>
      <w:r w:rsidRPr="00906DD7">
        <w:rPr>
          <w:lang w:val="fr-FR"/>
        </w:rPr>
        <w:t>on pourrait adopter des modes de déclenchement différents pour les piles et les batteries. La probabilité qu</w:t>
      </w:r>
      <w:r w:rsidR="00906DD7" w:rsidRPr="00906DD7">
        <w:rPr>
          <w:lang w:val="fr-FR"/>
        </w:rPr>
        <w:t>’</w:t>
      </w:r>
      <w:r w:rsidRPr="00906DD7">
        <w:rPr>
          <w:lang w:val="fr-FR"/>
        </w:rPr>
        <w:t>une pile produise une réaction était très supérieure à la probabilité que deux piles ou plus le fassent. Il a donc été envisagé comme préférable de simuler la réaction d</w:t>
      </w:r>
      <w:r w:rsidR="00906DD7" w:rsidRPr="00906DD7">
        <w:rPr>
          <w:lang w:val="fr-FR"/>
        </w:rPr>
        <w:t>’</w:t>
      </w:r>
      <w:r w:rsidRPr="00906DD7">
        <w:rPr>
          <w:lang w:val="fr-FR"/>
        </w:rPr>
        <w:t>une seule pile dans une batterie.</w:t>
      </w:r>
    </w:p>
    <w:p w:rsidR="00A3624C" w:rsidRPr="00906DD7" w:rsidRDefault="00A3624C" w:rsidP="00E03A51">
      <w:pPr>
        <w:pStyle w:val="ParNoG"/>
        <w:rPr>
          <w:lang w:val="fr-FR"/>
        </w:rPr>
      </w:pPr>
      <w:r w:rsidRPr="00906DD7">
        <w:rPr>
          <w:lang w:val="fr-FR"/>
        </w:rPr>
        <w:t>Le groupe de travail informel a décidé que la procédure d</w:t>
      </w:r>
      <w:r w:rsidR="00906DD7" w:rsidRPr="00906DD7">
        <w:rPr>
          <w:lang w:val="fr-FR"/>
        </w:rPr>
        <w:t>’</w:t>
      </w:r>
      <w:r w:rsidRPr="00906DD7">
        <w:rPr>
          <w:lang w:val="fr-FR"/>
        </w:rPr>
        <w:t>épreuve devrait être conçue pour faire en sorte que l</w:t>
      </w:r>
      <w:r w:rsidR="00906DD7" w:rsidRPr="00906DD7">
        <w:rPr>
          <w:lang w:val="fr-FR"/>
        </w:rPr>
        <w:t>’</w:t>
      </w:r>
      <w:r w:rsidRPr="00906DD7">
        <w:rPr>
          <w:lang w:val="fr-FR"/>
        </w:rPr>
        <w:t>emballement ou une autre réaction thermique soit certaine. Le déclenchement par des moyens électriques n</w:t>
      </w:r>
      <w:r w:rsidR="00906DD7" w:rsidRPr="00906DD7">
        <w:rPr>
          <w:lang w:val="fr-FR"/>
        </w:rPr>
        <w:t>’</w:t>
      </w:r>
      <w:r w:rsidRPr="00906DD7">
        <w:rPr>
          <w:lang w:val="fr-FR"/>
        </w:rPr>
        <w:t>était pas certain. Les recherches concernant les épreuves devraient déterminer si les réactions étaient différentes avec différentes méthodes de déclenchement (incendie, rayonnement calorifique, électricité). La quantité d</w:t>
      </w:r>
      <w:r w:rsidR="00906DD7" w:rsidRPr="00906DD7">
        <w:rPr>
          <w:lang w:val="fr-FR"/>
        </w:rPr>
        <w:t>’</w:t>
      </w:r>
      <w:r w:rsidRPr="00906DD7">
        <w:rPr>
          <w:lang w:val="fr-FR"/>
        </w:rPr>
        <w:t>énergie libérée au cours d</w:t>
      </w:r>
      <w:r w:rsidR="00906DD7" w:rsidRPr="00906DD7">
        <w:rPr>
          <w:lang w:val="fr-FR"/>
        </w:rPr>
        <w:t>’</w:t>
      </w:r>
      <w:r w:rsidRPr="00906DD7">
        <w:rPr>
          <w:lang w:val="fr-FR"/>
        </w:rPr>
        <w:t xml:space="preserve">un </w:t>
      </w:r>
      <w:r w:rsidR="00813A8C">
        <w:rPr>
          <w:lang w:val="fr-FR"/>
        </w:rPr>
        <w:t>incident</w:t>
      </w:r>
      <w:r w:rsidRPr="00906DD7">
        <w:rPr>
          <w:lang w:val="fr-FR"/>
        </w:rPr>
        <w:t xml:space="preserve"> devrait être comparée à la quantité d</w:t>
      </w:r>
      <w:r w:rsidR="00906DD7" w:rsidRPr="00906DD7">
        <w:rPr>
          <w:lang w:val="fr-FR"/>
        </w:rPr>
        <w:t>’</w:t>
      </w:r>
      <w:r w:rsidRPr="00906DD7">
        <w:rPr>
          <w:lang w:val="fr-FR"/>
        </w:rPr>
        <w:t>énergie utilisée pour enclencher la réaction. Étant donné que certaines méthodes d</w:t>
      </w:r>
      <w:r w:rsidR="00906DD7" w:rsidRPr="00906DD7">
        <w:rPr>
          <w:lang w:val="fr-FR"/>
        </w:rPr>
        <w:t>’</w:t>
      </w:r>
      <w:r w:rsidRPr="00906DD7">
        <w:rPr>
          <w:lang w:val="fr-FR"/>
        </w:rPr>
        <w:t>épreuve exerçaient une plus forte pression que d</w:t>
      </w:r>
      <w:r w:rsidR="00906DD7" w:rsidRPr="00906DD7">
        <w:rPr>
          <w:lang w:val="fr-FR"/>
        </w:rPr>
        <w:t>’</w:t>
      </w:r>
      <w:r w:rsidRPr="00906DD7">
        <w:rPr>
          <w:lang w:val="fr-FR"/>
        </w:rPr>
        <w:t>autres méthodes, des épreuves préalables pouvaient être envisagées. Certains participants ont estimé qu</w:t>
      </w:r>
      <w:r w:rsidR="00906DD7" w:rsidRPr="00906DD7">
        <w:rPr>
          <w:lang w:val="fr-FR"/>
        </w:rPr>
        <w:t>’</w:t>
      </w:r>
      <w:r w:rsidRPr="00906DD7">
        <w:rPr>
          <w:lang w:val="fr-FR"/>
        </w:rPr>
        <w:t>il était important que les épreuves soient suffisamment flexibles pour prendre en considération les différentes conceptions et propriétés chimiques. Il a été indiqué que le G-27 avait examiné la même question et avait conclu que l</w:t>
      </w:r>
      <w:r w:rsidR="00906DD7" w:rsidRPr="00906DD7">
        <w:rPr>
          <w:lang w:val="fr-FR"/>
        </w:rPr>
        <w:t>’</w:t>
      </w:r>
      <w:r w:rsidRPr="00906DD7">
        <w:rPr>
          <w:lang w:val="fr-FR"/>
        </w:rPr>
        <w:t>utilisation d</w:t>
      </w:r>
      <w:r w:rsidR="00906DD7" w:rsidRPr="00906DD7">
        <w:rPr>
          <w:lang w:val="fr-FR"/>
        </w:rPr>
        <w:t>’</w:t>
      </w:r>
      <w:r w:rsidRPr="00906DD7">
        <w:rPr>
          <w:lang w:val="fr-FR"/>
        </w:rPr>
        <w:t xml:space="preserve">une cartouche chauffante était la </w:t>
      </w:r>
      <w:r w:rsidR="00E03A51">
        <w:rPr>
          <w:lang w:val="fr-FR"/>
        </w:rPr>
        <w:t>méthode la plus souhaitable. Le </w:t>
      </w:r>
      <w:r w:rsidRPr="00906DD7">
        <w:rPr>
          <w:lang w:val="fr-FR"/>
        </w:rPr>
        <w:t>Président a rappelé que le Sous-Comité avait pour mandat de recenser les dangers présentés par les batteries au lithium et les épreuves qui pouvaient être utilisées pour évaluer la gravité de ces dangers. Ces épreuves devaient être pratiques ou utiles de manière concrète et pourraient alors servir de base pour la classification des batteries au lithium à l</w:t>
      </w:r>
      <w:r w:rsidR="00906DD7" w:rsidRPr="00906DD7">
        <w:rPr>
          <w:lang w:val="fr-FR"/>
        </w:rPr>
        <w:t>’</w:t>
      </w:r>
      <w:r w:rsidRPr="00906DD7">
        <w:rPr>
          <w:lang w:val="fr-FR"/>
        </w:rPr>
        <w:t>avenir. Par conséquent, la compréhension des différences entre les réactions enclenchées par les diverses méthodes aurait une incidence sur la conception des épreuves. L</w:t>
      </w:r>
      <w:r w:rsidR="00E03A51">
        <w:rPr>
          <w:lang w:val="fr-FR"/>
        </w:rPr>
        <w:t>es </w:t>
      </w:r>
      <w:r w:rsidRPr="00906DD7">
        <w:rPr>
          <w:lang w:val="fr-FR"/>
        </w:rPr>
        <w:t>participants ont évoqué le fait que chaque type de pile et de batterie présentait à la fois des dangers chimiques et électriques, mais que les méthodes de déclenchement électriques étaient plus difficiles à imposer. Certains participants ont confirmé sur la base de leur expérience que la pression, la chaleur, la composition du gaz et la réaction variaient considérablement en fonction de la méthode de déclenchement.</w:t>
      </w:r>
    </w:p>
    <w:p w:rsidR="00A3624C" w:rsidRPr="00906DD7" w:rsidRDefault="00A3624C" w:rsidP="00E03A51">
      <w:pPr>
        <w:pStyle w:val="ParNoG"/>
        <w:rPr>
          <w:lang w:val="fr-FR"/>
        </w:rPr>
      </w:pPr>
      <w:r w:rsidRPr="00906DD7">
        <w:rPr>
          <w:lang w:val="fr-FR"/>
        </w:rPr>
        <w:t>Des participants ont estimé que la propagation était une préoccupation essentielle et que par conséquent la méthode de déclenchement utilisée sur la première pile n</w:t>
      </w:r>
      <w:r w:rsidR="00906DD7" w:rsidRPr="00906DD7">
        <w:rPr>
          <w:lang w:val="fr-FR"/>
        </w:rPr>
        <w:t>’</w:t>
      </w:r>
      <w:r w:rsidRPr="00906DD7">
        <w:rPr>
          <w:lang w:val="fr-FR"/>
        </w:rPr>
        <w:t>était peut-être pas tellement importante pourvu que l</w:t>
      </w:r>
      <w:r w:rsidR="00906DD7" w:rsidRPr="00906DD7">
        <w:rPr>
          <w:lang w:val="fr-FR"/>
        </w:rPr>
        <w:t>’</w:t>
      </w:r>
      <w:r w:rsidRPr="00906DD7">
        <w:rPr>
          <w:lang w:val="fr-FR"/>
        </w:rPr>
        <w:t>emballement thermique ait commencé. Si une pile résistait à la chaleur et à l</w:t>
      </w:r>
      <w:r w:rsidR="00906DD7" w:rsidRPr="00906DD7">
        <w:rPr>
          <w:lang w:val="fr-FR"/>
        </w:rPr>
        <w:t>’</w:t>
      </w:r>
      <w:r w:rsidRPr="00906DD7">
        <w:rPr>
          <w:lang w:val="fr-FR"/>
        </w:rPr>
        <w:t>emballement thermique, elle pouvait alors être considérée comme une pile plus sûre. Mais il était aussi important d</w:t>
      </w:r>
      <w:r w:rsidR="00906DD7" w:rsidRPr="00906DD7">
        <w:rPr>
          <w:lang w:val="fr-FR"/>
        </w:rPr>
        <w:t>’</w:t>
      </w:r>
      <w:r w:rsidRPr="00906DD7">
        <w:rPr>
          <w:lang w:val="fr-FR"/>
        </w:rPr>
        <w:t xml:space="preserve">élaborer une épreuve représentative des modes de déclenchement </w:t>
      </w:r>
      <w:r w:rsidR="00131C71">
        <w:rPr>
          <w:lang w:val="fr-FR"/>
        </w:rPr>
        <w:t>dans des conditions réelles</w:t>
      </w:r>
      <w:r w:rsidRPr="00906DD7">
        <w:rPr>
          <w:lang w:val="fr-FR"/>
        </w:rPr>
        <w:t>.</w:t>
      </w:r>
    </w:p>
    <w:p w:rsidR="00A3624C" w:rsidRPr="00906DD7" w:rsidRDefault="00A3624C" w:rsidP="00E03A51">
      <w:pPr>
        <w:pStyle w:val="ParNoG"/>
        <w:rPr>
          <w:lang w:val="fr-FR"/>
        </w:rPr>
      </w:pPr>
      <w:r w:rsidRPr="00906DD7">
        <w:rPr>
          <w:lang w:val="fr-FR"/>
        </w:rPr>
        <w:t>Le Président a résumé le débat en rappelant qu</w:t>
      </w:r>
      <w:r w:rsidR="00906DD7" w:rsidRPr="00906DD7">
        <w:rPr>
          <w:lang w:val="fr-FR"/>
        </w:rPr>
        <w:t>’</w:t>
      </w:r>
      <w:r w:rsidRPr="00906DD7">
        <w:rPr>
          <w:lang w:val="fr-FR"/>
        </w:rPr>
        <w:t>il importait de savoir comment les différentes méthodes de déclenchement influaient sur les résultats. Les recherches à ce sujet pourraient comprendre l</w:t>
      </w:r>
      <w:r w:rsidR="00906DD7" w:rsidRPr="00906DD7">
        <w:rPr>
          <w:lang w:val="fr-FR"/>
        </w:rPr>
        <w:t>’</w:t>
      </w:r>
      <w:r w:rsidRPr="00906DD7">
        <w:rPr>
          <w:lang w:val="fr-FR"/>
        </w:rPr>
        <w:t>étude des ouvrages s</w:t>
      </w:r>
      <w:r w:rsidR="00906DD7" w:rsidRPr="00906DD7">
        <w:rPr>
          <w:lang w:val="fr-FR"/>
        </w:rPr>
        <w:t>’</w:t>
      </w:r>
      <w:r w:rsidRPr="00906DD7">
        <w:rPr>
          <w:lang w:val="fr-FR"/>
        </w:rPr>
        <w:t>y rapportant et des méthodes d</w:t>
      </w:r>
      <w:r w:rsidR="00906DD7" w:rsidRPr="00906DD7">
        <w:rPr>
          <w:lang w:val="fr-FR"/>
        </w:rPr>
        <w:t>’</w:t>
      </w:r>
      <w:r w:rsidRPr="00906DD7">
        <w:rPr>
          <w:lang w:val="fr-FR"/>
        </w:rPr>
        <w:t>épreuve existantes. Si les données suggéraient qu</w:t>
      </w:r>
      <w:r w:rsidR="00906DD7" w:rsidRPr="00906DD7">
        <w:rPr>
          <w:lang w:val="fr-FR"/>
        </w:rPr>
        <w:t>’</w:t>
      </w:r>
      <w:r w:rsidRPr="00906DD7">
        <w:rPr>
          <w:lang w:val="fr-FR"/>
        </w:rPr>
        <w:t>il existait des différences, des épreuves d</w:t>
      </w:r>
      <w:r w:rsidR="00906DD7" w:rsidRPr="00906DD7">
        <w:rPr>
          <w:lang w:val="fr-FR"/>
        </w:rPr>
        <w:t>’</w:t>
      </w:r>
      <w:r w:rsidRPr="00906DD7">
        <w:rPr>
          <w:lang w:val="fr-FR"/>
        </w:rPr>
        <w:t xml:space="preserve">investigation supplémentaires pourraient être effectuées. Si les données confirmaient que certaines méthodes </w:t>
      </w:r>
      <w:r w:rsidR="00907632">
        <w:rPr>
          <w:lang w:val="fr-FR"/>
        </w:rPr>
        <w:t>faussaient les résultats</w:t>
      </w:r>
      <w:r w:rsidRPr="00906DD7">
        <w:rPr>
          <w:lang w:val="fr-FR"/>
        </w:rPr>
        <w:t>, les méthodes d</w:t>
      </w:r>
      <w:r w:rsidR="00906DD7" w:rsidRPr="00906DD7">
        <w:rPr>
          <w:lang w:val="fr-FR"/>
        </w:rPr>
        <w:t>’</w:t>
      </w:r>
      <w:r w:rsidRPr="00906DD7">
        <w:rPr>
          <w:lang w:val="fr-FR"/>
        </w:rPr>
        <w:t xml:space="preserve">épreuve retenues pourraient être adaptées pour </w:t>
      </w:r>
      <w:r w:rsidR="00907632">
        <w:rPr>
          <w:lang w:val="fr-FR"/>
        </w:rPr>
        <w:t xml:space="preserve">y </w:t>
      </w:r>
      <w:r w:rsidRPr="00906DD7">
        <w:rPr>
          <w:lang w:val="fr-FR"/>
        </w:rPr>
        <w:t>remédier.</w:t>
      </w:r>
    </w:p>
    <w:p w:rsidR="00A3624C" w:rsidRPr="00906DD7" w:rsidRDefault="00A3624C" w:rsidP="006857F1">
      <w:pPr>
        <w:pStyle w:val="H1G"/>
        <w:rPr>
          <w:lang w:val="fr-FR"/>
        </w:rPr>
      </w:pPr>
      <w:r w:rsidRPr="00906DD7">
        <w:rPr>
          <w:lang w:val="fr-FR"/>
        </w:rPr>
        <w:tab/>
      </w:r>
      <w:r w:rsidRPr="00906DD7">
        <w:rPr>
          <w:lang w:val="fr-FR"/>
        </w:rPr>
        <w:tab/>
        <w:t>Débat sur les éléments à soumettre aux essais</w:t>
      </w:r>
    </w:p>
    <w:p w:rsidR="00A3624C" w:rsidRPr="00906DD7" w:rsidRDefault="00A3624C" w:rsidP="006857F1">
      <w:pPr>
        <w:pStyle w:val="ParNoG"/>
        <w:keepNext/>
        <w:keepLines/>
        <w:rPr>
          <w:lang w:val="fr-FR"/>
        </w:rPr>
      </w:pPr>
      <w:r w:rsidRPr="00906DD7">
        <w:rPr>
          <w:lang w:val="fr-FR"/>
        </w:rPr>
        <w:t>Le groupe de travail informel a examiné la question de savoir quels éléments devraient être soumis aux épreuves (pile, batterie, modules, un certain nombre de chacun de ces éléments). Les participants ont estimé que la réaction au niveau de la pile était l</w:t>
      </w:r>
      <w:r w:rsidR="00906DD7" w:rsidRPr="00906DD7">
        <w:rPr>
          <w:lang w:val="fr-FR"/>
        </w:rPr>
        <w:t>’</w:t>
      </w:r>
      <w:r w:rsidRPr="00906DD7">
        <w:rPr>
          <w:lang w:val="fr-FR"/>
        </w:rPr>
        <w:t>élément crucial. Les avis étaient partagés sur la question de savoir si les résultats des épreuves sur les batteries seraient équivalents à ceux qui seraient effectués sur les piles seules. Après un débat, il a été généralement convenu que cela dépendrait du danger à évaluer, de la nature du problème et de la conception de la batterie. Mais en cas d</w:t>
      </w:r>
      <w:r w:rsidR="00906DD7" w:rsidRPr="00906DD7">
        <w:rPr>
          <w:lang w:val="fr-FR"/>
        </w:rPr>
        <w:t>’</w:t>
      </w:r>
      <w:r w:rsidRPr="00906DD7">
        <w:rPr>
          <w:lang w:val="fr-FR"/>
        </w:rPr>
        <w:t>éclatement ou de production de chaleur, les batteries composées des piles concernées devraient aussi être soumises à l</w:t>
      </w:r>
      <w:r w:rsidR="00906DD7" w:rsidRPr="00906DD7">
        <w:rPr>
          <w:lang w:val="fr-FR"/>
        </w:rPr>
        <w:t>’</w:t>
      </w:r>
      <w:r w:rsidRPr="00906DD7">
        <w:rPr>
          <w:lang w:val="fr-FR"/>
        </w:rPr>
        <w:t>épreuve. Si les épreuves concernant les batteries devenaient une activité indépendante, les coûts afférents à ces épreuves pourraient devenir excessifs. Le groupe de travail a examiné la question de savoir si un emballage contenant 1</w:t>
      </w:r>
      <w:r w:rsidR="008A4A07">
        <w:rPr>
          <w:lang w:val="fr-FR"/>
        </w:rPr>
        <w:t> </w:t>
      </w:r>
      <w:r w:rsidRPr="00906DD7">
        <w:rPr>
          <w:lang w:val="fr-FR"/>
        </w:rPr>
        <w:t>000</w:t>
      </w:r>
      <w:r w:rsidR="008A4A07">
        <w:rPr>
          <w:lang w:val="fr-FR"/>
        </w:rPr>
        <w:t> </w:t>
      </w:r>
      <w:r w:rsidRPr="00906DD7">
        <w:rPr>
          <w:lang w:val="fr-FR"/>
        </w:rPr>
        <w:t>piles équivalait à une batterie contenant 1</w:t>
      </w:r>
      <w:r w:rsidR="00E03A51">
        <w:rPr>
          <w:lang w:val="fr-FR"/>
        </w:rPr>
        <w:t> </w:t>
      </w:r>
      <w:r w:rsidRPr="00906DD7">
        <w:rPr>
          <w:lang w:val="fr-FR"/>
        </w:rPr>
        <w:t>000</w:t>
      </w:r>
      <w:r w:rsidR="00E03A51">
        <w:rPr>
          <w:lang w:val="fr-FR"/>
        </w:rPr>
        <w:t> </w:t>
      </w:r>
      <w:r w:rsidRPr="00906DD7">
        <w:rPr>
          <w:lang w:val="fr-FR"/>
        </w:rPr>
        <w:t>piles. Des participants ont recommandé de réaliser des épreuves d</w:t>
      </w:r>
      <w:r w:rsidR="00906DD7" w:rsidRPr="00906DD7">
        <w:rPr>
          <w:lang w:val="fr-FR"/>
        </w:rPr>
        <w:t>’</w:t>
      </w:r>
      <w:r w:rsidRPr="00906DD7">
        <w:rPr>
          <w:lang w:val="fr-FR"/>
        </w:rPr>
        <w:t xml:space="preserve">investigation pour déterminer si une batterie composée de piles ne présentant pas de risque pouvait automatiquement être considérée comme une batterie ne présentant pas de risque (la réactivité des piles équivalait-elle à la réactivité de la batterie). Le groupe de travail a estimé que, dans certains cas, la réaction produite par des piles pourrait être limitée par le boîtier ou le </w:t>
      </w:r>
      <w:r w:rsidR="00B86385">
        <w:rPr>
          <w:lang w:val="fr-FR"/>
        </w:rPr>
        <w:t>« pack-</w:t>
      </w:r>
      <w:r w:rsidRPr="00906DD7">
        <w:rPr>
          <w:lang w:val="fr-FR"/>
        </w:rPr>
        <w:t>batterie</w:t>
      </w:r>
      <w:r w:rsidR="00B86385">
        <w:rPr>
          <w:lang w:val="fr-FR"/>
        </w:rPr>
        <w:t> »</w:t>
      </w:r>
      <w:r w:rsidRPr="00906DD7">
        <w:rPr>
          <w:lang w:val="fr-FR"/>
        </w:rPr>
        <w:t>. Plusieurs participants ont estimé que tout programme d</w:t>
      </w:r>
      <w:r w:rsidR="00906DD7" w:rsidRPr="00906DD7">
        <w:rPr>
          <w:lang w:val="fr-FR"/>
        </w:rPr>
        <w:t>’</w:t>
      </w:r>
      <w:r w:rsidRPr="00906DD7">
        <w:rPr>
          <w:lang w:val="fr-FR"/>
        </w:rPr>
        <w:t>épreuves devrait inclure des dispositions relatives à la reproduction à plus grande ou à moindre échelle des épreuves en fonction de la conception et des moyens de protection des piles/des batteries. D</w:t>
      </w:r>
      <w:r w:rsidR="00906DD7" w:rsidRPr="00906DD7">
        <w:rPr>
          <w:lang w:val="fr-FR"/>
        </w:rPr>
        <w:t>’</w:t>
      </w:r>
      <w:r w:rsidRPr="00906DD7">
        <w:rPr>
          <w:lang w:val="fr-FR"/>
        </w:rPr>
        <w:t xml:space="preserve">autres ont fait observer que la production de chaleur dans un </w:t>
      </w:r>
      <w:r w:rsidR="00B86385">
        <w:rPr>
          <w:lang w:val="fr-FR"/>
        </w:rPr>
        <w:t>« pack-</w:t>
      </w:r>
      <w:r w:rsidRPr="00906DD7">
        <w:rPr>
          <w:lang w:val="fr-FR"/>
        </w:rPr>
        <w:t>batterie</w:t>
      </w:r>
      <w:r w:rsidR="00B86385">
        <w:rPr>
          <w:lang w:val="fr-FR"/>
        </w:rPr>
        <w:t> »</w:t>
      </w:r>
      <w:r w:rsidRPr="00906DD7">
        <w:rPr>
          <w:lang w:val="fr-FR"/>
        </w:rPr>
        <w:t>, indépendamment des piles, pouvait entraîne</w:t>
      </w:r>
      <w:r w:rsidR="00B86385">
        <w:rPr>
          <w:lang w:val="fr-FR"/>
        </w:rPr>
        <w:t>r des réactions thermiques. Les </w:t>
      </w:r>
      <w:r w:rsidRPr="00906DD7">
        <w:rPr>
          <w:lang w:val="fr-FR"/>
        </w:rPr>
        <w:t>grandes batteries contenant des piles ne présentant pas de risque feraient l</w:t>
      </w:r>
      <w:r w:rsidR="00906DD7" w:rsidRPr="00906DD7">
        <w:rPr>
          <w:lang w:val="fr-FR"/>
        </w:rPr>
        <w:t>’</w:t>
      </w:r>
      <w:r w:rsidRPr="00906DD7">
        <w:rPr>
          <w:lang w:val="fr-FR"/>
        </w:rPr>
        <w:t>objet de considérations supplémentaires, notamment sur l</w:t>
      </w:r>
      <w:r w:rsidR="00906DD7" w:rsidRPr="00906DD7">
        <w:rPr>
          <w:lang w:val="fr-FR"/>
        </w:rPr>
        <w:t>’</w:t>
      </w:r>
      <w:r w:rsidRPr="00906DD7">
        <w:rPr>
          <w:lang w:val="fr-FR"/>
        </w:rPr>
        <w:t>éventualité qu</w:t>
      </w:r>
      <w:r w:rsidR="00906DD7" w:rsidRPr="00906DD7">
        <w:rPr>
          <w:lang w:val="fr-FR"/>
        </w:rPr>
        <w:t>’</w:t>
      </w:r>
      <w:r w:rsidRPr="00906DD7">
        <w:rPr>
          <w:lang w:val="fr-FR"/>
        </w:rPr>
        <w:t>une haute tension d</w:t>
      </w:r>
      <w:r w:rsidR="00906DD7" w:rsidRPr="00906DD7">
        <w:rPr>
          <w:lang w:val="fr-FR"/>
        </w:rPr>
        <w:t>’</w:t>
      </w:r>
      <w:r w:rsidRPr="00906DD7">
        <w:rPr>
          <w:lang w:val="fr-FR"/>
        </w:rPr>
        <w:t>alimentation électrique puisse passer outre tous les systèmes de sécurité présents. La</w:t>
      </w:r>
      <w:r w:rsidR="00B86385">
        <w:rPr>
          <w:lang w:val="fr-FR"/>
        </w:rPr>
        <w:t> </w:t>
      </w:r>
      <w:r w:rsidRPr="00906DD7">
        <w:rPr>
          <w:lang w:val="fr-FR"/>
        </w:rPr>
        <w:t xml:space="preserve">présence de matériaux plastiques ou autres dans le </w:t>
      </w:r>
      <w:r w:rsidR="00B86385">
        <w:rPr>
          <w:lang w:val="fr-FR"/>
        </w:rPr>
        <w:t>pack</w:t>
      </w:r>
      <w:r w:rsidRPr="00906DD7">
        <w:rPr>
          <w:lang w:val="fr-FR"/>
        </w:rPr>
        <w:t>/le boîtier pourrait produire de la fumée</w:t>
      </w:r>
      <w:r w:rsidR="00B86385">
        <w:rPr>
          <w:lang w:val="fr-FR"/>
        </w:rPr>
        <w:t xml:space="preserve"> ou </w:t>
      </w:r>
      <w:r w:rsidRPr="00906DD7">
        <w:rPr>
          <w:lang w:val="fr-FR"/>
        </w:rPr>
        <w:t>de la vapeur,</w:t>
      </w:r>
      <w:r w:rsidR="00B86385">
        <w:rPr>
          <w:lang w:val="fr-FR"/>
        </w:rPr>
        <w:t xml:space="preserve"> par exemple</w:t>
      </w:r>
      <w:r w:rsidRPr="00906DD7">
        <w:rPr>
          <w:lang w:val="fr-FR"/>
        </w:rPr>
        <w:t>.</w:t>
      </w:r>
    </w:p>
    <w:p w:rsidR="00A3624C" w:rsidRPr="00906DD7" w:rsidRDefault="00A3624C" w:rsidP="00E03A51">
      <w:pPr>
        <w:pStyle w:val="ParNoG"/>
        <w:rPr>
          <w:lang w:val="fr-FR"/>
        </w:rPr>
      </w:pPr>
      <w:r w:rsidRPr="00906DD7">
        <w:rPr>
          <w:lang w:val="fr-FR"/>
        </w:rPr>
        <w:t>Le Président a ajouté que l</w:t>
      </w:r>
      <w:r w:rsidR="00906DD7" w:rsidRPr="00906DD7">
        <w:rPr>
          <w:lang w:val="fr-FR"/>
        </w:rPr>
        <w:t>’</w:t>
      </w:r>
      <w:r w:rsidRPr="00906DD7">
        <w:rPr>
          <w:lang w:val="fr-FR"/>
        </w:rPr>
        <w:t>expérience acquise dans les conditions d</w:t>
      </w:r>
      <w:r w:rsidR="00906DD7" w:rsidRPr="00906DD7">
        <w:rPr>
          <w:lang w:val="fr-FR"/>
        </w:rPr>
        <w:t>’</w:t>
      </w:r>
      <w:r w:rsidRPr="00906DD7">
        <w:rPr>
          <w:lang w:val="fr-FR"/>
        </w:rPr>
        <w:t xml:space="preserve">épreuve prévues à la sous-section 38.3 montrait que certaines conditions auxquelles une batterie était soumise pouvaient provoquer un </w:t>
      </w:r>
      <w:r w:rsidR="002077AA">
        <w:rPr>
          <w:lang w:val="fr-FR"/>
        </w:rPr>
        <w:t>échauffement</w:t>
      </w:r>
      <w:r w:rsidRPr="00906DD7">
        <w:rPr>
          <w:lang w:val="fr-FR"/>
        </w:rPr>
        <w:t xml:space="preserve"> et que ces conditions n</w:t>
      </w:r>
      <w:r w:rsidR="00906DD7" w:rsidRPr="00906DD7">
        <w:rPr>
          <w:lang w:val="fr-FR"/>
        </w:rPr>
        <w:t>’</w:t>
      </w:r>
      <w:r w:rsidRPr="00906DD7">
        <w:rPr>
          <w:lang w:val="fr-FR"/>
        </w:rPr>
        <w:t xml:space="preserve">étaient pas prises en considération lors des épreuves portant </w:t>
      </w:r>
      <w:r w:rsidR="002077AA">
        <w:rPr>
          <w:lang w:val="fr-FR"/>
        </w:rPr>
        <w:t>sur une seule</w:t>
      </w:r>
      <w:r w:rsidRPr="00906DD7">
        <w:rPr>
          <w:lang w:val="fr-FR"/>
        </w:rPr>
        <w:t xml:space="preserve"> pile. Certains ont fait observer que la définition de ce que l</w:t>
      </w:r>
      <w:r w:rsidR="00906DD7" w:rsidRPr="00906DD7">
        <w:rPr>
          <w:lang w:val="fr-FR"/>
        </w:rPr>
        <w:t>’</w:t>
      </w:r>
      <w:r w:rsidRPr="00906DD7">
        <w:rPr>
          <w:lang w:val="fr-FR"/>
        </w:rPr>
        <w:t xml:space="preserve">on entendait par </w:t>
      </w:r>
      <w:r w:rsidR="00E03A51">
        <w:rPr>
          <w:lang w:val="fr-FR"/>
        </w:rPr>
        <w:t>« </w:t>
      </w:r>
      <w:r w:rsidRPr="00906DD7">
        <w:rPr>
          <w:lang w:val="fr-FR"/>
        </w:rPr>
        <w:t>ne présentant pas de risque</w:t>
      </w:r>
      <w:r w:rsidR="00E03A51">
        <w:rPr>
          <w:lang w:val="fr-FR"/>
        </w:rPr>
        <w:t> »</w:t>
      </w:r>
      <w:r w:rsidRPr="00906DD7">
        <w:rPr>
          <w:lang w:val="fr-FR"/>
        </w:rPr>
        <w:t xml:space="preserve"> était essentielle dans ce raisonnement. Même si une pile ne faisait pas l</w:t>
      </w:r>
      <w:r w:rsidR="00906DD7" w:rsidRPr="00906DD7">
        <w:rPr>
          <w:lang w:val="fr-FR"/>
        </w:rPr>
        <w:t>’</w:t>
      </w:r>
      <w:r w:rsidRPr="00906DD7">
        <w:rPr>
          <w:lang w:val="fr-FR"/>
        </w:rPr>
        <w:t>objet d</w:t>
      </w:r>
      <w:r w:rsidR="00906DD7" w:rsidRPr="00906DD7">
        <w:rPr>
          <w:lang w:val="fr-FR"/>
        </w:rPr>
        <w:t>’</w:t>
      </w:r>
      <w:r w:rsidRPr="00906DD7">
        <w:rPr>
          <w:lang w:val="fr-FR"/>
        </w:rPr>
        <w:t xml:space="preserve">un </w:t>
      </w:r>
      <w:r w:rsidR="00F23671">
        <w:rPr>
          <w:lang w:val="fr-FR"/>
        </w:rPr>
        <w:t xml:space="preserve">échauffement mais </w:t>
      </w:r>
      <w:r w:rsidRPr="00906DD7">
        <w:rPr>
          <w:lang w:val="fr-FR"/>
        </w:rPr>
        <w:t>produisait une certaine quantité de chaleur ou de fuites, cela risquait d</w:t>
      </w:r>
      <w:r w:rsidR="00906DD7" w:rsidRPr="00906DD7">
        <w:rPr>
          <w:lang w:val="fr-FR"/>
        </w:rPr>
        <w:t>’</w:t>
      </w:r>
      <w:r w:rsidRPr="00906DD7">
        <w:rPr>
          <w:lang w:val="fr-FR"/>
        </w:rPr>
        <w:t>entraîner d</w:t>
      </w:r>
      <w:r w:rsidR="00906DD7" w:rsidRPr="00906DD7">
        <w:rPr>
          <w:lang w:val="fr-FR"/>
        </w:rPr>
        <w:t>’</w:t>
      </w:r>
      <w:r w:rsidRPr="00906DD7">
        <w:rPr>
          <w:lang w:val="fr-FR"/>
        </w:rPr>
        <w:t>autres dangers déjà observés dans des accidents. D</w:t>
      </w:r>
      <w:r w:rsidR="00906DD7" w:rsidRPr="00906DD7">
        <w:rPr>
          <w:lang w:val="fr-FR"/>
        </w:rPr>
        <w:t>’</w:t>
      </w:r>
      <w:r w:rsidRPr="00906DD7">
        <w:rPr>
          <w:lang w:val="fr-FR"/>
        </w:rPr>
        <w:t xml:space="preserve">autres ont fait valoir que même les piles </w:t>
      </w:r>
      <w:r w:rsidR="00E03A51">
        <w:rPr>
          <w:lang w:val="fr-FR"/>
        </w:rPr>
        <w:t>« </w:t>
      </w:r>
      <w:r w:rsidRPr="00906DD7">
        <w:rPr>
          <w:lang w:val="fr-FR"/>
        </w:rPr>
        <w:t>ne présentant pas de risque</w:t>
      </w:r>
      <w:r w:rsidR="00E03A51">
        <w:rPr>
          <w:lang w:val="fr-FR"/>
        </w:rPr>
        <w:t> »</w:t>
      </w:r>
      <w:r w:rsidRPr="00906DD7">
        <w:rPr>
          <w:lang w:val="fr-FR"/>
        </w:rPr>
        <w:t xml:space="preserve"> pouvaient être placées dans une batterie dont la conception était </w:t>
      </w:r>
      <w:r w:rsidR="00E03A51">
        <w:rPr>
          <w:lang w:val="fr-FR"/>
        </w:rPr>
        <w:t>« </w:t>
      </w:r>
      <w:r w:rsidRPr="00906DD7">
        <w:rPr>
          <w:lang w:val="fr-FR"/>
        </w:rPr>
        <w:t>moins sûre</w:t>
      </w:r>
      <w:r w:rsidR="00E03A51">
        <w:rPr>
          <w:lang w:val="fr-FR"/>
        </w:rPr>
        <w:t> »</w:t>
      </w:r>
      <w:r w:rsidRPr="00906DD7">
        <w:rPr>
          <w:lang w:val="fr-FR"/>
        </w:rPr>
        <w:t xml:space="preserve">. En conséquence, la batterie ou le </w:t>
      </w:r>
      <w:r w:rsidR="00F23671">
        <w:rPr>
          <w:lang w:val="fr-FR"/>
        </w:rPr>
        <w:t>pack</w:t>
      </w:r>
      <w:r w:rsidRPr="00906DD7">
        <w:rPr>
          <w:lang w:val="fr-FR"/>
        </w:rPr>
        <w:t xml:space="preserve"> devait faire l</w:t>
      </w:r>
      <w:r w:rsidR="00906DD7" w:rsidRPr="00906DD7">
        <w:rPr>
          <w:lang w:val="fr-FR"/>
        </w:rPr>
        <w:t>’</w:t>
      </w:r>
      <w:r w:rsidRPr="00906DD7">
        <w:rPr>
          <w:lang w:val="fr-FR"/>
        </w:rPr>
        <w:t>objet de certaines prescriptions relatives aux épreuves. Un participant a proposé de comparer le cas des piles et des batteries au lithium avec celui de marchandises dangereuses emballées en quantités limitées. Si on limitait la quantité de matériel par emballage, des dérogations pouvaient être prévues en ce qui concernait la communication des caractéristiques de danger et l</w:t>
      </w:r>
      <w:r w:rsidR="00906DD7" w:rsidRPr="00906DD7">
        <w:rPr>
          <w:lang w:val="fr-FR"/>
        </w:rPr>
        <w:t>’</w:t>
      </w:r>
      <w:r w:rsidRPr="00906DD7">
        <w:rPr>
          <w:lang w:val="fr-FR"/>
        </w:rPr>
        <w:t>emballage. Des prescriptions supplémentaires pouvaient s</w:t>
      </w:r>
      <w:r w:rsidR="00906DD7" w:rsidRPr="00906DD7">
        <w:rPr>
          <w:lang w:val="fr-FR"/>
        </w:rPr>
        <w:t>’</w:t>
      </w:r>
      <w:r w:rsidRPr="00906DD7">
        <w:rPr>
          <w:lang w:val="fr-FR"/>
        </w:rPr>
        <w:t>appliquer au transport par voie maritime ou aérienne, mais le concept général restait le même. Il a été demandé si un tel système pouvait aussi s</w:t>
      </w:r>
      <w:r w:rsidR="00906DD7" w:rsidRPr="00906DD7">
        <w:rPr>
          <w:lang w:val="fr-FR"/>
        </w:rPr>
        <w:t>’</w:t>
      </w:r>
      <w:r w:rsidRPr="00906DD7">
        <w:rPr>
          <w:lang w:val="fr-FR"/>
        </w:rPr>
        <w:t>appliquer aux batteries au lithium. Des participants ont fait observer que la situation n</w:t>
      </w:r>
      <w:r w:rsidR="00906DD7" w:rsidRPr="00906DD7">
        <w:rPr>
          <w:lang w:val="fr-FR"/>
        </w:rPr>
        <w:t>’</w:t>
      </w:r>
      <w:r w:rsidRPr="00906DD7">
        <w:rPr>
          <w:lang w:val="fr-FR"/>
        </w:rPr>
        <w:t>était pas exactement la même lorsque des piles étaient reliées entre elles dans une batterie de façon à créer un nouveau produit, ce qui n</w:t>
      </w:r>
      <w:r w:rsidR="00906DD7" w:rsidRPr="00906DD7">
        <w:rPr>
          <w:lang w:val="fr-FR"/>
        </w:rPr>
        <w:t>’</w:t>
      </w:r>
      <w:r w:rsidRPr="00906DD7">
        <w:rPr>
          <w:lang w:val="fr-FR"/>
        </w:rPr>
        <w:t>était pas le cas lorsque des emballages intérieurs contenant des marchandises dangereuses étaient contenues dans un emballage extérieur.</w:t>
      </w:r>
    </w:p>
    <w:p w:rsidR="00A3624C" w:rsidRPr="00906DD7" w:rsidRDefault="00A3624C" w:rsidP="00E03A51">
      <w:pPr>
        <w:pStyle w:val="ParNoG"/>
        <w:rPr>
          <w:lang w:val="fr-FR"/>
        </w:rPr>
      </w:pPr>
      <w:r w:rsidRPr="00906DD7">
        <w:rPr>
          <w:lang w:val="fr-FR"/>
        </w:rPr>
        <w:t>Les participants ont ajouté qu</w:t>
      </w:r>
      <w:r w:rsidR="00906DD7" w:rsidRPr="00906DD7">
        <w:rPr>
          <w:lang w:val="fr-FR"/>
        </w:rPr>
        <w:t>’</w:t>
      </w:r>
      <w:r w:rsidRPr="00906DD7">
        <w:rPr>
          <w:lang w:val="fr-FR"/>
        </w:rPr>
        <w:t>il faudrait examiner lors des épreuves si des piles pouvaient faire augmenter la charge électrique des piles dans lesquelles un emballement thermique se déclenchait. Cela a également soulevé la question de savoir s</w:t>
      </w:r>
      <w:r w:rsidR="00E03A51">
        <w:rPr>
          <w:lang w:val="fr-FR"/>
        </w:rPr>
        <w:t>i deux piles en parallèle, à 30 </w:t>
      </w:r>
      <w:r w:rsidRPr="00906DD7">
        <w:rPr>
          <w:lang w:val="fr-FR"/>
        </w:rPr>
        <w:t>% de charge chacune, devraient être con</w:t>
      </w:r>
      <w:r w:rsidR="008A4A07">
        <w:rPr>
          <w:lang w:val="fr-FR"/>
        </w:rPr>
        <w:t>sidérées comme une seule pile à </w:t>
      </w:r>
      <w:r w:rsidRPr="00906DD7">
        <w:rPr>
          <w:lang w:val="fr-FR"/>
        </w:rPr>
        <w:t>60</w:t>
      </w:r>
      <w:r w:rsidR="00E03A51">
        <w:rPr>
          <w:lang w:val="fr-FR"/>
        </w:rPr>
        <w:t> </w:t>
      </w:r>
      <w:r w:rsidRPr="00906DD7">
        <w:rPr>
          <w:lang w:val="fr-FR"/>
        </w:rPr>
        <w:t>% de charge. D</w:t>
      </w:r>
      <w:r w:rsidR="00906DD7" w:rsidRPr="00906DD7">
        <w:rPr>
          <w:lang w:val="fr-FR"/>
        </w:rPr>
        <w:t>’</w:t>
      </w:r>
      <w:r w:rsidRPr="00906DD7">
        <w:rPr>
          <w:lang w:val="fr-FR"/>
        </w:rPr>
        <w:t>autres participants ont confirmé que leurs données d</w:t>
      </w:r>
      <w:r w:rsidR="00906DD7" w:rsidRPr="00906DD7">
        <w:rPr>
          <w:lang w:val="fr-FR"/>
        </w:rPr>
        <w:t>’</w:t>
      </w:r>
      <w:r w:rsidRPr="00906DD7">
        <w:rPr>
          <w:lang w:val="fr-FR"/>
        </w:rPr>
        <w:t>expérience justifiaient cette préoccupation.</w:t>
      </w:r>
    </w:p>
    <w:p w:rsidR="00A3624C" w:rsidRPr="00906DD7" w:rsidRDefault="00A3624C" w:rsidP="006857F1">
      <w:pPr>
        <w:pStyle w:val="ParNoG"/>
        <w:keepNext/>
        <w:keepLines/>
        <w:rPr>
          <w:lang w:val="fr-FR"/>
        </w:rPr>
      </w:pPr>
      <w:r w:rsidRPr="00906DD7">
        <w:rPr>
          <w:lang w:val="fr-FR"/>
        </w:rPr>
        <w:t>Le groupe de travail informel a recommandé aux participants d</w:t>
      </w:r>
      <w:r w:rsidR="00906DD7" w:rsidRPr="00906DD7">
        <w:rPr>
          <w:lang w:val="fr-FR"/>
        </w:rPr>
        <w:t>’</w:t>
      </w:r>
      <w:r w:rsidRPr="00906DD7">
        <w:rPr>
          <w:lang w:val="fr-FR"/>
        </w:rPr>
        <w:t>échanger leurs données d</w:t>
      </w:r>
      <w:r w:rsidR="00906DD7" w:rsidRPr="00906DD7">
        <w:rPr>
          <w:lang w:val="fr-FR"/>
        </w:rPr>
        <w:t>’</w:t>
      </w:r>
      <w:r w:rsidRPr="00906DD7">
        <w:rPr>
          <w:lang w:val="fr-FR"/>
        </w:rPr>
        <w:t xml:space="preserve">expérience concernant les épreuves portant sur des piles et des </w:t>
      </w:r>
      <w:r w:rsidR="00F23671">
        <w:rPr>
          <w:lang w:val="fr-FR"/>
        </w:rPr>
        <w:t>« pack</w:t>
      </w:r>
      <w:r w:rsidRPr="00906DD7">
        <w:rPr>
          <w:lang w:val="fr-FR"/>
        </w:rPr>
        <w:t>-batteries</w:t>
      </w:r>
      <w:r w:rsidR="00F23671">
        <w:rPr>
          <w:lang w:val="fr-FR"/>
        </w:rPr>
        <w:t> »</w:t>
      </w:r>
      <w:r w:rsidRPr="00906DD7">
        <w:rPr>
          <w:lang w:val="fr-FR"/>
        </w:rPr>
        <w:t xml:space="preserve"> ne présentant pas de risque. En outre, le groupe de travail a envisagé d</w:t>
      </w:r>
      <w:r w:rsidR="00906DD7" w:rsidRPr="00906DD7">
        <w:rPr>
          <w:lang w:val="fr-FR"/>
        </w:rPr>
        <w:t>’</w:t>
      </w:r>
      <w:r w:rsidRPr="00906DD7">
        <w:rPr>
          <w:lang w:val="fr-FR"/>
        </w:rPr>
        <w:t>inclure ce type d</w:t>
      </w:r>
      <w:r w:rsidR="00906DD7" w:rsidRPr="00906DD7">
        <w:rPr>
          <w:lang w:val="fr-FR"/>
        </w:rPr>
        <w:t>’</w:t>
      </w:r>
      <w:r w:rsidRPr="00906DD7">
        <w:rPr>
          <w:lang w:val="fr-FR"/>
        </w:rPr>
        <w:t>épreuve dans un plan d</w:t>
      </w:r>
      <w:r w:rsidR="00906DD7" w:rsidRPr="00906DD7">
        <w:rPr>
          <w:lang w:val="fr-FR"/>
        </w:rPr>
        <w:t>’</w:t>
      </w:r>
      <w:r w:rsidRPr="00906DD7">
        <w:rPr>
          <w:lang w:val="fr-FR"/>
        </w:rPr>
        <w:t>épreuve d</w:t>
      </w:r>
      <w:r w:rsidR="00906DD7" w:rsidRPr="00906DD7">
        <w:rPr>
          <w:lang w:val="fr-FR"/>
        </w:rPr>
        <w:t>’</w:t>
      </w:r>
      <w:r w:rsidRPr="00906DD7">
        <w:rPr>
          <w:lang w:val="fr-FR"/>
        </w:rPr>
        <w:t>investigation. Certains ont fait observer que les services d</w:t>
      </w:r>
      <w:r w:rsidR="00906DD7" w:rsidRPr="00906DD7">
        <w:rPr>
          <w:lang w:val="fr-FR"/>
        </w:rPr>
        <w:t>’</w:t>
      </w:r>
      <w:r w:rsidRPr="00906DD7">
        <w:rPr>
          <w:lang w:val="fr-FR"/>
        </w:rPr>
        <w:t>intervention d</w:t>
      </w:r>
      <w:r w:rsidR="00906DD7" w:rsidRPr="00906DD7">
        <w:rPr>
          <w:lang w:val="fr-FR"/>
        </w:rPr>
        <w:t>’</w:t>
      </w:r>
      <w:r w:rsidRPr="00906DD7">
        <w:rPr>
          <w:lang w:val="fr-FR"/>
        </w:rPr>
        <w:t>urgence auraient un autre point de vue sur la question et ont recommandé qu</w:t>
      </w:r>
      <w:r w:rsidR="00906DD7" w:rsidRPr="00906DD7">
        <w:rPr>
          <w:lang w:val="fr-FR"/>
        </w:rPr>
        <w:t>’</w:t>
      </w:r>
      <w:r w:rsidRPr="00906DD7">
        <w:rPr>
          <w:lang w:val="fr-FR"/>
        </w:rPr>
        <w:t>ils soient invités à participer au débat.</w:t>
      </w:r>
    </w:p>
    <w:p w:rsidR="00A3624C" w:rsidRPr="00906DD7" w:rsidRDefault="00A3624C" w:rsidP="00E03A51">
      <w:pPr>
        <w:pStyle w:val="H1G"/>
        <w:rPr>
          <w:lang w:val="fr-FR"/>
        </w:rPr>
      </w:pPr>
      <w:r w:rsidRPr="00906DD7">
        <w:rPr>
          <w:lang w:val="fr-FR"/>
        </w:rPr>
        <w:tab/>
      </w:r>
      <w:r w:rsidRPr="00906DD7">
        <w:rPr>
          <w:lang w:val="fr-FR"/>
        </w:rPr>
        <w:tab/>
        <w:t>Plan d</w:t>
      </w:r>
      <w:r w:rsidR="00906DD7" w:rsidRPr="00906DD7">
        <w:rPr>
          <w:lang w:val="fr-FR"/>
        </w:rPr>
        <w:t>’</w:t>
      </w:r>
      <w:r w:rsidRPr="00906DD7">
        <w:rPr>
          <w:lang w:val="fr-FR"/>
        </w:rPr>
        <w:t>épreuve d</w:t>
      </w:r>
      <w:r w:rsidR="00906DD7" w:rsidRPr="00906DD7">
        <w:rPr>
          <w:lang w:val="fr-FR"/>
        </w:rPr>
        <w:t>’</w:t>
      </w:r>
      <w:r w:rsidRPr="00906DD7">
        <w:rPr>
          <w:lang w:val="fr-FR"/>
        </w:rPr>
        <w:t>investigation</w:t>
      </w:r>
    </w:p>
    <w:p w:rsidR="00A3624C" w:rsidRPr="00906DD7" w:rsidRDefault="00A3624C" w:rsidP="00E03A51">
      <w:pPr>
        <w:pStyle w:val="ParNoG"/>
        <w:rPr>
          <w:lang w:val="fr-FR"/>
        </w:rPr>
      </w:pPr>
      <w:r w:rsidRPr="00906DD7">
        <w:rPr>
          <w:lang w:val="fr-FR"/>
        </w:rPr>
        <w:t>Prenant en considération les débats à ce sujet, le Président a indiqué que la France établirait un document informel pour la session de juillet du Sous-Comité contenant une recommandation relative à un plan d</w:t>
      </w:r>
      <w:r w:rsidR="00906DD7" w:rsidRPr="00906DD7">
        <w:rPr>
          <w:lang w:val="fr-FR"/>
        </w:rPr>
        <w:t>’</w:t>
      </w:r>
      <w:r w:rsidRPr="00906DD7">
        <w:rPr>
          <w:lang w:val="fr-FR"/>
        </w:rPr>
        <w:t>épreuve d</w:t>
      </w:r>
      <w:r w:rsidR="00906DD7" w:rsidRPr="00906DD7">
        <w:rPr>
          <w:lang w:val="fr-FR"/>
        </w:rPr>
        <w:t>’</w:t>
      </w:r>
      <w:r w:rsidRPr="00906DD7">
        <w:rPr>
          <w:lang w:val="fr-FR"/>
        </w:rPr>
        <w:t>investigation visant à répondre à certaines des questions so</w:t>
      </w:r>
      <w:r w:rsidR="00E03A51">
        <w:rPr>
          <w:lang w:val="fr-FR"/>
        </w:rPr>
        <w:t>ulevées au cours de la semaine.</w:t>
      </w:r>
    </w:p>
    <w:p w:rsidR="00A3624C" w:rsidRPr="00906DD7" w:rsidRDefault="00A3624C" w:rsidP="00E03A51">
      <w:pPr>
        <w:pStyle w:val="ParNoG"/>
        <w:keepNext/>
        <w:rPr>
          <w:lang w:val="fr-FR"/>
        </w:rPr>
      </w:pPr>
      <w:r w:rsidRPr="00906DD7">
        <w:rPr>
          <w:lang w:val="fr-FR"/>
        </w:rPr>
        <w:t>Le Président a noté que la France demanderait que soit organisée une séance de travail durant la pause déjeuner du groupe de travail à la session de juillet. Les thèmes à examiner lors de cette séance seraient notamment les suivants</w:t>
      </w:r>
      <w:r w:rsidR="00E03A51">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a)</w:t>
      </w:r>
      <w:r w:rsidRPr="00906DD7">
        <w:rPr>
          <w:lang w:val="fr-FR"/>
        </w:rPr>
        <w:tab/>
        <w:t>Les épreuves à réaliser</w:t>
      </w:r>
      <w:r w:rsidR="00E03A51">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b)</w:t>
      </w:r>
      <w:r w:rsidRPr="00906DD7">
        <w:rPr>
          <w:lang w:val="fr-FR"/>
        </w:rPr>
        <w:tab/>
        <w:t>Le choix d</w:t>
      </w:r>
      <w:r w:rsidR="00906DD7" w:rsidRPr="00906DD7">
        <w:rPr>
          <w:lang w:val="fr-FR"/>
        </w:rPr>
        <w:t>’</w:t>
      </w:r>
      <w:r w:rsidRPr="00906DD7">
        <w:rPr>
          <w:lang w:val="fr-FR"/>
        </w:rPr>
        <w:t>un échan</w:t>
      </w:r>
      <w:r w:rsidR="00E03A51">
        <w:rPr>
          <w:lang w:val="fr-FR"/>
        </w:rPr>
        <w:t>tillon représentatif approprié ;</w:t>
      </w:r>
    </w:p>
    <w:p w:rsidR="00A3624C" w:rsidRPr="00906DD7" w:rsidRDefault="00A3624C" w:rsidP="004704E9">
      <w:pPr>
        <w:pStyle w:val="SingleTxtG"/>
        <w:ind w:firstLine="567"/>
        <w:rPr>
          <w:lang w:val="fr-FR"/>
        </w:rPr>
      </w:pPr>
      <w:r w:rsidRPr="00906DD7">
        <w:rPr>
          <w:lang w:val="fr-FR"/>
        </w:rPr>
        <w:t>c)</w:t>
      </w:r>
      <w:r w:rsidRPr="00906DD7">
        <w:rPr>
          <w:lang w:val="fr-FR"/>
        </w:rPr>
        <w:tab/>
        <w:t>Le choix des personnes pouvant participer à l</w:t>
      </w:r>
      <w:r w:rsidR="00906DD7" w:rsidRPr="00906DD7">
        <w:rPr>
          <w:lang w:val="fr-FR"/>
        </w:rPr>
        <w:t>’</w:t>
      </w:r>
      <w:r w:rsidRPr="00906DD7">
        <w:rPr>
          <w:lang w:val="fr-FR"/>
        </w:rPr>
        <w:t>épreuve d</w:t>
      </w:r>
      <w:r w:rsidR="00906DD7" w:rsidRPr="00906DD7">
        <w:rPr>
          <w:lang w:val="fr-FR"/>
        </w:rPr>
        <w:t>’</w:t>
      </w:r>
      <w:r w:rsidRPr="00906DD7">
        <w:rPr>
          <w:lang w:val="fr-FR"/>
        </w:rPr>
        <w:t>investigation</w:t>
      </w:r>
      <w:r w:rsidR="00E03A51">
        <w:rPr>
          <w:lang w:val="fr-FR"/>
        </w:rPr>
        <w:t> </w:t>
      </w:r>
      <w:r w:rsidRPr="00906DD7">
        <w:rPr>
          <w:lang w:val="fr-FR"/>
        </w:rPr>
        <w:t>;</w:t>
      </w:r>
    </w:p>
    <w:p w:rsidR="00A3624C" w:rsidRPr="00906DD7" w:rsidRDefault="00A3624C" w:rsidP="004704E9">
      <w:pPr>
        <w:pStyle w:val="SingleTxtG"/>
        <w:ind w:firstLine="567"/>
        <w:rPr>
          <w:lang w:val="fr-FR"/>
        </w:rPr>
      </w:pPr>
      <w:r w:rsidRPr="00906DD7">
        <w:rPr>
          <w:lang w:val="fr-FR"/>
        </w:rPr>
        <w:t>d)</w:t>
      </w:r>
      <w:r w:rsidRPr="00906DD7">
        <w:rPr>
          <w:lang w:val="fr-FR"/>
        </w:rPr>
        <w:tab/>
        <w:t>La garantie de la confidentialité lorsque cela est nécessaire et approprié.</w:t>
      </w:r>
    </w:p>
    <w:p w:rsidR="00A3624C" w:rsidRPr="00906DD7" w:rsidRDefault="00A3624C" w:rsidP="00E03A51">
      <w:pPr>
        <w:pStyle w:val="ParNoG"/>
        <w:rPr>
          <w:lang w:val="fr-FR"/>
        </w:rPr>
      </w:pPr>
      <w:r w:rsidRPr="00906DD7">
        <w:rPr>
          <w:lang w:val="fr-FR"/>
        </w:rPr>
        <w:t>Plusieurs participants étaient d</w:t>
      </w:r>
      <w:r w:rsidR="00906DD7" w:rsidRPr="00906DD7">
        <w:rPr>
          <w:lang w:val="fr-FR"/>
        </w:rPr>
        <w:t>’</w:t>
      </w:r>
      <w:r w:rsidRPr="00906DD7">
        <w:rPr>
          <w:lang w:val="fr-FR"/>
        </w:rPr>
        <w:t>avis que les propriétés chimiques de la batterie pouvaient avoir une incidence significative sur les résultats des épreuves. En conséquence, il était nécessaire d</w:t>
      </w:r>
      <w:r w:rsidR="00906DD7" w:rsidRPr="00906DD7">
        <w:rPr>
          <w:lang w:val="fr-FR"/>
        </w:rPr>
        <w:t>’</w:t>
      </w:r>
      <w:r w:rsidRPr="00906DD7">
        <w:rPr>
          <w:lang w:val="fr-FR"/>
        </w:rPr>
        <w:t>examiner les différents aspects de la notion d</w:t>
      </w:r>
      <w:r w:rsidR="00906DD7" w:rsidRPr="00906DD7">
        <w:rPr>
          <w:lang w:val="fr-FR"/>
        </w:rPr>
        <w:t>’</w:t>
      </w:r>
      <w:r w:rsidRPr="00906DD7">
        <w:rPr>
          <w:lang w:val="fr-FR"/>
        </w:rPr>
        <w:t xml:space="preserve">équivalence. La </w:t>
      </w:r>
      <w:bookmarkStart w:id="3" w:name="hit2"/>
      <w:bookmarkEnd w:id="3"/>
      <w:r w:rsidRPr="00906DD7">
        <w:rPr>
          <w:lang w:val="fr-FR"/>
        </w:rPr>
        <w:t>PRBA a indiqué qu</w:t>
      </w:r>
      <w:r w:rsidR="00906DD7" w:rsidRPr="00906DD7">
        <w:rPr>
          <w:lang w:val="fr-FR"/>
        </w:rPr>
        <w:t>’</w:t>
      </w:r>
      <w:r w:rsidRPr="00906DD7">
        <w:rPr>
          <w:lang w:val="fr-FR"/>
        </w:rPr>
        <w:t>elle était prête à collaborer avec la Battery Association of Japan (BAJ) et d</w:t>
      </w:r>
      <w:r w:rsidR="00906DD7" w:rsidRPr="00906DD7">
        <w:rPr>
          <w:lang w:val="fr-FR"/>
        </w:rPr>
        <w:t>’</w:t>
      </w:r>
      <w:r w:rsidRPr="00906DD7">
        <w:rPr>
          <w:lang w:val="fr-FR"/>
        </w:rPr>
        <w:t>autres associations de fabricants de batteries dans le monde pour apporter des ressources supplémentaires à l</w:t>
      </w:r>
      <w:r w:rsidR="00906DD7" w:rsidRPr="00906DD7">
        <w:rPr>
          <w:lang w:val="fr-FR"/>
        </w:rPr>
        <w:t>’</w:t>
      </w:r>
      <w:r w:rsidRPr="00906DD7">
        <w:rPr>
          <w:lang w:val="fr-FR"/>
        </w:rPr>
        <w:t>appui des épreuves. Il a été rappelé que la confidentialité serait un aspect important des épreuves pour faire en sorte que la participation ne soit pas limitée.</w:t>
      </w:r>
    </w:p>
    <w:p w:rsidR="00A3624C" w:rsidRPr="00906DD7" w:rsidRDefault="00A3624C" w:rsidP="00E03A51">
      <w:pPr>
        <w:pStyle w:val="ParNoG"/>
        <w:rPr>
          <w:lang w:val="fr-FR"/>
        </w:rPr>
      </w:pPr>
      <w:r w:rsidRPr="00906DD7">
        <w:rPr>
          <w:lang w:val="fr-FR"/>
        </w:rPr>
        <w:t>Le Président a indiqué que le représentant de RECHARGE avait proposé d</w:t>
      </w:r>
      <w:r w:rsidR="00906DD7" w:rsidRPr="00906DD7">
        <w:rPr>
          <w:lang w:val="fr-FR"/>
        </w:rPr>
        <w:t>’</w:t>
      </w:r>
      <w:r w:rsidRPr="00906DD7">
        <w:rPr>
          <w:lang w:val="fr-FR"/>
        </w:rPr>
        <w:t>accueillir la prochaine session du groupe de travail informel en Europe. Il serait convenu de la date et du lieu de cette session après la réu</w:t>
      </w:r>
      <w:r w:rsidR="00E03A51">
        <w:rPr>
          <w:lang w:val="fr-FR"/>
        </w:rPr>
        <w:t>nion de juillet du Sous-Comité.</w:t>
      </w:r>
    </w:p>
    <w:p w:rsidR="00A3624C" w:rsidRPr="00906DD7" w:rsidRDefault="00A3624C" w:rsidP="00E03A51">
      <w:pPr>
        <w:pStyle w:val="H1G"/>
        <w:rPr>
          <w:lang w:val="fr-FR"/>
        </w:rPr>
      </w:pPr>
      <w:r w:rsidRPr="00906DD7">
        <w:rPr>
          <w:lang w:val="fr-FR"/>
        </w:rPr>
        <w:tab/>
      </w:r>
      <w:r w:rsidRPr="00906DD7">
        <w:rPr>
          <w:lang w:val="fr-FR"/>
        </w:rPr>
        <w:tab/>
        <w:t>Conclusion</w:t>
      </w:r>
    </w:p>
    <w:p w:rsidR="00446FE5" w:rsidRDefault="00A3624C" w:rsidP="00E03A51">
      <w:pPr>
        <w:pStyle w:val="ParNoG"/>
        <w:rPr>
          <w:lang w:val="fr-FR"/>
        </w:rPr>
      </w:pPr>
      <w:r w:rsidRPr="00906DD7">
        <w:rPr>
          <w:lang w:val="fr-FR"/>
        </w:rPr>
        <w:t xml:space="preserve">Le Sous-Comité est invité à prendre note du présent rapport ainsi que des questions figurant dans le </w:t>
      </w:r>
      <w:r w:rsidR="00E11CDF">
        <w:rPr>
          <w:lang w:val="fr-FR"/>
        </w:rPr>
        <w:t>t</w:t>
      </w:r>
      <w:r w:rsidRPr="00906DD7">
        <w:rPr>
          <w:lang w:val="fr-FR"/>
        </w:rPr>
        <w:t>ableau en annexe, et à prendre des mesures appropriées, notamment à élaborer un mandat révis</w:t>
      </w:r>
      <w:r w:rsidR="007542D6">
        <w:rPr>
          <w:lang w:val="fr-FR"/>
        </w:rPr>
        <w:t>é en vue de ses travaux futurs.</w:t>
      </w:r>
    </w:p>
    <w:p w:rsidR="00A3624C" w:rsidRPr="00906DD7" w:rsidRDefault="00906DD7" w:rsidP="00AA00E0">
      <w:pPr>
        <w:pStyle w:val="HChG"/>
        <w:rPr>
          <w:lang w:val="fr-FR"/>
        </w:rPr>
      </w:pPr>
      <w:r>
        <w:rPr>
          <w:lang w:val="fr-FR"/>
        </w:rPr>
        <w:br w:type="page"/>
      </w:r>
      <w:r w:rsidR="00AA00E0">
        <w:rPr>
          <w:lang w:val="fr-FR"/>
        </w:rPr>
        <w:t>Annexe</w:t>
      </w:r>
    </w:p>
    <w:p w:rsidR="00906DD7" w:rsidRDefault="00A3624C" w:rsidP="00AA00E0">
      <w:pPr>
        <w:pStyle w:val="HChG"/>
        <w:rPr>
          <w:lang w:val="fr-FR"/>
        </w:rPr>
      </w:pPr>
      <w:r w:rsidRPr="00906DD7">
        <w:rPr>
          <w:lang w:val="fr-FR"/>
        </w:rPr>
        <w:t>Tableau des caractéristiques de danger</w:t>
      </w:r>
    </w:p>
    <w:tbl>
      <w:tblPr>
        <w:tblStyle w:val="TableGrid"/>
        <w:tblW w:w="9639" w:type="dxa"/>
        <w:tblLayout w:type="fixed"/>
        <w:tblLook w:val="04A0" w:firstRow="1" w:lastRow="0" w:firstColumn="1" w:lastColumn="0" w:noHBand="0" w:noVBand="1"/>
      </w:tblPr>
      <w:tblGrid>
        <w:gridCol w:w="957"/>
        <w:gridCol w:w="1078"/>
        <w:gridCol w:w="910"/>
        <w:gridCol w:w="1428"/>
        <w:gridCol w:w="1959"/>
        <w:gridCol w:w="1554"/>
        <w:gridCol w:w="1753"/>
      </w:tblGrid>
      <w:tr w:rsidR="0002224B" w:rsidRPr="00F61982" w:rsidTr="00776B8B">
        <w:trPr>
          <w:tblHeader/>
        </w:trPr>
        <w:tc>
          <w:tcPr>
            <w:tcW w:w="957" w:type="dxa"/>
            <w:shd w:val="clear" w:color="auto" w:fill="C1E9C8"/>
            <w:vAlign w:val="bottom"/>
          </w:tcPr>
          <w:p w:rsidR="00190A3E" w:rsidRPr="001D3435" w:rsidRDefault="00190A3E" w:rsidP="00995E79">
            <w:pPr>
              <w:spacing w:before="80" w:after="80" w:line="200" w:lineRule="exact"/>
              <w:ind w:left="57" w:right="113"/>
              <w:rPr>
                <w:i/>
                <w:sz w:val="14"/>
                <w:szCs w:val="14"/>
              </w:rPr>
            </w:pPr>
            <w:r w:rsidRPr="001D3435">
              <w:rPr>
                <w:i/>
                <w:sz w:val="14"/>
                <w:szCs w:val="14"/>
              </w:rPr>
              <w:t>Dangers</w:t>
            </w:r>
          </w:p>
        </w:tc>
        <w:tc>
          <w:tcPr>
            <w:tcW w:w="1078" w:type="dxa"/>
            <w:shd w:val="clear" w:color="auto" w:fill="C1E9C8"/>
            <w:vAlign w:val="bottom"/>
          </w:tcPr>
          <w:p w:rsidR="00190A3E" w:rsidRPr="00776B8B" w:rsidRDefault="00190A3E" w:rsidP="00995E79">
            <w:pPr>
              <w:spacing w:before="80" w:after="80" w:line="200" w:lineRule="exact"/>
              <w:ind w:left="57" w:right="113"/>
              <w:rPr>
                <w:i/>
                <w:spacing w:val="-3"/>
                <w:sz w:val="14"/>
                <w:szCs w:val="14"/>
              </w:rPr>
            </w:pPr>
            <w:r w:rsidRPr="00776B8B">
              <w:rPr>
                <w:i/>
                <w:spacing w:val="-3"/>
                <w:sz w:val="14"/>
                <w:szCs w:val="14"/>
              </w:rPr>
              <w:t>Caractéristiques</w:t>
            </w:r>
          </w:p>
        </w:tc>
        <w:tc>
          <w:tcPr>
            <w:tcW w:w="910" w:type="dxa"/>
            <w:shd w:val="clear" w:color="auto" w:fill="C1E9C8"/>
            <w:vAlign w:val="bottom"/>
          </w:tcPr>
          <w:p w:rsidR="00190A3E" w:rsidRPr="001D3435" w:rsidRDefault="00190A3E" w:rsidP="00995E79">
            <w:pPr>
              <w:spacing w:before="80" w:after="80" w:line="200" w:lineRule="exact"/>
              <w:ind w:left="57" w:right="113"/>
              <w:rPr>
                <w:i/>
                <w:sz w:val="14"/>
                <w:szCs w:val="14"/>
              </w:rPr>
            </w:pPr>
            <w:r w:rsidRPr="001D3435">
              <w:rPr>
                <w:i/>
                <w:sz w:val="14"/>
                <w:szCs w:val="14"/>
              </w:rPr>
              <w:t>Paramètre mesurable</w:t>
            </w:r>
          </w:p>
        </w:tc>
        <w:tc>
          <w:tcPr>
            <w:tcW w:w="1428" w:type="dxa"/>
            <w:shd w:val="clear" w:color="auto" w:fill="C1E9C8"/>
            <w:vAlign w:val="bottom"/>
          </w:tcPr>
          <w:p w:rsidR="00190A3E" w:rsidRPr="001D3435" w:rsidRDefault="00190A3E" w:rsidP="00995E79">
            <w:pPr>
              <w:spacing w:before="80" w:after="80" w:line="200" w:lineRule="exact"/>
              <w:ind w:left="57" w:right="113"/>
              <w:rPr>
                <w:i/>
                <w:sz w:val="14"/>
                <w:szCs w:val="14"/>
              </w:rPr>
            </w:pPr>
            <w:r w:rsidRPr="001D3435">
              <w:rPr>
                <w:i/>
                <w:sz w:val="14"/>
                <w:szCs w:val="14"/>
              </w:rPr>
              <w:t>Préoccupation</w:t>
            </w:r>
          </w:p>
        </w:tc>
        <w:tc>
          <w:tcPr>
            <w:tcW w:w="1959" w:type="dxa"/>
            <w:shd w:val="clear" w:color="auto" w:fill="C1E9C8"/>
            <w:vAlign w:val="bottom"/>
          </w:tcPr>
          <w:p w:rsidR="00190A3E" w:rsidRPr="001D3435" w:rsidRDefault="00190A3E" w:rsidP="00995E79">
            <w:pPr>
              <w:spacing w:before="80" w:after="80" w:line="200" w:lineRule="exact"/>
              <w:ind w:left="57" w:right="113"/>
              <w:rPr>
                <w:i/>
                <w:sz w:val="14"/>
                <w:szCs w:val="14"/>
              </w:rPr>
            </w:pPr>
            <w:r w:rsidRPr="001D3435">
              <w:rPr>
                <w:i/>
                <w:sz w:val="14"/>
                <w:szCs w:val="14"/>
              </w:rPr>
              <w:t>Que faut-il examiner ?</w:t>
            </w:r>
          </w:p>
        </w:tc>
        <w:tc>
          <w:tcPr>
            <w:tcW w:w="1554" w:type="dxa"/>
            <w:shd w:val="clear" w:color="auto" w:fill="C1E9C8"/>
            <w:vAlign w:val="bottom"/>
          </w:tcPr>
          <w:p w:rsidR="00190A3E" w:rsidRPr="001D3435" w:rsidRDefault="00776B8B" w:rsidP="00995E79">
            <w:pPr>
              <w:spacing w:before="80" w:after="80" w:line="200" w:lineRule="exact"/>
              <w:ind w:left="57" w:right="113"/>
              <w:rPr>
                <w:i/>
                <w:sz w:val="14"/>
                <w:szCs w:val="14"/>
              </w:rPr>
            </w:pPr>
            <w:r>
              <w:rPr>
                <w:i/>
                <w:sz w:val="14"/>
                <w:szCs w:val="14"/>
              </w:rPr>
              <w:t>Comment procéder à </w:t>
            </w:r>
            <w:r w:rsidR="00190A3E" w:rsidRPr="001D3435">
              <w:rPr>
                <w:i/>
                <w:sz w:val="14"/>
                <w:szCs w:val="14"/>
              </w:rPr>
              <w:t xml:space="preserve">l’examen/ </w:t>
            </w:r>
            <w:r>
              <w:rPr>
                <w:i/>
                <w:sz w:val="14"/>
                <w:szCs w:val="14"/>
              </w:rPr>
              <w:br/>
            </w:r>
            <w:r w:rsidR="00190A3E" w:rsidRPr="001D3435">
              <w:rPr>
                <w:i/>
                <w:sz w:val="14"/>
                <w:szCs w:val="14"/>
              </w:rPr>
              <w:t xml:space="preserve">au déclenchement ? </w:t>
            </w:r>
            <w:r>
              <w:rPr>
                <w:i/>
                <w:sz w:val="14"/>
                <w:szCs w:val="14"/>
              </w:rPr>
              <w:br/>
            </w:r>
            <w:r w:rsidR="00190A3E" w:rsidRPr="001D3435">
              <w:rPr>
                <w:i/>
                <w:sz w:val="14"/>
                <w:szCs w:val="14"/>
              </w:rPr>
              <w:t>(un outil de mesure spécifique est-il nécessaire ?)</w:t>
            </w:r>
          </w:p>
        </w:tc>
        <w:tc>
          <w:tcPr>
            <w:tcW w:w="1753" w:type="dxa"/>
            <w:shd w:val="clear" w:color="auto" w:fill="C1E9C8"/>
            <w:vAlign w:val="bottom"/>
          </w:tcPr>
          <w:p w:rsidR="00190A3E" w:rsidRPr="00F61982" w:rsidRDefault="00190A3E" w:rsidP="00776B8B">
            <w:pPr>
              <w:spacing w:before="80" w:after="80" w:line="200" w:lineRule="exact"/>
              <w:ind w:left="57" w:right="113"/>
              <w:rPr>
                <w:i/>
                <w:sz w:val="14"/>
                <w:szCs w:val="14"/>
              </w:rPr>
            </w:pPr>
            <w:r w:rsidRPr="001D3435">
              <w:rPr>
                <w:i/>
                <w:sz w:val="14"/>
                <w:szCs w:val="14"/>
              </w:rPr>
              <w:t>Remarques/Questions</w:t>
            </w:r>
          </w:p>
        </w:tc>
      </w:tr>
      <w:tr w:rsidR="0002224B" w:rsidRPr="00190A3E" w:rsidTr="00776B8B">
        <w:trPr>
          <w:tblHeader/>
        </w:trPr>
        <w:tc>
          <w:tcPr>
            <w:tcW w:w="957" w:type="dxa"/>
            <w:vMerge w:val="restart"/>
            <w:shd w:val="clear" w:color="auto" w:fill="auto"/>
            <w:vAlign w:val="center"/>
          </w:tcPr>
          <w:p w:rsidR="0002224B" w:rsidRPr="00F61982" w:rsidRDefault="0002224B" w:rsidP="0002224B">
            <w:pPr>
              <w:spacing w:before="40" w:after="120"/>
              <w:ind w:left="57" w:right="57"/>
              <w:jc w:val="center"/>
              <w:rPr>
                <w:sz w:val="18"/>
                <w:szCs w:val="18"/>
              </w:rPr>
            </w:pPr>
            <w:r w:rsidRPr="00F61982">
              <w:rPr>
                <w:sz w:val="18"/>
                <w:szCs w:val="18"/>
              </w:rPr>
              <w:t>Thermique</w:t>
            </w:r>
          </w:p>
        </w:tc>
        <w:tc>
          <w:tcPr>
            <w:tcW w:w="1078" w:type="dxa"/>
            <w:vMerge w:val="restart"/>
            <w:shd w:val="clear" w:color="auto" w:fill="auto"/>
            <w:vAlign w:val="center"/>
          </w:tcPr>
          <w:p w:rsidR="0002224B" w:rsidRPr="00F61982" w:rsidRDefault="0002224B" w:rsidP="0002224B">
            <w:pPr>
              <w:spacing w:before="40" w:after="120"/>
              <w:ind w:left="57" w:right="57"/>
              <w:jc w:val="center"/>
              <w:rPr>
                <w:sz w:val="18"/>
                <w:szCs w:val="18"/>
              </w:rPr>
            </w:pPr>
            <w:r w:rsidRPr="00F61982">
              <w:rPr>
                <w:sz w:val="18"/>
                <w:szCs w:val="18"/>
              </w:rPr>
              <w:t>Feu</w:t>
            </w:r>
          </w:p>
        </w:tc>
        <w:tc>
          <w:tcPr>
            <w:tcW w:w="910" w:type="dxa"/>
            <w:shd w:val="clear" w:color="auto" w:fill="auto"/>
          </w:tcPr>
          <w:p w:rsidR="0002224B" w:rsidRPr="00F61982" w:rsidRDefault="0002224B" w:rsidP="0002224B">
            <w:pPr>
              <w:spacing w:before="40" w:after="120"/>
              <w:ind w:left="57" w:right="57"/>
              <w:rPr>
                <w:sz w:val="18"/>
                <w:szCs w:val="18"/>
              </w:rPr>
            </w:pPr>
            <w:r w:rsidRPr="00F61982">
              <w:rPr>
                <w:sz w:val="18"/>
                <w:szCs w:val="18"/>
              </w:rPr>
              <w:t>Durée de la</w:t>
            </w:r>
            <w:r>
              <w:rPr>
                <w:sz w:val="18"/>
                <w:szCs w:val="18"/>
              </w:rPr>
              <w:t> </w:t>
            </w:r>
            <w:r w:rsidRPr="00F61982">
              <w:rPr>
                <w:sz w:val="18"/>
                <w:szCs w:val="18"/>
              </w:rPr>
              <w:t>flamme</w:t>
            </w:r>
          </w:p>
        </w:tc>
        <w:tc>
          <w:tcPr>
            <w:tcW w:w="1428" w:type="dxa"/>
            <w:shd w:val="clear" w:color="auto" w:fill="auto"/>
          </w:tcPr>
          <w:p w:rsidR="0002224B" w:rsidRPr="00F61982" w:rsidRDefault="0002224B" w:rsidP="00776B8B">
            <w:pPr>
              <w:spacing w:before="40" w:after="120"/>
              <w:ind w:left="57" w:right="57"/>
              <w:rPr>
                <w:sz w:val="18"/>
                <w:szCs w:val="18"/>
              </w:rPr>
            </w:pPr>
            <w:r w:rsidRPr="00F61982">
              <w:rPr>
                <w:sz w:val="18"/>
                <w:szCs w:val="18"/>
              </w:rPr>
              <w:t>La flamme peut provoquer un incendie dans l’emballage, de la</w:t>
            </w:r>
            <w:r>
              <w:rPr>
                <w:sz w:val="18"/>
                <w:szCs w:val="18"/>
              </w:rPr>
              <w:t> </w:t>
            </w:r>
            <w:r w:rsidRPr="00F61982">
              <w:rPr>
                <w:sz w:val="18"/>
                <w:szCs w:val="18"/>
              </w:rPr>
              <w:t>cargaison dans des engins de transport ou de la</w:t>
            </w:r>
            <w:r w:rsidR="00776B8B">
              <w:rPr>
                <w:sz w:val="18"/>
                <w:szCs w:val="18"/>
              </w:rPr>
              <w:t> </w:t>
            </w:r>
            <w:r w:rsidRPr="00F61982">
              <w:rPr>
                <w:sz w:val="18"/>
                <w:szCs w:val="18"/>
              </w:rPr>
              <w:t>soute/tous les autres dangers</w:t>
            </w:r>
          </w:p>
        </w:tc>
        <w:tc>
          <w:tcPr>
            <w:tcW w:w="1959" w:type="dxa"/>
            <w:shd w:val="clear" w:color="auto" w:fill="auto"/>
          </w:tcPr>
          <w:p w:rsidR="0002224B" w:rsidRPr="00F61982" w:rsidRDefault="0002224B" w:rsidP="0002224B">
            <w:pPr>
              <w:spacing w:before="40" w:after="120"/>
              <w:ind w:left="57" w:right="57"/>
              <w:rPr>
                <w:sz w:val="18"/>
                <w:szCs w:val="18"/>
              </w:rPr>
            </w:pPr>
            <w:r w:rsidRPr="00776B8B">
              <w:rPr>
                <w:spacing w:val="-2"/>
                <w:sz w:val="18"/>
                <w:szCs w:val="18"/>
              </w:rPr>
              <w:t xml:space="preserve">Niveau/durée/température </w:t>
            </w:r>
            <w:r w:rsidRPr="00F61982">
              <w:rPr>
                <w:sz w:val="18"/>
                <w:szCs w:val="18"/>
              </w:rPr>
              <w:t>de la flamme</w:t>
            </w:r>
          </w:p>
        </w:tc>
        <w:tc>
          <w:tcPr>
            <w:tcW w:w="1554" w:type="dxa"/>
            <w:shd w:val="clear" w:color="auto" w:fill="auto"/>
          </w:tcPr>
          <w:p w:rsidR="0002224B" w:rsidRPr="00F61982" w:rsidRDefault="0002224B" w:rsidP="0002224B">
            <w:pPr>
              <w:spacing w:before="40" w:after="120"/>
              <w:ind w:left="57" w:right="57"/>
              <w:rPr>
                <w:sz w:val="18"/>
                <w:szCs w:val="18"/>
              </w:rPr>
            </w:pPr>
          </w:p>
        </w:tc>
        <w:tc>
          <w:tcPr>
            <w:tcW w:w="1753" w:type="dxa"/>
            <w:shd w:val="clear" w:color="auto" w:fill="auto"/>
          </w:tcPr>
          <w:p w:rsidR="0002224B" w:rsidRPr="00F61982" w:rsidRDefault="0002224B" w:rsidP="0002224B">
            <w:pPr>
              <w:spacing w:before="40" w:after="120"/>
              <w:ind w:left="57" w:right="57"/>
              <w:rPr>
                <w:sz w:val="18"/>
                <w:szCs w:val="18"/>
              </w:rPr>
            </w:pPr>
          </w:p>
        </w:tc>
      </w:tr>
      <w:tr w:rsidR="0002224B" w:rsidRPr="00190A3E" w:rsidTr="00776B8B">
        <w:trPr>
          <w:tblHeader/>
        </w:trPr>
        <w:tc>
          <w:tcPr>
            <w:tcW w:w="957" w:type="dxa"/>
            <w:vMerge/>
            <w:shd w:val="clear" w:color="auto" w:fill="auto"/>
          </w:tcPr>
          <w:p w:rsidR="0002224B" w:rsidRPr="00F61982" w:rsidRDefault="0002224B" w:rsidP="0002224B">
            <w:pPr>
              <w:spacing w:before="40" w:after="120"/>
              <w:ind w:left="57" w:right="57"/>
              <w:rPr>
                <w:sz w:val="18"/>
                <w:szCs w:val="18"/>
              </w:rPr>
            </w:pPr>
          </w:p>
        </w:tc>
        <w:tc>
          <w:tcPr>
            <w:tcW w:w="1078" w:type="dxa"/>
            <w:vMerge/>
            <w:shd w:val="clear" w:color="auto" w:fill="auto"/>
          </w:tcPr>
          <w:p w:rsidR="0002224B" w:rsidRPr="00F61982" w:rsidRDefault="0002224B" w:rsidP="0002224B">
            <w:pPr>
              <w:spacing w:before="40" w:after="120"/>
              <w:ind w:left="57" w:right="57"/>
              <w:rPr>
                <w:sz w:val="18"/>
                <w:szCs w:val="18"/>
              </w:rPr>
            </w:pPr>
          </w:p>
        </w:tc>
        <w:tc>
          <w:tcPr>
            <w:tcW w:w="910" w:type="dxa"/>
            <w:shd w:val="clear" w:color="auto" w:fill="D1DBF7"/>
          </w:tcPr>
          <w:p w:rsidR="0002224B" w:rsidRPr="00F61982" w:rsidRDefault="0002224B" w:rsidP="0002224B">
            <w:pPr>
              <w:spacing w:before="40" w:after="120"/>
              <w:ind w:left="57" w:right="57"/>
              <w:rPr>
                <w:sz w:val="18"/>
                <w:szCs w:val="18"/>
              </w:rPr>
            </w:pPr>
            <w:r w:rsidRPr="00F61982">
              <w:rPr>
                <w:sz w:val="18"/>
                <w:szCs w:val="18"/>
              </w:rPr>
              <w:t>Puissance de la flamme</w:t>
            </w:r>
          </w:p>
        </w:tc>
        <w:tc>
          <w:tcPr>
            <w:tcW w:w="1428" w:type="dxa"/>
            <w:shd w:val="clear" w:color="auto" w:fill="D1DBF7"/>
          </w:tcPr>
          <w:p w:rsidR="0002224B" w:rsidRPr="00F61982" w:rsidRDefault="0002224B" w:rsidP="0002224B">
            <w:pPr>
              <w:spacing w:before="40" w:after="120"/>
              <w:ind w:left="57" w:right="57"/>
              <w:rPr>
                <w:sz w:val="18"/>
                <w:szCs w:val="18"/>
              </w:rPr>
            </w:pPr>
            <w:r w:rsidRPr="00F61982">
              <w:rPr>
                <w:sz w:val="18"/>
                <w:szCs w:val="18"/>
              </w:rPr>
              <w:t>Énergie calorifique</w:t>
            </w:r>
          </w:p>
        </w:tc>
        <w:tc>
          <w:tcPr>
            <w:tcW w:w="1959" w:type="dxa"/>
            <w:shd w:val="clear" w:color="auto" w:fill="D1DBF7"/>
          </w:tcPr>
          <w:p w:rsidR="0002224B" w:rsidRPr="00F61982" w:rsidRDefault="0002224B" w:rsidP="0002224B">
            <w:pPr>
              <w:spacing w:before="40" w:after="120"/>
              <w:ind w:left="57" w:right="57"/>
              <w:rPr>
                <w:sz w:val="18"/>
                <w:szCs w:val="18"/>
              </w:rPr>
            </w:pPr>
          </w:p>
        </w:tc>
        <w:tc>
          <w:tcPr>
            <w:tcW w:w="1554" w:type="dxa"/>
            <w:shd w:val="clear" w:color="auto" w:fill="D1DBF7"/>
          </w:tcPr>
          <w:p w:rsidR="0002224B" w:rsidRPr="00F61982" w:rsidRDefault="0002224B" w:rsidP="0002224B">
            <w:pPr>
              <w:spacing w:before="40" w:after="120"/>
              <w:ind w:left="57" w:right="57"/>
              <w:rPr>
                <w:sz w:val="18"/>
                <w:szCs w:val="18"/>
              </w:rPr>
            </w:pPr>
          </w:p>
        </w:tc>
        <w:tc>
          <w:tcPr>
            <w:tcW w:w="1753" w:type="dxa"/>
            <w:shd w:val="clear" w:color="auto" w:fill="D1DBF7"/>
          </w:tcPr>
          <w:p w:rsidR="0002224B" w:rsidRPr="00F61982" w:rsidRDefault="00776B8B" w:rsidP="00776B8B">
            <w:pPr>
              <w:spacing w:before="40" w:after="120"/>
              <w:ind w:left="57" w:right="57"/>
              <w:rPr>
                <w:sz w:val="18"/>
                <w:szCs w:val="18"/>
              </w:rPr>
            </w:pPr>
            <w:r>
              <w:rPr>
                <w:sz w:val="18"/>
                <w:szCs w:val="18"/>
              </w:rPr>
              <w:t xml:space="preserve">Le groupe de </w:t>
            </w:r>
            <w:r w:rsidR="0002224B" w:rsidRPr="00F61982">
              <w:rPr>
                <w:sz w:val="18"/>
                <w:szCs w:val="18"/>
              </w:rPr>
              <w:t>travail a proposé de supprimer cette caractéristique</w:t>
            </w:r>
          </w:p>
        </w:tc>
      </w:tr>
      <w:tr w:rsidR="0002224B" w:rsidRPr="00190A3E" w:rsidTr="00776B8B">
        <w:trPr>
          <w:tblHeader/>
        </w:trPr>
        <w:tc>
          <w:tcPr>
            <w:tcW w:w="957" w:type="dxa"/>
            <w:vMerge/>
            <w:shd w:val="clear" w:color="auto" w:fill="auto"/>
          </w:tcPr>
          <w:p w:rsidR="0002224B" w:rsidRPr="00F61982" w:rsidRDefault="0002224B" w:rsidP="0002224B">
            <w:pPr>
              <w:spacing w:before="40" w:after="120"/>
              <w:ind w:left="57" w:right="57"/>
              <w:rPr>
                <w:sz w:val="18"/>
                <w:szCs w:val="18"/>
              </w:rPr>
            </w:pPr>
          </w:p>
        </w:tc>
        <w:tc>
          <w:tcPr>
            <w:tcW w:w="1078" w:type="dxa"/>
            <w:vMerge/>
            <w:shd w:val="clear" w:color="auto" w:fill="auto"/>
          </w:tcPr>
          <w:p w:rsidR="0002224B" w:rsidRPr="00F61982" w:rsidRDefault="0002224B" w:rsidP="0002224B">
            <w:pPr>
              <w:spacing w:before="40" w:after="120"/>
              <w:ind w:left="57" w:right="57"/>
              <w:rPr>
                <w:sz w:val="18"/>
                <w:szCs w:val="18"/>
              </w:rPr>
            </w:pPr>
          </w:p>
        </w:tc>
        <w:tc>
          <w:tcPr>
            <w:tcW w:w="910" w:type="dxa"/>
            <w:shd w:val="clear" w:color="auto" w:fill="auto"/>
          </w:tcPr>
          <w:p w:rsidR="0002224B" w:rsidRPr="00F61982" w:rsidRDefault="0002224B" w:rsidP="0002224B">
            <w:pPr>
              <w:spacing w:before="40" w:after="120"/>
              <w:ind w:left="57" w:right="57"/>
              <w:rPr>
                <w:sz w:val="18"/>
                <w:szCs w:val="18"/>
              </w:rPr>
            </w:pPr>
            <w:r w:rsidRPr="00F61982">
              <w:rPr>
                <w:sz w:val="18"/>
                <w:szCs w:val="18"/>
              </w:rPr>
              <w:t>Longueur/</w:t>
            </w:r>
            <w:r w:rsidRPr="00F61982">
              <w:rPr>
                <w:sz w:val="18"/>
                <w:szCs w:val="18"/>
              </w:rPr>
              <w:br/>
              <w:t>hauteur de la</w:t>
            </w:r>
            <w:r>
              <w:rPr>
                <w:sz w:val="18"/>
                <w:szCs w:val="18"/>
              </w:rPr>
              <w:t xml:space="preserve"> </w:t>
            </w:r>
            <w:r w:rsidRPr="00F61982">
              <w:rPr>
                <w:sz w:val="18"/>
                <w:szCs w:val="18"/>
              </w:rPr>
              <w:t>flamme</w:t>
            </w:r>
          </w:p>
        </w:tc>
        <w:tc>
          <w:tcPr>
            <w:tcW w:w="1428" w:type="dxa"/>
            <w:shd w:val="clear" w:color="auto" w:fill="auto"/>
          </w:tcPr>
          <w:p w:rsidR="0002224B" w:rsidRPr="00F61982" w:rsidRDefault="0002224B" w:rsidP="0002224B">
            <w:pPr>
              <w:spacing w:before="40" w:after="120"/>
              <w:ind w:left="57" w:right="57"/>
              <w:rPr>
                <w:sz w:val="18"/>
                <w:szCs w:val="18"/>
              </w:rPr>
            </w:pPr>
          </w:p>
        </w:tc>
        <w:tc>
          <w:tcPr>
            <w:tcW w:w="1959" w:type="dxa"/>
            <w:shd w:val="clear" w:color="auto" w:fill="auto"/>
          </w:tcPr>
          <w:p w:rsidR="0002224B" w:rsidRPr="00F61982" w:rsidRDefault="0002224B" w:rsidP="0002224B">
            <w:pPr>
              <w:spacing w:before="40" w:after="120"/>
              <w:ind w:left="57" w:right="57"/>
              <w:rPr>
                <w:sz w:val="18"/>
                <w:szCs w:val="18"/>
              </w:rPr>
            </w:pPr>
          </w:p>
        </w:tc>
        <w:tc>
          <w:tcPr>
            <w:tcW w:w="1554" w:type="dxa"/>
            <w:shd w:val="clear" w:color="auto" w:fill="auto"/>
          </w:tcPr>
          <w:p w:rsidR="0002224B" w:rsidRPr="00F61982" w:rsidRDefault="0002224B" w:rsidP="0002224B">
            <w:pPr>
              <w:spacing w:before="40" w:after="120"/>
              <w:ind w:left="57" w:right="57"/>
              <w:rPr>
                <w:sz w:val="18"/>
                <w:szCs w:val="18"/>
              </w:rPr>
            </w:pPr>
          </w:p>
        </w:tc>
        <w:tc>
          <w:tcPr>
            <w:tcW w:w="1753" w:type="dxa"/>
            <w:shd w:val="clear" w:color="auto" w:fill="auto"/>
          </w:tcPr>
          <w:p w:rsidR="0002224B" w:rsidRPr="00F61982" w:rsidRDefault="0002224B" w:rsidP="0002224B">
            <w:pPr>
              <w:spacing w:before="40" w:after="120"/>
              <w:ind w:left="57" w:right="57"/>
              <w:rPr>
                <w:sz w:val="18"/>
                <w:szCs w:val="18"/>
              </w:rPr>
            </w:pPr>
          </w:p>
        </w:tc>
      </w:tr>
      <w:tr w:rsidR="0002224B" w:rsidRPr="00190A3E" w:rsidTr="00776B8B">
        <w:trPr>
          <w:tblHeader/>
        </w:trPr>
        <w:tc>
          <w:tcPr>
            <w:tcW w:w="957" w:type="dxa"/>
            <w:vMerge/>
            <w:shd w:val="clear" w:color="auto" w:fill="auto"/>
          </w:tcPr>
          <w:p w:rsidR="0002224B" w:rsidRPr="00F61982" w:rsidRDefault="0002224B" w:rsidP="0002224B">
            <w:pPr>
              <w:spacing w:before="40" w:after="120"/>
              <w:ind w:left="57" w:right="57"/>
              <w:rPr>
                <w:sz w:val="18"/>
                <w:szCs w:val="18"/>
              </w:rPr>
            </w:pPr>
          </w:p>
        </w:tc>
        <w:tc>
          <w:tcPr>
            <w:tcW w:w="1078" w:type="dxa"/>
            <w:vMerge w:val="restart"/>
            <w:shd w:val="clear" w:color="auto" w:fill="auto"/>
            <w:vAlign w:val="center"/>
          </w:tcPr>
          <w:p w:rsidR="0002224B" w:rsidRPr="00F61982" w:rsidRDefault="0002224B" w:rsidP="0002224B">
            <w:pPr>
              <w:spacing w:before="40" w:after="120"/>
              <w:ind w:left="57" w:right="57"/>
              <w:jc w:val="center"/>
              <w:rPr>
                <w:sz w:val="18"/>
                <w:szCs w:val="18"/>
              </w:rPr>
            </w:pPr>
            <w:r w:rsidRPr="00F61982">
              <w:rPr>
                <w:sz w:val="18"/>
                <w:szCs w:val="18"/>
              </w:rPr>
              <w:t>Production de chaleur</w:t>
            </w:r>
          </w:p>
        </w:tc>
        <w:tc>
          <w:tcPr>
            <w:tcW w:w="910" w:type="dxa"/>
            <w:shd w:val="clear" w:color="auto" w:fill="auto"/>
          </w:tcPr>
          <w:p w:rsidR="0002224B" w:rsidRPr="00F61982" w:rsidRDefault="0002224B" w:rsidP="00776B8B">
            <w:pPr>
              <w:spacing w:before="40" w:after="120"/>
              <w:ind w:left="57" w:right="57"/>
              <w:rPr>
                <w:sz w:val="18"/>
                <w:szCs w:val="18"/>
              </w:rPr>
            </w:pPr>
            <w:r w:rsidRPr="00F61982">
              <w:rPr>
                <w:sz w:val="18"/>
                <w:szCs w:val="18"/>
              </w:rPr>
              <w:t>Taux de libération de la chaleur</w:t>
            </w:r>
          </w:p>
        </w:tc>
        <w:tc>
          <w:tcPr>
            <w:tcW w:w="1428" w:type="dxa"/>
            <w:shd w:val="clear" w:color="auto" w:fill="auto"/>
          </w:tcPr>
          <w:p w:rsidR="0002224B" w:rsidRPr="00F61982" w:rsidRDefault="0002224B" w:rsidP="0002224B">
            <w:pPr>
              <w:spacing w:before="40" w:after="120"/>
              <w:ind w:left="57" w:right="57"/>
              <w:rPr>
                <w:sz w:val="18"/>
                <w:szCs w:val="18"/>
              </w:rPr>
            </w:pPr>
            <w:r w:rsidRPr="00F61982">
              <w:rPr>
                <w:sz w:val="18"/>
                <w:szCs w:val="18"/>
              </w:rPr>
              <w:t>La chaleur peut enclencher un incendie ou une réaction avec une autre batterie au lithium</w:t>
            </w:r>
          </w:p>
        </w:tc>
        <w:tc>
          <w:tcPr>
            <w:tcW w:w="1959" w:type="dxa"/>
            <w:shd w:val="clear" w:color="auto" w:fill="auto"/>
          </w:tcPr>
          <w:p w:rsidR="0002224B" w:rsidRPr="00F61982" w:rsidRDefault="0002224B" w:rsidP="0002224B">
            <w:pPr>
              <w:spacing w:before="40" w:after="120"/>
              <w:ind w:left="57" w:right="57"/>
              <w:rPr>
                <w:sz w:val="18"/>
                <w:szCs w:val="18"/>
              </w:rPr>
            </w:pPr>
            <w:r w:rsidRPr="00F61982">
              <w:rPr>
                <w:sz w:val="18"/>
                <w:szCs w:val="18"/>
              </w:rPr>
              <w:t>Énergie calorifique disponible</w:t>
            </w:r>
          </w:p>
        </w:tc>
        <w:tc>
          <w:tcPr>
            <w:tcW w:w="1554" w:type="dxa"/>
            <w:shd w:val="clear" w:color="auto" w:fill="auto"/>
          </w:tcPr>
          <w:p w:rsidR="0002224B" w:rsidRPr="00F61982" w:rsidRDefault="0002224B" w:rsidP="0002224B">
            <w:pPr>
              <w:spacing w:before="40" w:after="120"/>
              <w:ind w:left="57" w:right="57"/>
              <w:rPr>
                <w:sz w:val="18"/>
                <w:szCs w:val="18"/>
              </w:rPr>
            </w:pPr>
          </w:p>
        </w:tc>
        <w:tc>
          <w:tcPr>
            <w:tcW w:w="1753" w:type="dxa"/>
            <w:shd w:val="clear" w:color="auto" w:fill="auto"/>
          </w:tcPr>
          <w:p w:rsidR="0002224B" w:rsidRPr="00F61982" w:rsidRDefault="0002224B" w:rsidP="0002224B">
            <w:pPr>
              <w:spacing w:before="40" w:after="120"/>
              <w:ind w:left="57" w:right="57"/>
              <w:rPr>
                <w:sz w:val="18"/>
                <w:szCs w:val="18"/>
              </w:rPr>
            </w:pPr>
          </w:p>
        </w:tc>
      </w:tr>
      <w:tr w:rsidR="0002224B" w:rsidRPr="00190A3E" w:rsidTr="00776B8B">
        <w:trPr>
          <w:tblHeader/>
        </w:trPr>
        <w:tc>
          <w:tcPr>
            <w:tcW w:w="957" w:type="dxa"/>
            <w:vMerge/>
            <w:shd w:val="clear" w:color="auto" w:fill="auto"/>
          </w:tcPr>
          <w:p w:rsidR="0002224B" w:rsidRPr="00F61982" w:rsidRDefault="0002224B" w:rsidP="0002224B">
            <w:pPr>
              <w:spacing w:before="40" w:after="120"/>
              <w:ind w:left="57" w:right="57"/>
              <w:rPr>
                <w:sz w:val="18"/>
                <w:szCs w:val="18"/>
              </w:rPr>
            </w:pPr>
          </w:p>
        </w:tc>
        <w:tc>
          <w:tcPr>
            <w:tcW w:w="1078" w:type="dxa"/>
            <w:vMerge/>
            <w:shd w:val="clear" w:color="auto" w:fill="auto"/>
          </w:tcPr>
          <w:p w:rsidR="0002224B" w:rsidRPr="00F61982" w:rsidRDefault="0002224B" w:rsidP="0002224B">
            <w:pPr>
              <w:spacing w:before="40" w:after="120"/>
              <w:ind w:left="57" w:right="57"/>
              <w:rPr>
                <w:sz w:val="18"/>
                <w:szCs w:val="18"/>
              </w:rPr>
            </w:pPr>
          </w:p>
        </w:tc>
        <w:tc>
          <w:tcPr>
            <w:tcW w:w="910" w:type="dxa"/>
            <w:shd w:val="clear" w:color="auto" w:fill="auto"/>
          </w:tcPr>
          <w:p w:rsidR="0002224B" w:rsidRPr="00F61982" w:rsidRDefault="0002224B" w:rsidP="0002224B">
            <w:pPr>
              <w:spacing w:before="40" w:after="120"/>
              <w:ind w:left="57" w:right="57"/>
              <w:rPr>
                <w:sz w:val="18"/>
                <w:szCs w:val="18"/>
              </w:rPr>
            </w:pPr>
            <w:r w:rsidRPr="00F61982">
              <w:rPr>
                <w:sz w:val="18"/>
                <w:szCs w:val="18"/>
              </w:rPr>
              <w:t>Énergie maximale libérée</w:t>
            </w:r>
          </w:p>
        </w:tc>
        <w:tc>
          <w:tcPr>
            <w:tcW w:w="1428" w:type="dxa"/>
            <w:shd w:val="clear" w:color="auto" w:fill="auto"/>
          </w:tcPr>
          <w:p w:rsidR="0002224B" w:rsidRPr="00F61982" w:rsidRDefault="0002224B" w:rsidP="0002224B">
            <w:pPr>
              <w:spacing w:before="40" w:after="120"/>
              <w:ind w:left="57" w:right="57"/>
              <w:rPr>
                <w:sz w:val="18"/>
                <w:szCs w:val="18"/>
              </w:rPr>
            </w:pPr>
            <w:r w:rsidRPr="00F61982">
              <w:rPr>
                <w:sz w:val="18"/>
                <w:szCs w:val="18"/>
              </w:rPr>
              <w:t>Évolution du flux thermique au fil du temps et durée</w:t>
            </w:r>
          </w:p>
        </w:tc>
        <w:tc>
          <w:tcPr>
            <w:tcW w:w="1959" w:type="dxa"/>
            <w:shd w:val="clear" w:color="auto" w:fill="auto"/>
          </w:tcPr>
          <w:p w:rsidR="0002224B" w:rsidRPr="00F61982" w:rsidRDefault="0002224B" w:rsidP="00776B8B">
            <w:pPr>
              <w:spacing w:before="40" w:after="120"/>
              <w:ind w:left="57" w:right="57"/>
              <w:rPr>
                <w:sz w:val="18"/>
                <w:szCs w:val="18"/>
              </w:rPr>
            </w:pPr>
            <w:r w:rsidRPr="00F61982">
              <w:rPr>
                <w:sz w:val="18"/>
                <w:szCs w:val="18"/>
              </w:rPr>
              <w:t>Énergie maximale (MW/kg), durée (en sec.)</w:t>
            </w:r>
          </w:p>
        </w:tc>
        <w:tc>
          <w:tcPr>
            <w:tcW w:w="1554" w:type="dxa"/>
            <w:shd w:val="clear" w:color="auto" w:fill="auto"/>
          </w:tcPr>
          <w:p w:rsidR="0002224B" w:rsidRPr="00F61982" w:rsidRDefault="0002224B" w:rsidP="0002224B">
            <w:pPr>
              <w:spacing w:before="40" w:after="120"/>
              <w:ind w:left="57" w:right="57"/>
              <w:rPr>
                <w:sz w:val="18"/>
                <w:szCs w:val="18"/>
              </w:rPr>
            </w:pPr>
            <w:r w:rsidRPr="00F61982">
              <w:rPr>
                <w:sz w:val="18"/>
                <w:szCs w:val="18"/>
              </w:rPr>
              <w:t>Débimètre de chaleur à la distance donnée</w:t>
            </w:r>
          </w:p>
        </w:tc>
        <w:tc>
          <w:tcPr>
            <w:tcW w:w="1753" w:type="dxa"/>
            <w:shd w:val="clear" w:color="auto" w:fill="auto"/>
          </w:tcPr>
          <w:p w:rsidR="0002224B" w:rsidRPr="00F61982" w:rsidRDefault="0002224B" w:rsidP="0002224B">
            <w:pPr>
              <w:spacing w:before="40" w:after="120"/>
              <w:ind w:left="57" w:right="57"/>
              <w:rPr>
                <w:sz w:val="18"/>
                <w:szCs w:val="18"/>
              </w:rPr>
            </w:pPr>
          </w:p>
        </w:tc>
      </w:tr>
      <w:tr w:rsidR="0002224B" w:rsidRPr="00190A3E" w:rsidTr="00776B8B">
        <w:trPr>
          <w:tblHeader/>
        </w:trPr>
        <w:tc>
          <w:tcPr>
            <w:tcW w:w="957" w:type="dxa"/>
            <w:vMerge/>
            <w:shd w:val="clear" w:color="auto" w:fill="auto"/>
          </w:tcPr>
          <w:p w:rsidR="0002224B" w:rsidRPr="00F61982" w:rsidRDefault="0002224B" w:rsidP="0002224B">
            <w:pPr>
              <w:spacing w:before="40" w:after="120"/>
              <w:ind w:left="57" w:right="57"/>
              <w:rPr>
                <w:sz w:val="18"/>
                <w:szCs w:val="18"/>
              </w:rPr>
            </w:pPr>
          </w:p>
        </w:tc>
        <w:tc>
          <w:tcPr>
            <w:tcW w:w="1078" w:type="dxa"/>
            <w:vMerge/>
            <w:shd w:val="clear" w:color="auto" w:fill="auto"/>
          </w:tcPr>
          <w:p w:rsidR="0002224B" w:rsidRPr="00F61982" w:rsidRDefault="0002224B" w:rsidP="0002224B">
            <w:pPr>
              <w:spacing w:before="40" w:after="120"/>
              <w:ind w:left="57" w:right="57"/>
              <w:rPr>
                <w:sz w:val="18"/>
                <w:szCs w:val="18"/>
              </w:rPr>
            </w:pPr>
          </w:p>
        </w:tc>
        <w:tc>
          <w:tcPr>
            <w:tcW w:w="910" w:type="dxa"/>
            <w:shd w:val="clear" w:color="auto" w:fill="auto"/>
          </w:tcPr>
          <w:p w:rsidR="0002224B" w:rsidRPr="00F61982" w:rsidRDefault="0002224B" w:rsidP="00776B8B">
            <w:pPr>
              <w:spacing w:before="40" w:after="120"/>
              <w:ind w:left="57"/>
              <w:rPr>
                <w:sz w:val="18"/>
                <w:szCs w:val="18"/>
              </w:rPr>
            </w:pPr>
            <w:r w:rsidRPr="00F61982">
              <w:rPr>
                <w:sz w:val="18"/>
                <w:szCs w:val="18"/>
              </w:rPr>
              <w:t xml:space="preserve">Hausse de </w:t>
            </w:r>
            <w:r w:rsidRPr="00776B8B">
              <w:rPr>
                <w:spacing w:val="-6"/>
                <w:sz w:val="18"/>
                <w:szCs w:val="18"/>
              </w:rPr>
              <w:t xml:space="preserve">température </w:t>
            </w:r>
            <w:r w:rsidRPr="00F61982">
              <w:rPr>
                <w:sz w:val="18"/>
                <w:szCs w:val="18"/>
              </w:rPr>
              <w:t>maximale</w:t>
            </w:r>
          </w:p>
        </w:tc>
        <w:tc>
          <w:tcPr>
            <w:tcW w:w="1428" w:type="dxa"/>
            <w:shd w:val="clear" w:color="auto" w:fill="auto"/>
          </w:tcPr>
          <w:p w:rsidR="0002224B" w:rsidRPr="00F61982" w:rsidRDefault="00776B8B" w:rsidP="0002224B">
            <w:pPr>
              <w:spacing w:before="40" w:after="120"/>
              <w:ind w:left="57" w:right="57"/>
              <w:rPr>
                <w:sz w:val="18"/>
                <w:szCs w:val="18"/>
              </w:rPr>
            </w:pPr>
            <w:r>
              <w:rPr>
                <w:sz w:val="18"/>
                <w:szCs w:val="18"/>
              </w:rPr>
              <w:t>Température à la </w:t>
            </w:r>
            <w:r w:rsidR="0002224B" w:rsidRPr="00F61982">
              <w:rPr>
                <w:sz w:val="18"/>
                <w:szCs w:val="18"/>
              </w:rPr>
              <w:t>surface ou</w:t>
            </w:r>
            <w:r>
              <w:rPr>
                <w:sz w:val="18"/>
                <w:szCs w:val="18"/>
              </w:rPr>
              <w:t xml:space="preserve"> à distance, ou température des </w:t>
            </w:r>
            <w:r w:rsidR="0002224B" w:rsidRPr="00F61982">
              <w:rPr>
                <w:sz w:val="18"/>
                <w:szCs w:val="18"/>
              </w:rPr>
              <w:t>émissions gazeuses</w:t>
            </w:r>
          </w:p>
        </w:tc>
        <w:tc>
          <w:tcPr>
            <w:tcW w:w="1959" w:type="dxa"/>
            <w:shd w:val="clear" w:color="auto" w:fill="auto"/>
          </w:tcPr>
          <w:p w:rsidR="0002224B" w:rsidRPr="00F61982" w:rsidRDefault="0002224B" w:rsidP="0002224B">
            <w:pPr>
              <w:spacing w:before="40" w:after="120"/>
              <w:ind w:left="57" w:right="57"/>
              <w:rPr>
                <w:sz w:val="18"/>
                <w:szCs w:val="18"/>
              </w:rPr>
            </w:pPr>
            <w:r w:rsidRPr="00F61982">
              <w:rPr>
                <w:sz w:val="18"/>
                <w:szCs w:val="18"/>
              </w:rPr>
              <w:t>Quelle est la</w:t>
            </w:r>
            <w:r>
              <w:rPr>
                <w:sz w:val="18"/>
                <w:szCs w:val="18"/>
              </w:rPr>
              <w:t xml:space="preserve"> </w:t>
            </w:r>
            <w:r w:rsidRPr="00F61982">
              <w:rPr>
                <w:sz w:val="18"/>
                <w:szCs w:val="18"/>
              </w:rPr>
              <w:t>chaleur produite par la batterie ? Quelle est la</w:t>
            </w:r>
            <w:r>
              <w:rPr>
                <w:sz w:val="18"/>
                <w:szCs w:val="18"/>
              </w:rPr>
              <w:t xml:space="preserve"> </w:t>
            </w:r>
            <w:r w:rsidRPr="00F61982">
              <w:rPr>
                <w:sz w:val="18"/>
                <w:szCs w:val="18"/>
              </w:rPr>
              <w:t>chaleur produite par les combustibles dans la batterie ? La présence d’O2 est-elle un facteur atténuant ?</w:t>
            </w:r>
          </w:p>
        </w:tc>
        <w:tc>
          <w:tcPr>
            <w:tcW w:w="1554" w:type="dxa"/>
            <w:shd w:val="clear" w:color="auto" w:fill="auto"/>
          </w:tcPr>
          <w:p w:rsidR="0002224B" w:rsidRPr="00F61982" w:rsidRDefault="0002224B" w:rsidP="0002224B">
            <w:pPr>
              <w:spacing w:before="40" w:after="120"/>
              <w:ind w:left="57" w:right="57"/>
              <w:rPr>
                <w:sz w:val="18"/>
                <w:szCs w:val="18"/>
              </w:rPr>
            </w:pPr>
            <w:r w:rsidRPr="00F61982">
              <w:rPr>
                <w:sz w:val="18"/>
                <w:szCs w:val="18"/>
              </w:rPr>
              <w:t>Caméra infrarouge</w:t>
            </w:r>
          </w:p>
        </w:tc>
        <w:tc>
          <w:tcPr>
            <w:tcW w:w="1753" w:type="dxa"/>
            <w:shd w:val="clear" w:color="auto" w:fill="auto"/>
          </w:tcPr>
          <w:p w:rsidR="0002224B" w:rsidRPr="00F61982" w:rsidRDefault="0002224B" w:rsidP="0002224B">
            <w:pPr>
              <w:spacing w:before="40" w:after="120"/>
              <w:ind w:left="57" w:right="57"/>
              <w:rPr>
                <w:sz w:val="18"/>
                <w:szCs w:val="18"/>
              </w:rPr>
            </w:pPr>
          </w:p>
        </w:tc>
      </w:tr>
    </w:tbl>
    <w:p w:rsidR="00994C20" w:rsidRDefault="00994C20" w:rsidP="00220DBA">
      <w:pPr>
        <w:pStyle w:val="SingleTxtG"/>
      </w:pPr>
    </w:p>
    <w:tbl>
      <w:tblPr>
        <w:tblStyle w:val="TableGrid"/>
        <w:tblW w:w="9639" w:type="dxa"/>
        <w:tblLayout w:type="fixed"/>
        <w:tblLook w:val="04A0" w:firstRow="1" w:lastRow="0" w:firstColumn="1" w:lastColumn="0" w:noHBand="0" w:noVBand="1"/>
      </w:tblPr>
      <w:tblGrid>
        <w:gridCol w:w="957"/>
        <w:gridCol w:w="1078"/>
        <w:gridCol w:w="910"/>
        <w:gridCol w:w="1428"/>
        <w:gridCol w:w="1959"/>
        <w:gridCol w:w="1554"/>
        <w:gridCol w:w="1753"/>
      </w:tblGrid>
      <w:tr w:rsidR="00220DBA" w:rsidRPr="00F61982" w:rsidTr="001706F9">
        <w:trPr>
          <w:tblHeader/>
        </w:trPr>
        <w:tc>
          <w:tcPr>
            <w:tcW w:w="957" w:type="dxa"/>
            <w:shd w:val="clear" w:color="auto" w:fill="C1E9C8"/>
            <w:vAlign w:val="bottom"/>
          </w:tcPr>
          <w:p w:rsidR="00220DBA" w:rsidRPr="001D3435" w:rsidRDefault="00A5197D" w:rsidP="001706F9">
            <w:pPr>
              <w:keepNext/>
              <w:keepLines/>
              <w:spacing w:before="80" w:after="80" w:line="200" w:lineRule="exact"/>
              <w:ind w:left="57" w:right="113"/>
              <w:rPr>
                <w:i/>
                <w:sz w:val="14"/>
                <w:szCs w:val="14"/>
              </w:rPr>
            </w:pPr>
            <w:r>
              <w:br w:type="page"/>
            </w:r>
            <w:r>
              <w:br w:type="page"/>
            </w:r>
            <w:r w:rsidR="00220DBA" w:rsidRPr="001D3435">
              <w:rPr>
                <w:i/>
                <w:sz w:val="14"/>
                <w:szCs w:val="14"/>
              </w:rPr>
              <w:t>Dangers</w:t>
            </w:r>
          </w:p>
        </w:tc>
        <w:tc>
          <w:tcPr>
            <w:tcW w:w="1078" w:type="dxa"/>
            <w:shd w:val="clear" w:color="auto" w:fill="C1E9C8"/>
            <w:vAlign w:val="bottom"/>
          </w:tcPr>
          <w:p w:rsidR="00220DBA" w:rsidRPr="00860C2B" w:rsidRDefault="00220DBA" w:rsidP="001706F9">
            <w:pPr>
              <w:keepNext/>
              <w:keepLines/>
              <w:spacing w:before="80" w:after="80" w:line="200" w:lineRule="exact"/>
              <w:ind w:left="57" w:right="113"/>
              <w:rPr>
                <w:i/>
                <w:spacing w:val="-3"/>
                <w:sz w:val="14"/>
                <w:szCs w:val="14"/>
              </w:rPr>
            </w:pPr>
            <w:r w:rsidRPr="00860C2B">
              <w:rPr>
                <w:i/>
                <w:spacing w:val="-3"/>
                <w:sz w:val="14"/>
                <w:szCs w:val="14"/>
              </w:rPr>
              <w:t>Caractéristiques</w:t>
            </w:r>
          </w:p>
        </w:tc>
        <w:tc>
          <w:tcPr>
            <w:tcW w:w="910" w:type="dxa"/>
            <w:shd w:val="clear" w:color="auto" w:fill="C1E9C8"/>
            <w:vAlign w:val="bottom"/>
          </w:tcPr>
          <w:p w:rsidR="00220DBA" w:rsidRPr="001D3435" w:rsidRDefault="00220DBA" w:rsidP="001706F9">
            <w:pPr>
              <w:keepNext/>
              <w:keepLines/>
              <w:spacing w:before="80" w:after="80" w:line="200" w:lineRule="exact"/>
              <w:ind w:left="57" w:right="113"/>
              <w:rPr>
                <w:i/>
                <w:sz w:val="14"/>
                <w:szCs w:val="14"/>
              </w:rPr>
            </w:pPr>
            <w:r w:rsidRPr="001D3435">
              <w:rPr>
                <w:i/>
                <w:sz w:val="14"/>
                <w:szCs w:val="14"/>
              </w:rPr>
              <w:t>Paramètre mesurable</w:t>
            </w:r>
          </w:p>
        </w:tc>
        <w:tc>
          <w:tcPr>
            <w:tcW w:w="1428" w:type="dxa"/>
            <w:shd w:val="clear" w:color="auto" w:fill="C1E9C8"/>
            <w:vAlign w:val="bottom"/>
          </w:tcPr>
          <w:p w:rsidR="00220DBA" w:rsidRPr="001D3435" w:rsidRDefault="00220DBA" w:rsidP="001706F9">
            <w:pPr>
              <w:keepNext/>
              <w:keepLines/>
              <w:spacing w:before="80" w:after="80" w:line="200" w:lineRule="exact"/>
              <w:ind w:left="57" w:right="113"/>
              <w:rPr>
                <w:i/>
                <w:sz w:val="14"/>
                <w:szCs w:val="14"/>
              </w:rPr>
            </w:pPr>
            <w:r w:rsidRPr="001D3435">
              <w:rPr>
                <w:i/>
                <w:sz w:val="14"/>
                <w:szCs w:val="14"/>
              </w:rPr>
              <w:t>Préoccupation</w:t>
            </w:r>
          </w:p>
        </w:tc>
        <w:tc>
          <w:tcPr>
            <w:tcW w:w="1959" w:type="dxa"/>
            <w:shd w:val="clear" w:color="auto" w:fill="C1E9C8"/>
            <w:vAlign w:val="bottom"/>
          </w:tcPr>
          <w:p w:rsidR="00220DBA" w:rsidRPr="001D3435" w:rsidRDefault="00220DBA" w:rsidP="001706F9">
            <w:pPr>
              <w:keepNext/>
              <w:keepLines/>
              <w:spacing w:before="80" w:after="80" w:line="200" w:lineRule="exact"/>
              <w:ind w:left="57" w:right="113"/>
              <w:rPr>
                <w:i/>
                <w:sz w:val="14"/>
                <w:szCs w:val="14"/>
              </w:rPr>
            </w:pPr>
            <w:r w:rsidRPr="001D3435">
              <w:rPr>
                <w:i/>
                <w:sz w:val="14"/>
                <w:szCs w:val="14"/>
              </w:rPr>
              <w:t>Que faut-il examiner ?</w:t>
            </w:r>
          </w:p>
        </w:tc>
        <w:tc>
          <w:tcPr>
            <w:tcW w:w="1554" w:type="dxa"/>
            <w:shd w:val="clear" w:color="auto" w:fill="C1E9C8"/>
            <w:vAlign w:val="bottom"/>
          </w:tcPr>
          <w:p w:rsidR="00220DBA" w:rsidRPr="001D3435" w:rsidRDefault="00860C2B" w:rsidP="001706F9">
            <w:pPr>
              <w:keepNext/>
              <w:keepLines/>
              <w:spacing w:before="80" w:after="80" w:line="200" w:lineRule="exact"/>
              <w:ind w:left="57" w:right="113"/>
              <w:rPr>
                <w:i/>
                <w:sz w:val="14"/>
                <w:szCs w:val="14"/>
              </w:rPr>
            </w:pPr>
            <w:r>
              <w:rPr>
                <w:i/>
                <w:sz w:val="14"/>
                <w:szCs w:val="14"/>
              </w:rPr>
              <w:t>Comment procéder à </w:t>
            </w:r>
            <w:r w:rsidR="00220DBA" w:rsidRPr="001D3435">
              <w:rPr>
                <w:i/>
                <w:sz w:val="14"/>
                <w:szCs w:val="14"/>
              </w:rPr>
              <w:t xml:space="preserve">l’examen/ </w:t>
            </w:r>
            <w:r>
              <w:rPr>
                <w:i/>
                <w:sz w:val="14"/>
                <w:szCs w:val="14"/>
              </w:rPr>
              <w:br/>
            </w:r>
            <w:r w:rsidR="00220DBA" w:rsidRPr="001D3435">
              <w:rPr>
                <w:i/>
                <w:sz w:val="14"/>
                <w:szCs w:val="14"/>
              </w:rPr>
              <w:t xml:space="preserve">au déclenchement ? </w:t>
            </w:r>
            <w:r>
              <w:rPr>
                <w:i/>
                <w:sz w:val="14"/>
                <w:szCs w:val="14"/>
              </w:rPr>
              <w:br/>
            </w:r>
            <w:r w:rsidR="00220DBA" w:rsidRPr="001D3435">
              <w:rPr>
                <w:i/>
                <w:sz w:val="14"/>
                <w:szCs w:val="14"/>
              </w:rPr>
              <w:t>(un outil de mesure spécifique est-il nécessaire ?)</w:t>
            </w:r>
          </w:p>
        </w:tc>
        <w:tc>
          <w:tcPr>
            <w:tcW w:w="1753" w:type="dxa"/>
            <w:shd w:val="clear" w:color="auto" w:fill="C1E9C8"/>
            <w:vAlign w:val="bottom"/>
          </w:tcPr>
          <w:p w:rsidR="00220DBA" w:rsidRPr="00F61982" w:rsidRDefault="00220DBA" w:rsidP="00860C2B">
            <w:pPr>
              <w:keepNext/>
              <w:keepLines/>
              <w:spacing w:before="80" w:after="80" w:line="200" w:lineRule="exact"/>
              <w:ind w:left="57" w:right="113"/>
              <w:rPr>
                <w:i/>
                <w:sz w:val="14"/>
                <w:szCs w:val="14"/>
              </w:rPr>
            </w:pPr>
            <w:r w:rsidRPr="001D3435">
              <w:rPr>
                <w:i/>
                <w:sz w:val="14"/>
                <w:szCs w:val="14"/>
              </w:rPr>
              <w:t>Remarques/Questions</w:t>
            </w:r>
          </w:p>
        </w:tc>
      </w:tr>
      <w:tr w:rsidR="00220DBA" w:rsidRPr="00190A3E" w:rsidTr="001706F9">
        <w:trPr>
          <w:tblHeader/>
        </w:trPr>
        <w:tc>
          <w:tcPr>
            <w:tcW w:w="957" w:type="dxa"/>
            <w:shd w:val="clear" w:color="auto" w:fill="auto"/>
          </w:tcPr>
          <w:p w:rsidR="00220DBA" w:rsidRPr="00F61982" w:rsidRDefault="00220DBA" w:rsidP="001706F9">
            <w:pPr>
              <w:keepNext/>
              <w:keepLines/>
              <w:spacing w:before="40" w:after="120"/>
              <w:ind w:left="57" w:right="113"/>
              <w:rPr>
                <w:sz w:val="18"/>
                <w:szCs w:val="18"/>
              </w:rPr>
            </w:pPr>
            <w:r w:rsidRPr="00F61982">
              <w:rPr>
                <w:sz w:val="18"/>
                <w:szCs w:val="18"/>
              </w:rPr>
              <w:t>Fumée/</w:t>
            </w:r>
            <w:r w:rsidRPr="00F61982">
              <w:rPr>
                <w:sz w:val="18"/>
                <w:szCs w:val="18"/>
              </w:rPr>
              <w:br/>
              <w:t>vapeur</w:t>
            </w:r>
          </w:p>
        </w:tc>
        <w:tc>
          <w:tcPr>
            <w:tcW w:w="1078" w:type="dxa"/>
            <w:shd w:val="clear" w:color="auto" w:fill="auto"/>
          </w:tcPr>
          <w:p w:rsidR="00220DBA" w:rsidRPr="00F61982" w:rsidRDefault="00220DBA" w:rsidP="001706F9">
            <w:pPr>
              <w:keepNext/>
              <w:keepLines/>
              <w:spacing w:before="40" w:after="120"/>
              <w:ind w:left="57" w:right="113"/>
              <w:rPr>
                <w:sz w:val="18"/>
                <w:szCs w:val="18"/>
              </w:rPr>
            </w:pPr>
            <w:r w:rsidRPr="00F61982">
              <w:rPr>
                <w:sz w:val="18"/>
                <w:szCs w:val="18"/>
              </w:rPr>
              <w:t>Fumée/</w:t>
            </w:r>
            <w:r>
              <w:rPr>
                <w:sz w:val="18"/>
                <w:szCs w:val="18"/>
              </w:rPr>
              <w:br/>
            </w:r>
            <w:r w:rsidRPr="00F61982">
              <w:rPr>
                <w:sz w:val="18"/>
                <w:szCs w:val="18"/>
              </w:rPr>
              <w:t>vapeur/</w:t>
            </w:r>
            <w:r>
              <w:rPr>
                <w:sz w:val="18"/>
                <w:szCs w:val="18"/>
              </w:rPr>
              <w:br/>
            </w:r>
            <w:r w:rsidRPr="00F61982">
              <w:rPr>
                <w:sz w:val="18"/>
                <w:szCs w:val="18"/>
              </w:rPr>
              <w:t>opacité</w:t>
            </w:r>
          </w:p>
        </w:tc>
        <w:tc>
          <w:tcPr>
            <w:tcW w:w="910" w:type="dxa"/>
            <w:shd w:val="clear" w:color="auto" w:fill="auto"/>
          </w:tcPr>
          <w:p w:rsidR="00220DBA" w:rsidRPr="00F61982" w:rsidRDefault="00220DBA" w:rsidP="001706F9">
            <w:pPr>
              <w:keepNext/>
              <w:keepLines/>
              <w:spacing w:before="40" w:after="120"/>
              <w:ind w:left="57" w:right="113"/>
              <w:rPr>
                <w:sz w:val="18"/>
                <w:szCs w:val="18"/>
              </w:rPr>
            </w:pPr>
          </w:p>
        </w:tc>
        <w:tc>
          <w:tcPr>
            <w:tcW w:w="1428" w:type="dxa"/>
            <w:shd w:val="clear" w:color="auto" w:fill="auto"/>
          </w:tcPr>
          <w:p w:rsidR="00220DBA" w:rsidRPr="00F61982" w:rsidRDefault="00220DBA" w:rsidP="001706F9">
            <w:pPr>
              <w:keepNext/>
              <w:keepLines/>
              <w:spacing w:before="40" w:after="120"/>
              <w:ind w:left="57" w:right="113"/>
              <w:rPr>
                <w:sz w:val="18"/>
                <w:szCs w:val="18"/>
              </w:rPr>
            </w:pPr>
            <w:r w:rsidRPr="00F61982">
              <w:rPr>
                <w:sz w:val="18"/>
                <w:szCs w:val="18"/>
              </w:rPr>
              <w:t>Réduction de la visibilité</w:t>
            </w:r>
          </w:p>
        </w:tc>
        <w:tc>
          <w:tcPr>
            <w:tcW w:w="1959" w:type="dxa"/>
            <w:shd w:val="clear" w:color="auto" w:fill="auto"/>
          </w:tcPr>
          <w:p w:rsidR="00220DBA" w:rsidRPr="00F61982" w:rsidRDefault="001706F9" w:rsidP="001706F9">
            <w:pPr>
              <w:keepNext/>
              <w:keepLines/>
              <w:spacing w:before="40" w:after="120"/>
              <w:ind w:left="57" w:right="113"/>
              <w:rPr>
                <w:sz w:val="18"/>
                <w:szCs w:val="18"/>
              </w:rPr>
            </w:pPr>
            <w:r>
              <w:rPr>
                <w:sz w:val="18"/>
                <w:szCs w:val="18"/>
              </w:rPr>
              <w:t>Opacité de la vapeur ou </w:t>
            </w:r>
            <w:r w:rsidR="00220DBA" w:rsidRPr="00F61982">
              <w:rPr>
                <w:sz w:val="18"/>
                <w:szCs w:val="18"/>
              </w:rPr>
              <w:t xml:space="preserve">du gaz </w:t>
            </w:r>
            <w:r w:rsidR="00220DBA">
              <w:rPr>
                <w:sz w:val="18"/>
                <w:szCs w:val="18"/>
              </w:rPr>
              <w:t>émis</w:t>
            </w:r>
          </w:p>
        </w:tc>
        <w:tc>
          <w:tcPr>
            <w:tcW w:w="1554" w:type="dxa"/>
            <w:shd w:val="clear" w:color="auto" w:fill="auto"/>
          </w:tcPr>
          <w:p w:rsidR="00220DBA" w:rsidRPr="00F61982" w:rsidRDefault="00220DBA" w:rsidP="001706F9">
            <w:pPr>
              <w:keepNext/>
              <w:keepLines/>
              <w:spacing w:before="40" w:after="120"/>
              <w:ind w:left="57" w:right="113"/>
              <w:rPr>
                <w:sz w:val="18"/>
                <w:szCs w:val="18"/>
              </w:rPr>
            </w:pPr>
            <w:r w:rsidRPr="00F61982">
              <w:rPr>
                <w:sz w:val="18"/>
                <w:szCs w:val="18"/>
              </w:rPr>
              <w:t>Opacimètre, source lumineuse, quel volume doit être examiné ?</w:t>
            </w:r>
          </w:p>
        </w:tc>
        <w:tc>
          <w:tcPr>
            <w:tcW w:w="1753" w:type="dxa"/>
            <w:shd w:val="clear" w:color="auto" w:fill="auto"/>
          </w:tcPr>
          <w:p w:rsidR="00220DBA" w:rsidRPr="00F61982" w:rsidRDefault="00220DBA" w:rsidP="001706F9">
            <w:pPr>
              <w:keepNext/>
              <w:keepLines/>
              <w:spacing w:before="40" w:after="120"/>
              <w:ind w:left="57" w:right="113"/>
              <w:rPr>
                <w:sz w:val="18"/>
                <w:szCs w:val="18"/>
              </w:rPr>
            </w:pPr>
            <w:r w:rsidRPr="00F61982">
              <w:rPr>
                <w:sz w:val="18"/>
                <w:szCs w:val="18"/>
              </w:rPr>
              <w:t>Il faut étudier cette caractéristique pour déterminer si elle constitue une vraie menace et si elle peut être mesurée de manière distincte en</w:t>
            </w:r>
            <w:r w:rsidR="001706F9">
              <w:rPr>
                <w:sz w:val="18"/>
                <w:szCs w:val="18"/>
              </w:rPr>
              <w:t> </w:t>
            </w:r>
            <w:r w:rsidRPr="00F61982">
              <w:rPr>
                <w:sz w:val="18"/>
                <w:szCs w:val="18"/>
              </w:rPr>
              <w:t>vue de la classification</w:t>
            </w:r>
          </w:p>
        </w:tc>
      </w:tr>
    </w:tbl>
    <w:p w:rsidR="00220DBA" w:rsidRDefault="00220DBA" w:rsidP="00220DBA">
      <w:pPr>
        <w:pStyle w:val="SingleTxtG"/>
      </w:pPr>
    </w:p>
    <w:tbl>
      <w:tblPr>
        <w:tblStyle w:val="TableGrid"/>
        <w:tblW w:w="9639" w:type="dxa"/>
        <w:tblLayout w:type="fixed"/>
        <w:tblLook w:val="04A0" w:firstRow="1" w:lastRow="0" w:firstColumn="1" w:lastColumn="0" w:noHBand="0" w:noVBand="1"/>
      </w:tblPr>
      <w:tblGrid>
        <w:gridCol w:w="957"/>
        <w:gridCol w:w="1078"/>
        <w:gridCol w:w="910"/>
        <w:gridCol w:w="1428"/>
        <w:gridCol w:w="1959"/>
        <w:gridCol w:w="1554"/>
        <w:gridCol w:w="1753"/>
      </w:tblGrid>
      <w:tr w:rsidR="00220DBA" w:rsidRPr="00F61982" w:rsidTr="001706F9">
        <w:trPr>
          <w:tblHeader/>
        </w:trPr>
        <w:tc>
          <w:tcPr>
            <w:tcW w:w="957"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Dangers</w:t>
            </w:r>
          </w:p>
        </w:tc>
        <w:tc>
          <w:tcPr>
            <w:tcW w:w="1078" w:type="dxa"/>
            <w:shd w:val="clear" w:color="auto" w:fill="C1E9C8"/>
            <w:vAlign w:val="bottom"/>
          </w:tcPr>
          <w:p w:rsidR="00220DBA" w:rsidRPr="00860C2B" w:rsidRDefault="00220DBA" w:rsidP="00994C20">
            <w:pPr>
              <w:spacing w:before="80" w:after="80" w:line="200" w:lineRule="exact"/>
              <w:ind w:left="57" w:right="113"/>
              <w:rPr>
                <w:i/>
                <w:spacing w:val="-3"/>
                <w:sz w:val="14"/>
                <w:szCs w:val="14"/>
              </w:rPr>
            </w:pPr>
            <w:r w:rsidRPr="00860C2B">
              <w:rPr>
                <w:i/>
                <w:spacing w:val="-3"/>
                <w:sz w:val="14"/>
                <w:szCs w:val="14"/>
              </w:rPr>
              <w:t>Caractéristiques</w:t>
            </w:r>
          </w:p>
        </w:tc>
        <w:tc>
          <w:tcPr>
            <w:tcW w:w="910"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Paramètre mesurable</w:t>
            </w:r>
          </w:p>
        </w:tc>
        <w:tc>
          <w:tcPr>
            <w:tcW w:w="1428"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Préoccupation</w:t>
            </w:r>
          </w:p>
        </w:tc>
        <w:tc>
          <w:tcPr>
            <w:tcW w:w="1959"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Que faut-il examiner ?</w:t>
            </w:r>
          </w:p>
        </w:tc>
        <w:tc>
          <w:tcPr>
            <w:tcW w:w="1554" w:type="dxa"/>
            <w:shd w:val="clear" w:color="auto" w:fill="C1E9C8"/>
            <w:vAlign w:val="bottom"/>
          </w:tcPr>
          <w:p w:rsidR="00220DBA" w:rsidRPr="001D3435" w:rsidRDefault="00860C2B" w:rsidP="00994C20">
            <w:pPr>
              <w:spacing w:before="80" w:after="80" w:line="200" w:lineRule="exact"/>
              <w:ind w:left="57" w:right="113"/>
              <w:rPr>
                <w:i/>
                <w:sz w:val="14"/>
                <w:szCs w:val="14"/>
              </w:rPr>
            </w:pPr>
            <w:r>
              <w:rPr>
                <w:i/>
                <w:sz w:val="14"/>
                <w:szCs w:val="14"/>
              </w:rPr>
              <w:t>Comment procéder à </w:t>
            </w:r>
            <w:r w:rsidR="00220DBA" w:rsidRPr="001D3435">
              <w:rPr>
                <w:i/>
                <w:sz w:val="14"/>
                <w:szCs w:val="14"/>
              </w:rPr>
              <w:t xml:space="preserve">l’examen/ </w:t>
            </w:r>
            <w:r>
              <w:rPr>
                <w:i/>
                <w:sz w:val="14"/>
                <w:szCs w:val="14"/>
              </w:rPr>
              <w:br/>
            </w:r>
            <w:r w:rsidR="00220DBA" w:rsidRPr="001D3435">
              <w:rPr>
                <w:i/>
                <w:sz w:val="14"/>
                <w:szCs w:val="14"/>
              </w:rPr>
              <w:t xml:space="preserve">au déclenchement ? </w:t>
            </w:r>
            <w:r>
              <w:rPr>
                <w:i/>
                <w:sz w:val="14"/>
                <w:szCs w:val="14"/>
              </w:rPr>
              <w:br/>
            </w:r>
            <w:r w:rsidR="00220DBA" w:rsidRPr="001D3435">
              <w:rPr>
                <w:i/>
                <w:sz w:val="14"/>
                <w:szCs w:val="14"/>
              </w:rPr>
              <w:t>(un outil de mesure spécifique est-il nécessaire ?)</w:t>
            </w:r>
          </w:p>
        </w:tc>
        <w:tc>
          <w:tcPr>
            <w:tcW w:w="1753" w:type="dxa"/>
            <w:shd w:val="clear" w:color="auto" w:fill="C1E9C8"/>
            <w:vAlign w:val="bottom"/>
          </w:tcPr>
          <w:p w:rsidR="00220DBA" w:rsidRPr="00F61982" w:rsidRDefault="00220DBA" w:rsidP="00860C2B">
            <w:pPr>
              <w:spacing w:before="80" w:after="80" w:line="200" w:lineRule="exact"/>
              <w:ind w:left="57" w:right="113"/>
              <w:rPr>
                <w:i/>
                <w:sz w:val="14"/>
                <w:szCs w:val="14"/>
              </w:rPr>
            </w:pPr>
            <w:r w:rsidRPr="001D3435">
              <w:rPr>
                <w:i/>
                <w:sz w:val="14"/>
                <w:szCs w:val="14"/>
              </w:rPr>
              <w:t>Remarques/Questions</w:t>
            </w:r>
          </w:p>
        </w:tc>
      </w:tr>
      <w:tr w:rsidR="00994C20" w:rsidRPr="00190A3E" w:rsidTr="001706F9">
        <w:trPr>
          <w:tblHeader/>
        </w:trPr>
        <w:tc>
          <w:tcPr>
            <w:tcW w:w="957" w:type="dxa"/>
            <w:vMerge w:val="restart"/>
            <w:shd w:val="clear" w:color="auto" w:fill="auto"/>
            <w:vAlign w:val="center"/>
          </w:tcPr>
          <w:p w:rsidR="00994C20" w:rsidRPr="001706F9" w:rsidRDefault="00994C20" w:rsidP="00994C20">
            <w:pPr>
              <w:spacing w:before="40" w:after="120"/>
              <w:ind w:left="57" w:right="113"/>
              <w:jc w:val="center"/>
              <w:rPr>
                <w:spacing w:val="-3"/>
                <w:sz w:val="18"/>
                <w:szCs w:val="18"/>
              </w:rPr>
            </w:pPr>
            <w:r w:rsidRPr="001706F9">
              <w:rPr>
                <w:spacing w:val="-3"/>
                <w:sz w:val="18"/>
                <w:szCs w:val="18"/>
              </w:rPr>
              <w:t>Mécanique</w:t>
            </w:r>
          </w:p>
        </w:tc>
        <w:tc>
          <w:tcPr>
            <w:tcW w:w="1078" w:type="dxa"/>
            <w:shd w:val="clear" w:color="auto" w:fill="auto"/>
            <w:vAlign w:val="center"/>
          </w:tcPr>
          <w:p w:rsidR="00994C20" w:rsidRPr="00F61982" w:rsidRDefault="00994C20" w:rsidP="00994C20">
            <w:pPr>
              <w:spacing w:before="40" w:after="120"/>
              <w:ind w:left="57" w:right="113"/>
              <w:jc w:val="center"/>
              <w:rPr>
                <w:sz w:val="18"/>
                <w:szCs w:val="18"/>
              </w:rPr>
            </w:pPr>
            <w:r w:rsidRPr="00F61982">
              <w:rPr>
                <w:sz w:val="18"/>
                <w:szCs w:val="18"/>
              </w:rPr>
              <w:t>Explosion/</w:t>
            </w:r>
            <w:r w:rsidRPr="00F61982">
              <w:rPr>
                <w:sz w:val="18"/>
                <w:szCs w:val="18"/>
              </w:rPr>
              <w:br/>
              <w:t>projection</w:t>
            </w:r>
          </w:p>
        </w:tc>
        <w:tc>
          <w:tcPr>
            <w:tcW w:w="910" w:type="dxa"/>
            <w:shd w:val="clear" w:color="auto" w:fill="auto"/>
          </w:tcPr>
          <w:p w:rsidR="00994C20" w:rsidRPr="00F61982" w:rsidRDefault="00994C20" w:rsidP="00994C20">
            <w:pPr>
              <w:spacing w:before="40" w:after="120"/>
              <w:ind w:left="57" w:right="113"/>
              <w:rPr>
                <w:sz w:val="18"/>
                <w:szCs w:val="18"/>
              </w:rPr>
            </w:pPr>
          </w:p>
        </w:tc>
        <w:tc>
          <w:tcPr>
            <w:tcW w:w="1428" w:type="dxa"/>
            <w:shd w:val="clear" w:color="auto" w:fill="auto"/>
          </w:tcPr>
          <w:p w:rsidR="00994C20" w:rsidRPr="00F61982" w:rsidRDefault="00994C20" w:rsidP="00994C20">
            <w:pPr>
              <w:spacing w:before="40" w:after="120"/>
              <w:ind w:left="57" w:right="113"/>
              <w:rPr>
                <w:sz w:val="18"/>
                <w:szCs w:val="18"/>
              </w:rPr>
            </w:pPr>
            <w:r w:rsidRPr="00F61982">
              <w:rPr>
                <w:sz w:val="18"/>
                <w:szCs w:val="18"/>
              </w:rPr>
              <w:t>Expulsion de matériels ou défaillance complète du boîtier de la pile/de la batterie</w:t>
            </w:r>
          </w:p>
        </w:tc>
        <w:tc>
          <w:tcPr>
            <w:tcW w:w="1959" w:type="dxa"/>
            <w:shd w:val="clear" w:color="auto" w:fill="auto"/>
          </w:tcPr>
          <w:p w:rsidR="00994C20" w:rsidRPr="00F61982" w:rsidRDefault="001706F9" w:rsidP="00994C20">
            <w:pPr>
              <w:spacing w:before="40" w:after="120"/>
              <w:ind w:left="57" w:right="113"/>
              <w:rPr>
                <w:sz w:val="18"/>
                <w:szCs w:val="18"/>
              </w:rPr>
            </w:pPr>
            <w:r>
              <w:rPr>
                <w:sz w:val="18"/>
                <w:szCs w:val="18"/>
              </w:rPr>
              <w:t>Poids et distance des </w:t>
            </w:r>
            <w:r w:rsidR="00994C20" w:rsidRPr="00F61982">
              <w:rPr>
                <w:sz w:val="18"/>
                <w:szCs w:val="18"/>
              </w:rPr>
              <w:t>parties éjectées</w:t>
            </w:r>
          </w:p>
        </w:tc>
        <w:tc>
          <w:tcPr>
            <w:tcW w:w="1554" w:type="dxa"/>
            <w:shd w:val="clear" w:color="auto" w:fill="auto"/>
          </w:tcPr>
          <w:p w:rsidR="00994C20" w:rsidRPr="00F61982" w:rsidRDefault="00994C20" w:rsidP="00994C20">
            <w:pPr>
              <w:spacing w:before="40" w:after="120"/>
              <w:ind w:left="57" w:right="113"/>
              <w:rPr>
                <w:sz w:val="18"/>
                <w:szCs w:val="18"/>
              </w:rPr>
            </w:pPr>
          </w:p>
        </w:tc>
        <w:tc>
          <w:tcPr>
            <w:tcW w:w="1753" w:type="dxa"/>
            <w:shd w:val="clear" w:color="auto" w:fill="auto"/>
          </w:tcPr>
          <w:p w:rsidR="00994C20" w:rsidRPr="00F61982" w:rsidRDefault="00994C20" w:rsidP="00994C20">
            <w:pPr>
              <w:spacing w:before="40" w:after="120"/>
              <w:ind w:left="57" w:right="113"/>
              <w:rPr>
                <w:sz w:val="18"/>
                <w:szCs w:val="18"/>
              </w:rPr>
            </w:pPr>
            <w:r w:rsidRPr="00F61982">
              <w:rPr>
                <w:sz w:val="18"/>
                <w:szCs w:val="18"/>
              </w:rPr>
              <w:t>Cette caractéristique est peut-être déjà prise en considération dans la sous-section 38.3, d’autres séries d’épreuves de l’ONU ou des normes industrielles. Évaluer cela en vue de l’inclure ou d’en développer l’importance</w:t>
            </w:r>
          </w:p>
        </w:tc>
      </w:tr>
      <w:tr w:rsidR="00994C20" w:rsidRPr="00190A3E" w:rsidTr="001706F9">
        <w:trPr>
          <w:tblHeader/>
        </w:trPr>
        <w:tc>
          <w:tcPr>
            <w:tcW w:w="957" w:type="dxa"/>
            <w:vMerge/>
            <w:shd w:val="clear" w:color="auto" w:fill="auto"/>
          </w:tcPr>
          <w:p w:rsidR="00994C20" w:rsidRPr="00F61982" w:rsidRDefault="00994C20" w:rsidP="00994C20">
            <w:pPr>
              <w:spacing w:before="40" w:after="120"/>
              <w:ind w:left="57" w:right="113"/>
              <w:rPr>
                <w:sz w:val="18"/>
                <w:szCs w:val="18"/>
              </w:rPr>
            </w:pPr>
          </w:p>
        </w:tc>
        <w:tc>
          <w:tcPr>
            <w:tcW w:w="1078" w:type="dxa"/>
            <w:shd w:val="clear" w:color="auto" w:fill="auto"/>
            <w:vAlign w:val="center"/>
          </w:tcPr>
          <w:p w:rsidR="00994C20" w:rsidRPr="00F61982" w:rsidRDefault="00994C20" w:rsidP="00994C20">
            <w:pPr>
              <w:spacing w:before="40" w:after="120"/>
              <w:ind w:left="57" w:right="113"/>
              <w:jc w:val="center"/>
              <w:rPr>
                <w:sz w:val="18"/>
                <w:szCs w:val="18"/>
              </w:rPr>
            </w:pPr>
            <w:r w:rsidRPr="00F61982">
              <w:rPr>
                <w:sz w:val="18"/>
                <w:szCs w:val="18"/>
              </w:rPr>
              <w:t>Onde de pression</w:t>
            </w:r>
          </w:p>
        </w:tc>
        <w:tc>
          <w:tcPr>
            <w:tcW w:w="910" w:type="dxa"/>
            <w:shd w:val="clear" w:color="auto" w:fill="auto"/>
          </w:tcPr>
          <w:p w:rsidR="00994C20" w:rsidRPr="00F61982" w:rsidRDefault="00994C20" w:rsidP="00994C20">
            <w:pPr>
              <w:spacing w:before="40" w:after="120"/>
              <w:ind w:left="57" w:right="113"/>
              <w:rPr>
                <w:sz w:val="18"/>
                <w:szCs w:val="18"/>
              </w:rPr>
            </w:pPr>
          </w:p>
        </w:tc>
        <w:tc>
          <w:tcPr>
            <w:tcW w:w="1428" w:type="dxa"/>
            <w:shd w:val="clear" w:color="auto" w:fill="auto"/>
          </w:tcPr>
          <w:p w:rsidR="00994C20" w:rsidRPr="00F61982" w:rsidRDefault="00994C20" w:rsidP="001706F9">
            <w:pPr>
              <w:spacing w:before="40" w:after="120"/>
              <w:ind w:left="57" w:right="113"/>
              <w:rPr>
                <w:sz w:val="18"/>
                <w:szCs w:val="18"/>
              </w:rPr>
            </w:pPr>
            <w:r w:rsidRPr="00F61982">
              <w:rPr>
                <w:sz w:val="18"/>
                <w:szCs w:val="18"/>
              </w:rPr>
              <w:t>La libération immédiate de gaz ou la combustion de</w:t>
            </w:r>
            <w:r w:rsidR="001706F9">
              <w:rPr>
                <w:sz w:val="18"/>
                <w:szCs w:val="18"/>
              </w:rPr>
              <w:t> </w:t>
            </w:r>
            <w:r w:rsidRPr="00F61982">
              <w:rPr>
                <w:sz w:val="18"/>
                <w:szCs w:val="18"/>
              </w:rPr>
              <w:t>gaz crée une onde de pression qui risque d’endommager les joints, l’emballage, le</w:t>
            </w:r>
            <w:r w:rsidR="001706F9">
              <w:rPr>
                <w:sz w:val="18"/>
                <w:szCs w:val="18"/>
              </w:rPr>
              <w:t> </w:t>
            </w:r>
            <w:r w:rsidRPr="00F61982">
              <w:rPr>
                <w:sz w:val="18"/>
                <w:szCs w:val="18"/>
              </w:rPr>
              <w:t>véhicule</w:t>
            </w:r>
          </w:p>
        </w:tc>
        <w:tc>
          <w:tcPr>
            <w:tcW w:w="1959" w:type="dxa"/>
            <w:shd w:val="clear" w:color="auto" w:fill="auto"/>
          </w:tcPr>
          <w:p w:rsidR="00994C20" w:rsidRPr="00F61982" w:rsidRDefault="00994C20" w:rsidP="00994C20">
            <w:pPr>
              <w:spacing w:before="40" w:after="120"/>
              <w:ind w:left="57" w:right="113"/>
              <w:rPr>
                <w:sz w:val="18"/>
                <w:szCs w:val="18"/>
              </w:rPr>
            </w:pPr>
            <w:r w:rsidRPr="00F61982">
              <w:rPr>
                <w:sz w:val="18"/>
                <w:szCs w:val="18"/>
              </w:rPr>
              <w:t xml:space="preserve">Quantité de gaz, concentration des gaz combustibles, volume </w:t>
            </w:r>
            <w:r w:rsidRPr="001706F9">
              <w:rPr>
                <w:spacing w:val="-3"/>
                <w:sz w:val="18"/>
                <w:szCs w:val="18"/>
              </w:rPr>
              <w:t>de l’emballage, cargaison</w:t>
            </w:r>
            <w:r w:rsidRPr="00F61982">
              <w:rPr>
                <w:sz w:val="18"/>
                <w:szCs w:val="18"/>
              </w:rPr>
              <w:t xml:space="preserve"> dans des engins de transport, soute</w:t>
            </w:r>
          </w:p>
        </w:tc>
        <w:tc>
          <w:tcPr>
            <w:tcW w:w="1554" w:type="dxa"/>
            <w:shd w:val="clear" w:color="auto" w:fill="auto"/>
          </w:tcPr>
          <w:p w:rsidR="00994C20" w:rsidRPr="00F61982" w:rsidRDefault="00994C20" w:rsidP="00994C20">
            <w:pPr>
              <w:spacing w:before="40" w:after="120"/>
              <w:ind w:left="57" w:right="113"/>
              <w:rPr>
                <w:sz w:val="18"/>
                <w:szCs w:val="18"/>
              </w:rPr>
            </w:pPr>
            <w:r w:rsidRPr="00F61982">
              <w:rPr>
                <w:sz w:val="18"/>
                <w:szCs w:val="18"/>
              </w:rPr>
              <w:t>Mesurer le taux de libération de gaz s’échappant de la pile/batterie scellée ou de l’emballage, la pression libérée par la combustion des gaz</w:t>
            </w:r>
          </w:p>
        </w:tc>
        <w:tc>
          <w:tcPr>
            <w:tcW w:w="1753" w:type="dxa"/>
            <w:shd w:val="clear" w:color="auto" w:fill="auto"/>
          </w:tcPr>
          <w:p w:rsidR="00994C20" w:rsidRPr="00F61982" w:rsidRDefault="00994C20" w:rsidP="00994C20">
            <w:pPr>
              <w:spacing w:before="40" w:after="120"/>
              <w:ind w:left="57" w:right="113"/>
              <w:rPr>
                <w:sz w:val="18"/>
                <w:szCs w:val="18"/>
              </w:rPr>
            </w:pPr>
            <w:r w:rsidRPr="00F61982">
              <w:rPr>
                <w:sz w:val="18"/>
                <w:szCs w:val="18"/>
              </w:rPr>
              <w:t>Une onde de pression de 1</w:t>
            </w:r>
            <w:r>
              <w:rPr>
                <w:sz w:val="18"/>
                <w:szCs w:val="18"/>
              </w:rPr>
              <w:t xml:space="preserve"> à </w:t>
            </w:r>
            <w:r w:rsidRPr="00F61982">
              <w:rPr>
                <w:sz w:val="18"/>
                <w:szCs w:val="18"/>
              </w:rPr>
              <w:t xml:space="preserve">2 psi peut provoquer des problèmes dans le transport aérien, </w:t>
            </w:r>
            <w:proofErr w:type="gramStart"/>
            <w:r w:rsidRPr="00F61982">
              <w:rPr>
                <w:sz w:val="18"/>
                <w:szCs w:val="18"/>
              </w:rPr>
              <w:t>déterminer</w:t>
            </w:r>
            <w:proofErr w:type="gramEnd"/>
            <w:r w:rsidRPr="00F61982">
              <w:rPr>
                <w:sz w:val="18"/>
                <w:szCs w:val="18"/>
              </w:rPr>
              <w:t xml:space="preserve"> s’il s’agit d’un problème dans d’autres modes de transport, avec d’autres propriétés chimiques de batterie</w:t>
            </w:r>
          </w:p>
        </w:tc>
      </w:tr>
      <w:tr w:rsidR="00994C20" w:rsidRPr="00190A3E" w:rsidTr="001706F9">
        <w:trPr>
          <w:tblHeader/>
        </w:trPr>
        <w:tc>
          <w:tcPr>
            <w:tcW w:w="957" w:type="dxa"/>
            <w:vMerge/>
            <w:shd w:val="clear" w:color="auto" w:fill="auto"/>
          </w:tcPr>
          <w:p w:rsidR="00994C20" w:rsidRPr="00F61982" w:rsidRDefault="00994C20" w:rsidP="00994C20">
            <w:pPr>
              <w:spacing w:before="40" w:after="120"/>
              <w:ind w:left="57" w:right="113"/>
              <w:rPr>
                <w:sz w:val="18"/>
                <w:szCs w:val="18"/>
              </w:rPr>
            </w:pPr>
          </w:p>
        </w:tc>
        <w:tc>
          <w:tcPr>
            <w:tcW w:w="1078" w:type="dxa"/>
            <w:shd w:val="clear" w:color="auto" w:fill="D1DBF7"/>
            <w:vAlign w:val="center"/>
          </w:tcPr>
          <w:p w:rsidR="00994C20" w:rsidRPr="00F61982" w:rsidRDefault="00994C20" w:rsidP="00994C20">
            <w:pPr>
              <w:spacing w:before="40" w:after="120"/>
              <w:ind w:left="57" w:right="113"/>
              <w:jc w:val="center"/>
              <w:rPr>
                <w:sz w:val="18"/>
                <w:szCs w:val="18"/>
              </w:rPr>
            </w:pPr>
            <w:r w:rsidRPr="00F61982">
              <w:rPr>
                <w:sz w:val="18"/>
                <w:szCs w:val="18"/>
              </w:rPr>
              <w:t>Fuite</w:t>
            </w:r>
          </w:p>
        </w:tc>
        <w:tc>
          <w:tcPr>
            <w:tcW w:w="910" w:type="dxa"/>
            <w:shd w:val="clear" w:color="auto" w:fill="D1DBF7"/>
          </w:tcPr>
          <w:p w:rsidR="00994C20" w:rsidRPr="00F61982" w:rsidRDefault="00994C20" w:rsidP="00994C20">
            <w:pPr>
              <w:spacing w:before="40" w:after="120"/>
              <w:ind w:left="57" w:right="113"/>
              <w:rPr>
                <w:sz w:val="18"/>
                <w:szCs w:val="18"/>
              </w:rPr>
            </w:pPr>
          </w:p>
        </w:tc>
        <w:tc>
          <w:tcPr>
            <w:tcW w:w="1428" w:type="dxa"/>
            <w:shd w:val="clear" w:color="auto" w:fill="D1DBF7"/>
          </w:tcPr>
          <w:p w:rsidR="00994C20" w:rsidRPr="00F61982" w:rsidRDefault="00994C20" w:rsidP="00994C20">
            <w:pPr>
              <w:spacing w:before="40" w:after="120"/>
              <w:ind w:left="57" w:right="113"/>
              <w:rPr>
                <w:sz w:val="18"/>
                <w:szCs w:val="18"/>
              </w:rPr>
            </w:pPr>
            <w:r w:rsidRPr="00F61982">
              <w:rPr>
                <w:sz w:val="18"/>
                <w:szCs w:val="18"/>
              </w:rPr>
              <w:t>Fuite d’électrolyte</w:t>
            </w:r>
          </w:p>
        </w:tc>
        <w:tc>
          <w:tcPr>
            <w:tcW w:w="1959" w:type="dxa"/>
            <w:shd w:val="clear" w:color="auto" w:fill="D1DBF7"/>
          </w:tcPr>
          <w:p w:rsidR="00994C20" w:rsidRPr="00F61982" w:rsidRDefault="00994C20" w:rsidP="00994C20">
            <w:pPr>
              <w:spacing w:before="40" w:after="120"/>
              <w:ind w:left="57" w:right="113"/>
              <w:rPr>
                <w:sz w:val="18"/>
                <w:szCs w:val="18"/>
              </w:rPr>
            </w:pPr>
            <w:r w:rsidRPr="00F61982">
              <w:rPr>
                <w:sz w:val="18"/>
                <w:szCs w:val="18"/>
              </w:rPr>
              <w:t>Évaluation du danger en fonction de la nature de la caractéristique de l’électrolyte et de la quantité (électrolyte inflammable, corrosif, toxique)</w:t>
            </w:r>
          </w:p>
        </w:tc>
        <w:tc>
          <w:tcPr>
            <w:tcW w:w="1554" w:type="dxa"/>
            <w:shd w:val="clear" w:color="auto" w:fill="D1DBF7"/>
          </w:tcPr>
          <w:p w:rsidR="00994C20" w:rsidRPr="00F61982" w:rsidRDefault="00994C20" w:rsidP="00994C20">
            <w:pPr>
              <w:spacing w:before="40" w:after="120"/>
              <w:ind w:left="57" w:right="113"/>
              <w:rPr>
                <w:sz w:val="18"/>
                <w:szCs w:val="18"/>
              </w:rPr>
            </w:pPr>
            <w:r w:rsidRPr="00F61982">
              <w:rPr>
                <w:sz w:val="18"/>
                <w:szCs w:val="18"/>
              </w:rPr>
              <w:t>L’éclatement provoque une fuite d’électrolyte</w:t>
            </w:r>
          </w:p>
        </w:tc>
        <w:tc>
          <w:tcPr>
            <w:tcW w:w="1753" w:type="dxa"/>
            <w:shd w:val="clear" w:color="auto" w:fill="D1DBF7"/>
          </w:tcPr>
          <w:p w:rsidR="00994C20" w:rsidRPr="00F61982" w:rsidRDefault="00994C20" w:rsidP="00994C20">
            <w:pPr>
              <w:spacing w:before="40" w:after="120"/>
              <w:ind w:left="57" w:right="113"/>
              <w:rPr>
                <w:sz w:val="18"/>
                <w:szCs w:val="18"/>
              </w:rPr>
            </w:pPr>
            <w:r w:rsidRPr="00F61982">
              <w:rPr>
                <w:sz w:val="18"/>
                <w:szCs w:val="18"/>
              </w:rPr>
              <w:t>Cette caractéristique est peut-être déjà prise en considération dans la sous-section 38.3. Évaluer cela en vue de son éventuelle inclusion.</w:t>
            </w:r>
          </w:p>
        </w:tc>
      </w:tr>
    </w:tbl>
    <w:p w:rsidR="00220DBA" w:rsidRDefault="00220DBA" w:rsidP="00220DBA">
      <w:pPr>
        <w:pStyle w:val="SingleTxtG"/>
      </w:pPr>
    </w:p>
    <w:tbl>
      <w:tblPr>
        <w:tblStyle w:val="TableGrid"/>
        <w:tblW w:w="9640" w:type="dxa"/>
        <w:tblLayout w:type="fixed"/>
        <w:tblLook w:val="04A0" w:firstRow="1" w:lastRow="0" w:firstColumn="1" w:lastColumn="0" w:noHBand="0" w:noVBand="1"/>
      </w:tblPr>
      <w:tblGrid>
        <w:gridCol w:w="957"/>
        <w:gridCol w:w="1148"/>
        <w:gridCol w:w="865"/>
        <w:gridCol w:w="1423"/>
        <w:gridCol w:w="1952"/>
        <w:gridCol w:w="1548"/>
        <w:gridCol w:w="1747"/>
      </w:tblGrid>
      <w:tr w:rsidR="00220DBA" w:rsidRPr="00F61982" w:rsidTr="00860C2B">
        <w:trPr>
          <w:tblHeader/>
        </w:trPr>
        <w:tc>
          <w:tcPr>
            <w:tcW w:w="957"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Dangers</w:t>
            </w:r>
          </w:p>
        </w:tc>
        <w:tc>
          <w:tcPr>
            <w:tcW w:w="1148" w:type="dxa"/>
            <w:shd w:val="clear" w:color="auto" w:fill="C1E9C8"/>
            <w:vAlign w:val="bottom"/>
          </w:tcPr>
          <w:p w:rsidR="00220DBA" w:rsidRPr="00860C2B" w:rsidRDefault="00220DBA" w:rsidP="00994C20">
            <w:pPr>
              <w:spacing w:before="80" w:after="80" w:line="200" w:lineRule="exact"/>
              <w:ind w:left="57" w:right="113"/>
              <w:rPr>
                <w:i/>
                <w:spacing w:val="-3"/>
                <w:sz w:val="14"/>
                <w:szCs w:val="14"/>
              </w:rPr>
            </w:pPr>
            <w:r w:rsidRPr="00860C2B">
              <w:rPr>
                <w:i/>
                <w:spacing w:val="-3"/>
                <w:sz w:val="14"/>
                <w:szCs w:val="14"/>
              </w:rPr>
              <w:t>Caractéristiques</w:t>
            </w:r>
          </w:p>
        </w:tc>
        <w:tc>
          <w:tcPr>
            <w:tcW w:w="865"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Paramètre mesurable</w:t>
            </w:r>
          </w:p>
        </w:tc>
        <w:tc>
          <w:tcPr>
            <w:tcW w:w="1423"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Préoccupation</w:t>
            </w:r>
          </w:p>
        </w:tc>
        <w:tc>
          <w:tcPr>
            <w:tcW w:w="1952"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Que faut-il examiner ?</w:t>
            </w:r>
          </w:p>
        </w:tc>
        <w:tc>
          <w:tcPr>
            <w:tcW w:w="1548" w:type="dxa"/>
            <w:shd w:val="clear" w:color="auto" w:fill="C1E9C8"/>
            <w:vAlign w:val="bottom"/>
          </w:tcPr>
          <w:p w:rsidR="00220DBA" w:rsidRPr="001D3435" w:rsidRDefault="00860C2B" w:rsidP="00994C20">
            <w:pPr>
              <w:spacing w:before="80" w:after="80" w:line="200" w:lineRule="exact"/>
              <w:ind w:left="57" w:right="113"/>
              <w:rPr>
                <w:i/>
                <w:sz w:val="14"/>
                <w:szCs w:val="14"/>
              </w:rPr>
            </w:pPr>
            <w:r>
              <w:rPr>
                <w:i/>
                <w:sz w:val="14"/>
                <w:szCs w:val="14"/>
              </w:rPr>
              <w:t>Comment procéder à </w:t>
            </w:r>
            <w:r w:rsidR="00220DBA" w:rsidRPr="001D3435">
              <w:rPr>
                <w:i/>
                <w:sz w:val="14"/>
                <w:szCs w:val="14"/>
              </w:rPr>
              <w:t xml:space="preserve">l’examen/ </w:t>
            </w:r>
            <w:r>
              <w:rPr>
                <w:i/>
                <w:sz w:val="14"/>
                <w:szCs w:val="14"/>
              </w:rPr>
              <w:br/>
            </w:r>
            <w:r w:rsidR="00220DBA" w:rsidRPr="001D3435">
              <w:rPr>
                <w:i/>
                <w:sz w:val="14"/>
                <w:szCs w:val="14"/>
              </w:rPr>
              <w:t xml:space="preserve">au déclenchement ? </w:t>
            </w:r>
            <w:r>
              <w:rPr>
                <w:i/>
                <w:sz w:val="14"/>
                <w:szCs w:val="14"/>
              </w:rPr>
              <w:br/>
            </w:r>
            <w:r w:rsidR="00220DBA" w:rsidRPr="001D3435">
              <w:rPr>
                <w:i/>
                <w:sz w:val="14"/>
                <w:szCs w:val="14"/>
              </w:rPr>
              <w:t>(un outil de mesure spécifique est-il nécessaire ?)</w:t>
            </w:r>
          </w:p>
        </w:tc>
        <w:tc>
          <w:tcPr>
            <w:tcW w:w="1747" w:type="dxa"/>
            <w:shd w:val="clear" w:color="auto" w:fill="C1E9C8"/>
            <w:vAlign w:val="bottom"/>
          </w:tcPr>
          <w:p w:rsidR="00220DBA" w:rsidRPr="00F61982" w:rsidRDefault="00220DBA" w:rsidP="00860C2B">
            <w:pPr>
              <w:spacing w:before="80" w:after="80" w:line="200" w:lineRule="exact"/>
              <w:ind w:left="57" w:right="113"/>
              <w:rPr>
                <w:i/>
                <w:sz w:val="14"/>
                <w:szCs w:val="14"/>
              </w:rPr>
            </w:pPr>
            <w:r w:rsidRPr="001D3435">
              <w:rPr>
                <w:i/>
                <w:sz w:val="14"/>
                <w:szCs w:val="14"/>
              </w:rPr>
              <w:t>Remarques/Questions</w:t>
            </w:r>
          </w:p>
        </w:tc>
      </w:tr>
      <w:tr w:rsidR="00490889" w:rsidRPr="00190A3E" w:rsidTr="00860C2B">
        <w:trPr>
          <w:tblHeader/>
        </w:trPr>
        <w:tc>
          <w:tcPr>
            <w:tcW w:w="957" w:type="dxa"/>
            <w:vMerge w:val="restart"/>
            <w:shd w:val="clear" w:color="auto" w:fill="auto"/>
            <w:vAlign w:val="center"/>
          </w:tcPr>
          <w:p w:rsidR="00490889" w:rsidRPr="00F61982" w:rsidRDefault="00490889" w:rsidP="00994C20">
            <w:pPr>
              <w:spacing w:before="40" w:after="120"/>
              <w:ind w:left="57" w:right="113"/>
              <w:jc w:val="center"/>
              <w:rPr>
                <w:sz w:val="18"/>
                <w:szCs w:val="18"/>
              </w:rPr>
            </w:pPr>
            <w:r w:rsidRPr="00F61982">
              <w:rPr>
                <w:sz w:val="18"/>
                <w:szCs w:val="18"/>
              </w:rPr>
              <w:t>Chimique</w:t>
            </w:r>
          </w:p>
        </w:tc>
        <w:tc>
          <w:tcPr>
            <w:tcW w:w="1148" w:type="dxa"/>
            <w:shd w:val="clear" w:color="auto" w:fill="auto"/>
            <w:vAlign w:val="center"/>
          </w:tcPr>
          <w:p w:rsidR="00490889" w:rsidRPr="00F61982" w:rsidRDefault="00490889" w:rsidP="00994C20">
            <w:pPr>
              <w:spacing w:before="40" w:after="120"/>
              <w:ind w:left="57" w:right="113"/>
              <w:jc w:val="center"/>
              <w:rPr>
                <w:sz w:val="18"/>
                <w:szCs w:val="18"/>
              </w:rPr>
            </w:pPr>
            <w:r w:rsidRPr="00F61982">
              <w:rPr>
                <w:sz w:val="18"/>
                <w:szCs w:val="18"/>
              </w:rPr>
              <w:t>Toxicité</w:t>
            </w:r>
          </w:p>
        </w:tc>
        <w:tc>
          <w:tcPr>
            <w:tcW w:w="865" w:type="dxa"/>
            <w:shd w:val="clear" w:color="auto" w:fill="auto"/>
          </w:tcPr>
          <w:p w:rsidR="00490889" w:rsidRPr="00F61982" w:rsidRDefault="00490889" w:rsidP="00994C20">
            <w:pPr>
              <w:spacing w:before="40" w:after="120"/>
              <w:ind w:left="57" w:right="113"/>
              <w:rPr>
                <w:sz w:val="18"/>
                <w:szCs w:val="18"/>
              </w:rPr>
            </w:pPr>
          </w:p>
        </w:tc>
        <w:tc>
          <w:tcPr>
            <w:tcW w:w="1423" w:type="dxa"/>
            <w:shd w:val="clear" w:color="auto" w:fill="auto"/>
          </w:tcPr>
          <w:p w:rsidR="00490889" w:rsidRPr="00F61982" w:rsidRDefault="00490889" w:rsidP="00994C20">
            <w:pPr>
              <w:spacing w:before="40" w:after="120"/>
              <w:ind w:left="57" w:right="113"/>
              <w:rPr>
                <w:sz w:val="18"/>
                <w:szCs w:val="18"/>
              </w:rPr>
            </w:pPr>
            <w:r w:rsidRPr="00F61982">
              <w:rPr>
                <w:sz w:val="18"/>
                <w:szCs w:val="18"/>
              </w:rPr>
              <w:t>Des substances toxiques peuvent avoir des effets toxiques sur les humains</w:t>
            </w:r>
          </w:p>
        </w:tc>
        <w:tc>
          <w:tcPr>
            <w:tcW w:w="1952" w:type="dxa"/>
            <w:shd w:val="clear" w:color="auto" w:fill="auto"/>
          </w:tcPr>
          <w:p w:rsidR="00490889" w:rsidRPr="00F61982" w:rsidRDefault="00490889" w:rsidP="00994C20">
            <w:pPr>
              <w:spacing w:before="40" w:after="120"/>
              <w:ind w:left="57" w:right="113"/>
              <w:rPr>
                <w:sz w:val="18"/>
                <w:szCs w:val="18"/>
              </w:rPr>
            </w:pPr>
            <w:r w:rsidRPr="00F61982">
              <w:rPr>
                <w:sz w:val="18"/>
                <w:szCs w:val="18"/>
              </w:rPr>
              <w:t>Composition, concentration</w:t>
            </w:r>
            <w:r w:rsidR="0002404C">
              <w:rPr>
                <w:sz w:val="18"/>
                <w:szCs w:val="18"/>
              </w:rPr>
              <w:t xml:space="preserve"> et durée </w:t>
            </w:r>
            <w:r>
              <w:rPr>
                <w:sz w:val="18"/>
                <w:szCs w:val="18"/>
              </w:rPr>
              <w:t>d’exposition</w:t>
            </w:r>
          </w:p>
        </w:tc>
        <w:tc>
          <w:tcPr>
            <w:tcW w:w="1548" w:type="dxa"/>
            <w:shd w:val="clear" w:color="auto" w:fill="auto"/>
          </w:tcPr>
          <w:p w:rsidR="00490889" w:rsidRPr="00F61982" w:rsidRDefault="00490889" w:rsidP="00994C20">
            <w:pPr>
              <w:spacing w:before="40" w:after="120"/>
              <w:ind w:left="57" w:right="113"/>
              <w:rPr>
                <w:sz w:val="18"/>
                <w:szCs w:val="18"/>
              </w:rPr>
            </w:pPr>
          </w:p>
        </w:tc>
        <w:tc>
          <w:tcPr>
            <w:tcW w:w="1747" w:type="dxa"/>
            <w:vMerge w:val="restart"/>
            <w:shd w:val="clear" w:color="auto" w:fill="auto"/>
          </w:tcPr>
          <w:p w:rsidR="00490889" w:rsidRPr="00F61982" w:rsidRDefault="00490889" w:rsidP="00994C20">
            <w:pPr>
              <w:spacing w:before="40" w:after="120"/>
              <w:ind w:left="57" w:right="113"/>
              <w:rPr>
                <w:sz w:val="18"/>
                <w:szCs w:val="18"/>
              </w:rPr>
            </w:pPr>
            <w:r w:rsidRPr="00F61982">
              <w:rPr>
                <w:sz w:val="18"/>
                <w:szCs w:val="18"/>
              </w:rPr>
              <w:t>Cette caractéristique ne doit peut-être pas être examinée de manière distincte car elle est peut-être déjà couverte par la caractéristique concernant les fuites</w:t>
            </w:r>
          </w:p>
        </w:tc>
      </w:tr>
      <w:tr w:rsidR="00490889" w:rsidRPr="00190A3E" w:rsidTr="00860C2B">
        <w:trPr>
          <w:tblHeader/>
        </w:trPr>
        <w:tc>
          <w:tcPr>
            <w:tcW w:w="957" w:type="dxa"/>
            <w:vMerge/>
            <w:shd w:val="clear" w:color="auto" w:fill="auto"/>
          </w:tcPr>
          <w:p w:rsidR="00490889" w:rsidRPr="00F61982" w:rsidRDefault="00490889" w:rsidP="00994C20">
            <w:pPr>
              <w:spacing w:before="40" w:after="120"/>
              <w:ind w:left="57" w:right="113"/>
              <w:rPr>
                <w:sz w:val="18"/>
                <w:szCs w:val="18"/>
              </w:rPr>
            </w:pPr>
          </w:p>
        </w:tc>
        <w:tc>
          <w:tcPr>
            <w:tcW w:w="1148" w:type="dxa"/>
            <w:shd w:val="clear" w:color="auto" w:fill="auto"/>
            <w:vAlign w:val="center"/>
          </w:tcPr>
          <w:p w:rsidR="00490889" w:rsidRPr="0002404C" w:rsidRDefault="00490889" w:rsidP="0002404C">
            <w:pPr>
              <w:spacing w:before="40" w:after="120"/>
              <w:jc w:val="center"/>
              <w:rPr>
                <w:spacing w:val="-3"/>
                <w:sz w:val="18"/>
                <w:szCs w:val="18"/>
              </w:rPr>
            </w:pPr>
            <w:r w:rsidRPr="0002404C">
              <w:rPr>
                <w:spacing w:val="-3"/>
                <w:sz w:val="18"/>
                <w:szCs w:val="18"/>
              </w:rPr>
              <w:t>Inflammabilité</w:t>
            </w:r>
          </w:p>
        </w:tc>
        <w:tc>
          <w:tcPr>
            <w:tcW w:w="865" w:type="dxa"/>
            <w:shd w:val="clear" w:color="auto" w:fill="auto"/>
          </w:tcPr>
          <w:p w:rsidR="00490889" w:rsidRPr="00F61982" w:rsidRDefault="00490889" w:rsidP="00994C20">
            <w:pPr>
              <w:spacing w:before="40" w:after="120"/>
              <w:ind w:left="57" w:right="113"/>
              <w:rPr>
                <w:sz w:val="18"/>
                <w:szCs w:val="18"/>
              </w:rPr>
            </w:pPr>
          </w:p>
        </w:tc>
        <w:tc>
          <w:tcPr>
            <w:tcW w:w="1423" w:type="dxa"/>
            <w:shd w:val="clear" w:color="auto" w:fill="auto"/>
          </w:tcPr>
          <w:p w:rsidR="00490889" w:rsidRPr="00F61982" w:rsidRDefault="00490889" w:rsidP="00994C20">
            <w:pPr>
              <w:spacing w:before="40" w:after="120"/>
              <w:ind w:left="57" w:right="113"/>
              <w:rPr>
                <w:sz w:val="18"/>
                <w:szCs w:val="18"/>
              </w:rPr>
            </w:pPr>
            <w:r w:rsidRPr="00F61982">
              <w:rPr>
                <w:sz w:val="18"/>
                <w:szCs w:val="18"/>
              </w:rPr>
              <w:t>Des liqui</w:t>
            </w:r>
            <w:r w:rsidR="0002404C">
              <w:rPr>
                <w:sz w:val="18"/>
                <w:szCs w:val="18"/>
              </w:rPr>
              <w:t>des inflammables peuvent rendre </w:t>
            </w:r>
            <w:r w:rsidRPr="00F61982">
              <w:rPr>
                <w:sz w:val="18"/>
                <w:szCs w:val="18"/>
              </w:rPr>
              <w:t>l’air inflammable</w:t>
            </w:r>
          </w:p>
        </w:tc>
        <w:tc>
          <w:tcPr>
            <w:tcW w:w="1952" w:type="dxa"/>
            <w:shd w:val="clear" w:color="auto" w:fill="auto"/>
          </w:tcPr>
          <w:p w:rsidR="00490889" w:rsidRPr="00F61982" w:rsidRDefault="00490889" w:rsidP="00994C20">
            <w:pPr>
              <w:spacing w:before="40" w:after="120"/>
              <w:ind w:left="57" w:right="113"/>
              <w:rPr>
                <w:sz w:val="18"/>
                <w:szCs w:val="18"/>
              </w:rPr>
            </w:pPr>
            <w:r w:rsidRPr="00F61982">
              <w:rPr>
                <w:sz w:val="18"/>
                <w:szCs w:val="18"/>
              </w:rPr>
              <w:t xml:space="preserve">Composition, concentration, </w:t>
            </w:r>
            <w:r>
              <w:rPr>
                <w:sz w:val="18"/>
                <w:szCs w:val="18"/>
              </w:rPr>
              <w:t>inflammabilité</w:t>
            </w:r>
          </w:p>
        </w:tc>
        <w:tc>
          <w:tcPr>
            <w:tcW w:w="1548" w:type="dxa"/>
            <w:shd w:val="clear" w:color="auto" w:fill="auto"/>
          </w:tcPr>
          <w:p w:rsidR="00490889" w:rsidRPr="00F61982" w:rsidRDefault="00490889" w:rsidP="00994C20">
            <w:pPr>
              <w:spacing w:before="40" w:after="120"/>
              <w:ind w:left="57" w:right="113"/>
              <w:rPr>
                <w:sz w:val="18"/>
                <w:szCs w:val="18"/>
              </w:rPr>
            </w:pPr>
          </w:p>
        </w:tc>
        <w:tc>
          <w:tcPr>
            <w:tcW w:w="1747" w:type="dxa"/>
            <w:vMerge/>
            <w:shd w:val="clear" w:color="auto" w:fill="auto"/>
          </w:tcPr>
          <w:p w:rsidR="00490889" w:rsidRPr="00F61982" w:rsidRDefault="00490889" w:rsidP="00994C20">
            <w:pPr>
              <w:spacing w:before="40" w:after="120"/>
              <w:ind w:left="57" w:right="113"/>
              <w:rPr>
                <w:sz w:val="18"/>
                <w:szCs w:val="18"/>
              </w:rPr>
            </w:pPr>
          </w:p>
        </w:tc>
      </w:tr>
    </w:tbl>
    <w:p w:rsidR="00220DBA" w:rsidRDefault="00220DBA" w:rsidP="00220DBA">
      <w:pPr>
        <w:pStyle w:val="SingleTxtG"/>
      </w:pPr>
    </w:p>
    <w:tbl>
      <w:tblPr>
        <w:tblStyle w:val="TableGrid"/>
        <w:tblW w:w="9639" w:type="dxa"/>
        <w:tblLayout w:type="fixed"/>
        <w:tblLook w:val="04A0" w:firstRow="1" w:lastRow="0" w:firstColumn="1" w:lastColumn="0" w:noHBand="0" w:noVBand="1"/>
      </w:tblPr>
      <w:tblGrid>
        <w:gridCol w:w="957"/>
        <w:gridCol w:w="1078"/>
        <w:gridCol w:w="910"/>
        <w:gridCol w:w="1428"/>
        <w:gridCol w:w="1959"/>
        <w:gridCol w:w="1554"/>
        <w:gridCol w:w="1753"/>
      </w:tblGrid>
      <w:tr w:rsidR="00220DBA" w:rsidRPr="00F61982" w:rsidTr="0002404C">
        <w:trPr>
          <w:tblHeader/>
        </w:trPr>
        <w:tc>
          <w:tcPr>
            <w:tcW w:w="957"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Dangers</w:t>
            </w:r>
          </w:p>
        </w:tc>
        <w:tc>
          <w:tcPr>
            <w:tcW w:w="1078" w:type="dxa"/>
            <w:shd w:val="clear" w:color="auto" w:fill="C1E9C8"/>
            <w:vAlign w:val="bottom"/>
          </w:tcPr>
          <w:p w:rsidR="00220DBA" w:rsidRPr="00860C2B" w:rsidRDefault="00220DBA" w:rsidP="00994C20">
            <w:pPr>
              <w:spacing w:before="80" w:after="80" w:line="200" w:lineRule="exact"/>
              <w:ind w:left="57" w:right="113"/>
              <w:rPr>
                <w:i/>
                <w:spacing w:val="-3"/>
                <w:sz w:val="14"/>
                <w:szCs w:val="14"/>
              </w:rPr>
            </w:pPr>
            <w:r w:rsidRPr="00860C2B">
              <w:rPr>
                <w:i/>
                <w:spacing w:val="-3"/>
                <w:sz w:val="14"/>
                <w:szCs w:val="14"/>
              </w:rPr>
              <w:t>Caractéristiques</w:t>
            </w:r>
          </w:p>
        </w:tc>
        <w:tc>
          <w:tcPr>
            <w:tcW w:w="910"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Paramètre mesurable</w:t>
            </w:r>
          </w:p>
        </w:tc>
        <w:tc>
          <w:tcPr>
            <w:tcW w:w="1428"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Préoccupation</w:t>
            </w:r>
          </w:p>
        </w:tc>
        <w:tc>
          <w:tcPr>
            <w:tcW w:w="1959" w:type="dxa"/>
            <w:shd w:val="clear" w:color="auto" w:fill="C1E9C8"/>
            <w:vAlign w:val="bottom"/>
          </w:tcPr>
          <w:p w:rsidR="00220DBA" w:rsidRPr="001D3435" w:rsidRDefault="00220DBA" w:rsidP="00994C20">
            <w:pPr>
              <w:spacing w:before="80" w:after="80" w:line="200" w:lineRule="exact"/>
              <w:ind w:left="57" w:right="113"/>
              <w:rPr>
                <w:i/>
                <w:sz w:val="14"/>
                <w:szCs w:val="14"/>
              </w:rPr>
            </w:pPr>
            <w:r w:rsidRPr="001D3435">
              <w:rPr>
                <w:i/>
                <w:sz w:val="14"/>
                <w:szCs w:val="14"/>
              </w:rPr>
              <w:t>Que faut-il examiner ?</w:t>
            </w:r>
          </w:p>
        </w:tc>
        <w:tc>
          <w:tcPr>
            <w:tcW w:w="1554" w:type="dxa"/>
            <w:shd w:val="clear" w:color="auto" w:fill="C1E9C8"/>
            <w:vAlign w:val="bottom"/>
          </w:tcPr>
          <w:p w:rsidR="00220DBA" w:rsidRPr="001D3435" w:rsidRDefault="00860C2B" w:rsidP="00994C20">
            <w:pPr>
              <w:spacing w:before="80" w:after="80" w:line="200" w:lineRule="exact"/>
              <w:ind w:left="57" w:right="113"/>
              <w:rPr>
                <w:i/>
                <w:sz w:val="14"/>
                <w:szCs w:val="14"/>
              </w:rPr>
            </w:pPr>
            <w:r>
              <w:rPr>
                <w:i/>
                <w:sz w:val="14"/>
                <w:szCs w:val="14"/>
              </w:rPr>
              <w:t>Comment procéder à </w:t>
            </w:r>
            <w:r w:rsidR="00220DBA" w:rsidRPr="001D3435">
              <w:rPr>
                <w:i/>
                <w:sz w:val="14"/>
                <w:szCs w:val="14"/>
              </w:rPr>
              <w:t xml:space="preserve">l’examen/ </w:t>
            </w:r>
            <w:r>
              <w:rPr>
                <w:i/>
                <w:sz w:val="14"/>
                <w:szCs w:val="14"/>
              </w:rPr>
              <w:br/>
            </w:r>
            <w:r w:rsidR="00220DBA" w:rsidRPr="001D3435">
              <w:rPr>
                <w:i/>
                <w:sz w:val="14"/>
                <w:szCs w:val="14"/>
              </w:rPr>
              <w:t>au déclenchement ?</w:t>
            </w:r>
            <w:r>
              <w:rPr>
                <w:i/>
                <w:sz w:val="14"/>
                <w:szCs w:val="14"/>
              </w:rPr>
              <w:br/>
            </w:r>
            <w:r w:rsidR="00220DBA" w:rsidRPr="001D3435">
              <w:rPr>
                <w:i/>
                <w:sz w:val="14"/>
                <w:szCs w:val="14"/>
              </w:rPr>
              <w:t xml:space="preserve"> (un outil de mesure spécifique est-il nécessaire ?)</w:t>
            </w:r>
          </w:p>
        </w:tc>
        <w:tc>
          <w:tcPr>
            <w:tcW w:w="1753" w:type="dxa"/>
            <w:shd w:val="clear" w:color="auto" w:fill="C1E9C8"/>
            <w:vAlign w:val="bottom"/>
          </w:tcPr>
          <w:p w:rsidR="00220DBA" w:rsidRPr="00F61982" w:rsidRDefault="00220DBA" w:rsidP="00860C2B">
            <w:pPr>
              <w:spacing w:before="80" w:after="80" w:line="200" w:lineRule="exact"/>
              <w:ind w:left="57" w:right="113"/>
              <w:rPr>
                <w:i/>
                <w:sz w:val="14"/>
                <w:szCs w:val="14"/>
              </w:rPr>
            </w:pPr>
            <w:r w:rsidRPr="001D3435">
              <w:rPr>
                <w:i/>
                <w:sz w:val="14"/>
                <w:szCs w:val="14"/>
              </w:rPr>
              <w:t>Remarques/Questions</w:t>
            </w:r>
          </w:p>
        </w:tc>
      </w:tr>
      <w:tr w:rsidR="00490889" w:rsidRPr="00190A3E" w:rsidTr="0002404C">
        <w:trPr>
          <w:tblHeader/>
        </w:trPr>
        <w:tc>
          <w:tcPr>
            <w:tcW w:w="957" w:type="dxa"/>
            <w:vMerge w:val="restart"/>
            <w:shd w:val="clear" w:color="auto" w:fill="auto"/>
            <w:vAlign w:val="center"/>
          </w:tcPr>
          <w:p w:rsidR="00490889" w:rsidRPr="00F61982" w:rsidRDefault="00490889" w:rsidP="00220DBA">
            <w:pPr>
              <w:spacing w:before="40" w:after="120"/>
              <w:ind w:left="57" w:right="113"/>
              <w:jc w:val="center"/>
              <w:rPr>
                <w:sz w:val="18"/>
                <w:szCs w:val="18"/>
              </w:rPr>
            </w:pPr>
            <w:r w:rsidRPr="00F61982">
              <w:rPr>
                <w:sz w:val="18"/>
                <w:szCs w:val="18"/>
              </w:rPr>
              <w:t>Électrique</w:t>
            </w:r>
          </w:p>
        </w:tc>
        <w:tc>
          <w:tcPr>
            <w:tcW w:w="1078" w:type="dxa"/>
            <w:shd w:val="clear" w:color="auto" w:fill="auto"/>
            <w:vAlign w:val="center"/>
          </w:tcPr>
          <w:p w:rsidR="00490889" w:rsidRPr="00F61982" w:rsidRDefault="00490889" w:rsidP="00994C20">
            <w:pPr>
              <w:spacing w:before="40" w:after="120"/>
              <w:ind w:left="57" w:right="113"/>
              <w:jc w:val="center"/>
              <w:rPr>
                <w:sz w:val="18"/>
                <w:szCs w:val="18"/>
              </w:rPr>
            </w:pPr>
            <w:r w:rsidRPr="00F61982">
              <w:rPr>
                <w:sz w:val="18"/>
                <w:szCs w:val="18"/>
              </w:rPr>
              <w:t>Énergie totale dans le</w:t>
            </w:r>
            <w:r>
              <w:rPr>
                <w:sz w:val="18"/>
                <w:szCs w:val="18"/>
              </w:rPr>
              <w:t> </w:t>
            </w:r>
            <w:r w:rsidRPr="00F61982">
              <w:rPr>
                <w:sz w:val="18"/>
                <w:szCs w:val="18"/>
              </w:rPr>
              <w:t>système</w:t>
            </w:r>
          </w:p>
        </w:tc>
        <w:tc>
          <w:tcPr>
            <w:tcW w:w="910" w:type="dxa"/>
            <w:shd w:val="clear" w:color="auto" w:fill="auto"/>
          </w:tcPr>
          <w:p w:rsidR="00490889" w:rsidRPr="00F61982" w:rsidRDefault="00490889" w:rsidP="00994C20">
            <w:pPr>
              <w:spacing w:before="40" w:after="120"/>
              <w:ind w:left="57" w:right="113"/>
              <w:rPr>
                <w:sz w:val="18"/>
                <w:szCs w:val="18"/>
              </w:rPr>
            </w:pPr>
          </w:p>
        </w:tc>
        <w:tc>
          <w:tcPr>
            <w:tcW w:w="1428" w:type="dxa"/>
            <w:shd w:val="clear" w:color="auto" w:fill="auto"/>
          </w:tcPr>
          <w:p w:rsidR="00490889" w:rsidRPr="00F61982" w:rsidRDefault="00490889" w:rsidP="00994C20">
            <w:pPr>
              <w:spacing w:before="40" w:after="120"/>
              <w:ind w:left="57" w:right="113"/>
              <w:rPr>
                <w:sz w:val="18"/>
                <w:szCs w:val="18"/>
              </w:rPr>
            </w:pPr>
            <w:r w:rsidRPr="00F61982">
              <w:rPr>
                <w:sz w:val="18"/>
                <w:szCs w:val="18"/>
              </w:rPr>
              <w:t>L’énergie dans le système peut conduire au déclenchement d’un</w:t>
            </w:r>
            <w:r>
              <w:rPr>
                <w:sz w:val="18"/>
                <w:szCs w:val="18"/>
              </w:rPr>
              <w:t xml:space="preserve"> incident</w:t>
            </w:r>
          </w:p>
        </w:tc>
        <w:tc>
          <w:tcPr>
            <w:tcW w:w="1959" w:type="dxa"/>
            <w:shd w:val="clear" w:color="auto" w:fill="auto"/>
          </w:tcPr>
          <w:p w:rsidR="00490889" w:rsidRPr="00F61982" w:rsidRDefault="00490889" w:rsidP="00994C20">
            <w:pPr>
              <w:spacing w:before="40" w:after="120"/>
              <w:ind w:left="57" w:right="113"/>
              <w:rPr>
                <w:sz w:val="18"/>
                <w:szCs w:val="18"/>
              </w:rPr>
            </w:pPr>
            <w:r w:rsidRPr="00F61982">
              <w:rPr>
                <w:sz w:val="18"/>
                <w:szCs w:val="18"/>
              </w:rPr>
              <w:t>Déterminer comment le niveau d’énergie influe sur le déclenchement et le niveau de la réaction</w:t>
            </w:r>
          </w:p>
        </w:tc>
        <w:tc>
          <w:tcPr>
            <w:tcW w:w="1554" w:type="dxa"/>
            <w:shd w:val="clear" w:color="auto" w:fill="auto"/>
          </w:tcPr>
          <w:p w:rsidR="00490889" w:rsidRPr="00F61982" w:rsidRDefault="00490889" w:rsidP="00994C20">
            <w:pPr>
              <w:spacing w:before="40" w:after="120"/>
              <w:ind w:left="57" w:right="113"/>
              <w:rPr>
                <w:sz w:val="18"/>
                <w:szCs w:val="18"/>
              </w:rPr>
            </w:pPr>
          </w:p>
        </w:tc>
        <w:tc>
          <w:tcPr>
            <w:tcW w:w="1753" w:type="dxa"/>
            <w:shd w:val="clear" w:color="auto" w:fill="auto"/>
          </w:tcPr>
          <w:p w:rsidR="00490889" w:rsidRPr="00F61982" w:rsidRDefault="00490889" w:rsidP="0002404C">
            <w:pPr>
              <w:spacing w:before="40" w:after="120"/>
              <w:ind w:left="57" w:right="113"/>
              <w:rPr>
                <w:sz w:val="18"/>
                <w:szCs w:val="18"/>
              </w:rPr>
            </w:pPr>
            <w:r w:rsidRPr="00F61982">
              <w:rPr>
                <w:sz w:val="18"/>
                <w:szCs w:val="18"/>
              </w:rPr>
              <w:t>En rapport avec le déclenchement des réactions et l’état de charge s’agissant des conditions d’épreuve. Le lien</w:t>
            </w:r>
            <w:r w:rsidR="0002404C">
              <w:rPr>
                <w:sz w:val="18"/>
                <w:szCs w:val="18"/>
              </w:rPr>
              <w:t xml:space="preserve"> avec le niveau d’énergie et la </w:t>
            </w:r>
            <w:r w:rsidRPr="00F61982">
              <w:rPr>
                <w:sz w:val="18"/>
                <w:szCs w:val="18"/>
              </w:rPr>
              <w:t>réaction peut être examiné. N’est pas une caractéristique de</w:t>
            </w:r>
            <w:r w:rsidR="0002404C">
              <w:rPr>
                <w:sz w:val="18"/>
                <w:szCs w:val="18"/>
              </w:rPr>
              <w:t> </w:t>
            </w:r>
            <w:r w:rsidRPr="00F61982">
              <w:rPr>
                <w:sz w:val="18"/>
                <w:szCs w:val="18"/>
              </w:rPr>
              <w:t>danger distincte</w:t>
            </w:r>
          </w:p>
        </w:tc>
      </w:tr>
      <w:tr w:rsidR="00490889" w:rsidRPr="00190A3E" w:rsidTr="0002404C">
        <w:trPr>
          <w:tblHeader/>
        </w:trPr>
        <w:tc>
          <w:tcPr>
            <w:tcW w:w="957" w:type="dxa"/>
            <w:vMerge/>
            <w:shd w:val="clear" w:color="auto" w:fill="auto"/>
          </w:tcPr>
          <w:p w:rsidR="00490889" w:rsidRPr="00F61982" w:rsidRDefault="00490889" w:rsidP="00994C20">
            <w:pPr>
              <w:spacing w:before="40" w:after="120"/>
              <w:ind w:left="57" w:right="113"/>
              <w:rPr>
                <w:sz w:val="18"/>
                <w:szCs w:val="18"/>
              </w:rPr>
            </w:pPr>
          </w:p>
        </w:tc>
        <w:tc>
          <w:tcPr>
            <w:tcW w:w="1078" w:type="dxa"/>
            <w:shd w:val="clear" w:color="auto" w:fill="auto"/>
            <w:vAlign w:val="center"/>
          </w:tcPr>
          <w:p w:rsidR="00490889" w:rsidRPr="00F61982" w:rsidRDefault="00490889" w:rsidP="00994C20">
            <w:pPr>
              <w:spacing w:before="40" w:after="120"/>
              <w:ind w:left="57" w:right="113"/>
              <w:jc w:val="center"/>
              <w:rPr>
                <w:sz w:val="18"/>
                <w:szCs w:val="18"/>
              </w:rPr>
            </w:pPr>
            <w:r w:rsidRPr="00F61982">
              <w:rPr>
                <w:sz w:val="18"/>
                <w:szCs w:val="18"/>
              </w:rPr>
              <w:t>Haute tension électrique</w:t>
            </w:r>
          </w:p>
        </w:tc>
        <w:tc>
          <w:tcPr>
            <w:tcW w:w="910" w:type="dxa"/>
            <w:shd w:val="clear" w:color="auto" w:fill="auto"/>
          </w:tcPr>
          <w:p w:rsidR="00490889" w:rsidRPr="00F61982" w:rsidRDefault="00490889" w:rsidP="00994C20">
            <w:pPr>
              <w:spacing w:before="40" w:after="120"/>
              <w:ind w:left="57" w:right="113"/>
              <w:rPr>
                <w:sz w:val="18"/>
                <w:szCs w:val="18"/>
              </w:rPr>
            </w:pPr>
          </w:p>
        </w:tc>
        <w:tc>
          <w:tcPr>
            <w:tcW w:w="1428" w:type="dxa"/>
            <w:shd w:val="clear" w:color="auto" w:fill="auto"/>
          </w:tcPr>
          <w:p w:rsidR="00490889" w:rsidRPr="00F61982" w:rsidRDefault="00490889" w:rsidP="0002404C">
            <w:pPr>
              <w:spacing w:before="40" w:after="120"/>
              <w:ind w:left="57" w:right="113"/>
              <w:rPr>
                <w:sz w:val="18"/>
                <w:szCs w:val="18"/>
              </w:rPr>
            </w:pPr>
            <w:r w:rsidRPr="00F61982">
              <w:rPr>
                <w:sz w:val="18"/>
                <w:szCs w:val="18"/>
              </w:rPr>
              <w:t>L’incidence d’une haute tension électrique sur la</w:t>
            </w:r>
            <w:r w:rsidR="0002404C">
              <w:rPr>
                <w:sz w:val="18"/>
                <w:szCs w:val="18"/>
              </w:rPr>
              <w:t> réaction, la </w:t>
            </w:r>
            <w:r w:rsidRPr="00F61982">
              <w:rPr>
                <w:sz w:val="18"/>
                <w:szCs w:val="18"/>
              </w:rPr>
              <w:t xml:space="preserve">possible inflammation de </w:t>
            </w:r>
            <w:r w:rsidRPr="0002404C">
              <w:rPr>
                <w:spacing w:val="-2"/>
                <w:sz w:val="18"/>
                <w:szCs w:val="18"/>
              </w:rPr>
              <w:t>gaz inflammables</w:t>
            </w:r>
            <w:r w:rsidRPr="00F61982">
              <w:rPr>
                <w:sz w:val="18"/>
                <w:szCs w:val="18"/>
              </w:rPr>
              <w:t xml:space="preserve"> ou une mauvaise interaction avec des produits d’extinction</w:t>
            </w:r>
          </w:p>
        </w:tc>
        <w:tc>
          <w:tcPr>
            <w:tcW w:w="1959" w:type="dxa"/>
            <w:shd w:val="clear" w:color="auto" w:fill="auto"/>
          </w:tcPr>
          <w:p w:rsidR="00490889" w:rsidRPr="00F61982" w:rsidRDefault="00490889" w:rsidP="00994C20">
            <w:pPr>
              <w:spacing w:before="40" w:after="120"/>
              <w:ind w:left="57" w:right="113"/>
              <w:rPr>
                <w:sz w:val="18"/>
                <w:szCs w:val="18"/>
              </w:rPr>
            </w:pPr>
            <w:r w:rsidRPr="00F61982">
              <w:rPr>
                <w:sz w:val="18"/>
                <w:szCs w:val="18"/>
              </w:rPr>
              <w:t>Déterminer si une haute tension électrique engendre des dangers supplémentaires</w:t>
            </w:r>
          </w:p>
        </w:tc>
        <w:tc>
          <w:tcPr>
            <w:tcW w:w="1554" w:type="dxa"/>
            <w:shd w:val="clear" w:color="auto" w:fill="auto"/>
          </w:tcPr>
          <w:p w:rsidR="00490889" w:rsidRPr="00F61982" w:rsidRDefault="00490889" w:rsidP="00994C20">
            <w:pPr>
              <w:spacing w:before="40" w:after="120"/>
              <w:ind w:left="57" w:right="113"/>
              <w:rPr>
                <w:sz w:val="18"/>
                <w:szCs w:val="18"/>
              </w:rPr>
            </w:pPr>
          </w:p>
        </w:tc>
        <w:tc>
          <w:tcPr>
            <w:tcW w:w="1753" w:type="dxa"/>
            <w:shd w:val="clear" w:color="auto" w:fill="auto"/>
          </w:tcPr>
          <w:p w:rsidR="00490889" w:rsidRPr="00F61982" w:rsidRDefault="00490889" w:rsidP="00994C20">
            <w:pPr>
              <w:spacing w:before="40" w:after="120"/>
              <w:ind w:left="57" w:right="113"/>
              <w:rPr>
                <w:sz w:val="18"/>
                <w:szCs w:val="18"/>
              </w:rPr>
            </w:pPr>
            <w:r w:rsidRPr="00F61982">
              <w:rPr>
                <w:sz w:val="18"/>
                <w:szCs w:val="18"/>
              </w:rPr>
              <w:t>Les risques de décharge électrique sont traités dans d’autres normes et ne sont pas couverts par ce paramètre de l’épreuve</w:t>
            </w:r>
          </w:p>
        </w:tc>
      </w:tr>
    </w:tbl>
    <w:p w:rsidR="00220DBA" w:rsidRDefault="00220DBA" w:rsidP="00906DD7">
      <w:pPr>
        <w:pStyle w:val="SingleTxtG"/>
        <w:spacing w:before="240" w:after="0"/>
        <w:jc w:val="center"/>
        <w:rPr>
          <w:u w:val="single"/>
        </w:rPr>
      </w:pPr>
    </w:p>
    <w:p w:rsidR="00906DD7" w:rsidRPr="00906DD7" w:rsidRDefault="00906DD7" w:rsidP="00906DD7">
      <w:pPr>
        <w:pStyle w:val="SingleTxtG"/>
        <w:spacing w:before="240" w:after="0"/>
        <w:jc w:val="center"/>
        <w:rPr>
          <w:u w:val="single"/>
        </w:rPr>
      </w:pPr>
      <w:r>
        <w:rPr>
          <w:u w:val="single"/>
        </w:rPr>
        <w:tab/>
      </w:r>
      <w:r>
        <w:rPr>
          <w:u w:val="single"/>
        </w:rPr>
        <w:tab/>
      </w:r>
      <w:r>
        <w:rPr>
          <w:u w:val="single"/>
        </w:rPr>
        <w:tab/>
      </w:r>
    </w:p>
    <w:sectPr w:rsidR="00906DD7" w:rsidRPr="00906DD7" w:rsidSect="00906DD7">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C20" w:rsidRDefault="00994C20" w:rsidP="00F95C08">
      <w:pPr>
        <w:spacing w:line="240" w:lineRule="auto"/>
      </w:pPr>
    </w:p>
  </w:endnote>
  <w:endnote w:type="continuationSeparator" w:id="0">
    <w:p w:rsidR="00994C20" w:rsidRPr="00AC3823" w:rsidRDefault="00994C20" w:rsidP="00AC3823">
      <w:pPr>
        <w:pStyle w:val="Footer"/>
      </w:pPr>
    </w:p>
  </w:endnote>
  <w:endnote w:type="continuationNotice" w:id="1">
    <w:p w:rsidR="00994C20" w:rsidRDefault="00994C2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20" w:rsidRPr="00906DD7" w:rsidRDefault="00994C20" w:rsidP="00906DD7">
    <w:pPr>
      <w:pStyle w:val="Footer"/>
      <w:tabs>
        <w:tab w:val="right" w:pos="9638"/>
      </w:tabs>
    </w:pPr>
    <w:r w:rsidRPr="00906DD7">
      <w:rPr>
        <w:b/>
        <w:sz w:val="18"/>
      </w:rPr>
      <w:fldChar w:fldCharType="begin"/>
    </w:r>
    <w:r w:rsidRPr="00906DD7">
      <w:rPr>
        <w:b/>
        <w:sz w:val="18"/>
      </w:rPr>
      <w:instrText xml:space="preserve"> PAGE  \* MERGEFORMAT </w:instrText>
    </w:r>
    <w:r w:rsidRPr="00906DD7">
      <w:rPr>
        <w:b/>
        <w:sz w:val="18"/>
      </w:rPr>
      <w:fldChar w:fldCharType="separate"/>
    </w:r>
    <w:r w:rsidR="005C2969">
      <w:rPr>
        <w:b/>
        <w:noProof/>
        <w:sz w:val="18"/>
      </w:rPr>
      <w:t>12</w:t>
    </w:r>
    <w:r w:rsidRPr="00906DD7">
      <w:rPr>
        <w:b/>
        <w:sz w:val="18"/>
      </w:rPr>
      <w:fldChar w:fldCharType="end"/>
    </w:r>
    <w:r>
      <w:rPr>
        <w:b/>
        <w:sz w:val="18"/>
      </w:rPr>
      <w:tab/>
    </w:r>
    <w:r>
      <w:t>GE.17-06437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20" w:rsidRPr="00906DD7" w:rsidRDefault="00994C20" w:rsidP="00906DD7">
    <w:pPr>
      <w:pStyle w:val="Footer"/>
      <w:tabs>
        <w:tab w:val="right" w:pos="9638"/>
      </w:tabs>
      <w:rPr>
        <w:b/>
        <w:sz w:val="18"/>
      </w:rPr>
    </w:pPr>
    <w:r>
      <w:t>GE.17-06437</w:t>
    </w:r>
    <w:r>
      <w:tab/>
    </w:r>
    <w:r w:rsidRPr="00906DD7">
      <w:rPr>
        <w:b/>
        <w:sz w:val="18"/>
      </w:rPr>
      <w:fldChar w:fldCharType="begin"/>
    </w:r>
    <w:r w:rsidRPr="00906DD7">
      <w:rPr>
        <w:b/>
        <w:sz w:val="18"/>
      </w:rPr>
      <w:instrText xml:space="preserve"> PAGE  \* MERGEFORMAT </w:instrText>
    </w:r>
    <w:r w:rsidRPr="00906DD7">
      <w:rPr>
        <w:b/>
        <w:sz w:val="18"/>
      </w:rPr>
      <w:fldChar w:fldCharType="separate"/>
    </w:r>
    <w:r w:rsidR="005C2969">
      <w:rPr>
        <w:b/>
        <w:noProof/>
        <w:sz w:val="18"/>
      </w:rPr>
      <w:t>13</w:t>
    </w:r>
    <w:r w:rsidRPr="00906DD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20" w:rsidRPr="00906DD7" w:rsidRDefault="00994C20" w:rsidP="00906DD7">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46980276" wp14:editId="50A3519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17-06437  (F)    050517    080517</w:t>
    </w:r>
    <w:r>
      <w:rPr>
        <w:sz w:val="20"/>
      </w:rPr>
      <w:br/>
    </w:r>
    <w:r w:rsidRPr="00906DD7">
      <w:rPr>
        <w:rFonts w:ascii="C39T30Lfz" w:hAnsi="C39T30Lfz"/>
        <w:sz w:val="56"/>
      </w:rPr>
      <w:t></w:t>
    </w:r>
    <w:r w:rsidRPr="00906DD7">
      <w:rPr>
        <w:rFonts w:ascii="C39T30Lfz" w:hAnsi="C39T30Lfz"/>
        <w:sz w:val="56"/>
      </w:rPr>
      <w:t></w:t>
    </w:r>
    <w:r w:rsidRPr="00906DD7">
      <w:rPr>
        <w:rFonts w:ascii="C39T30Lfz" w:hAnsi="C39T30Lfz"/>
        <w:sz w:val="56"/>
      </w:rPr>
      <w:t></w:t>
    </w:r>
    <w:r w:rsidRPr="00906DD7">
      <w:rPr>
        <w:rFonts w:ascii="C39T30Lfz" w:hAnsi="C39T30Lfz"/>
        <w:sz w:val="56"/>
      </w:rPr>
      <w:t></w:t>
    </w:r>
    <w:r w:rsidRPr="00906DD7">
      <w:rPr>
        <w:rFonts w:ascii="C39T30Lfz" w:hAnsi="C39T30Lfz"/>
        <w:sz w:val="56"/>
      </w:rPr>
      <w:t></w:t>
    </w:r>
    <w:r w:rsidRPr="00906DD7">
      <w:rPr>
        <w:rFonts w:ascii="C39T30Lfz" w:hAnsi="C39T30Lfz"/>
        <w:sz w:val="56"/>
      </w:rPr>
      <w:t></w:t>
    </w:r>
    <w:r w:rsidRPr="00906DD7">
      <w:rPr>
        <w:rFonts w:ascii="C39T30Lfz" w:hAnsi="C39T30Lfz"/>
        <w:sz w:val="56"/>
      </w:rPr>
      <w:t></w:t>
    </w:r>
    <w:r w:rsidRPr="00906DD7">
      <w:rPr>
        <w:rFonts w:ascii="C39T30Lfz" w:hAnsi="C39T30Lfz"/>
        <w:sz w:val="56"/>
      </w:rPr>
      <w:t></w:t>
    </w:r>
    <w:r w:rsidRPr="00906DD7">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7/1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7/1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C20" w:rsidRPr="00AC3823" w:rsidRDefault="00994C20" w:rsidP="00AC3823">
      <w:pPr>
        <w:pStyle w:val="Footer"/>
        <w:tabs>
          <w:tab w:val="right" w:pos="2155"/>
        </w:tabs>
        <w:spacing w:after="80" w:line="240" w:lineRule="atLeast"/>
        <w:ind w:left="680"/>
        <w:rPr>
          <w:u w:val="single"/>
        </w:rPr>
      </w:pPr>
      <w:r>
        <w:rPr>
          <w:u w:val="single"/>
        </w:rPr>
        <w:tab/>
      </w:r>
    </w:p>
  </w:footnote>
  <w:footnote w:type="continuationSeparator" w:id="0">
    <w:p w:rsidR="00994C20" w:rsidRPr="00AC3823" w:rsidRDefault="00994C20" w:rsidP="00AC3823">
      <w:pPr>
        <w:pStyle w:val="Footer"/>
        <w:tabs>
          <w:tab w:val="right" w:pos="2155"/>
        </w:tabs>
        <w:spacing w:after="80" w:line="240" w:lineRule="atLeast"/>
        <w:ind w:left="680"/>
        <w:rPr>
          <w:u w:val="single"/>
        </w:rPr>
      </w:pPr>
      <w:r>
        <w:rPr>
          <w:u w:val="single"/>
        </w:rPr>
        <w:tab/>
      </w:r>
    </w:p>
  </w:footnote>
  <w:footnote w:type="continuationNotice" w:id="1">
    <w:p w:rsidR="00994C20" w:rsidRPr="00AC3823" w:rsidRDefault="00994C20">
      <w:pPr>
        <w:spacing w:line="240" w:lineRule="auto"/>
        <w:rPr>
          <w:sz w:val="2"/>
          <w:szCs w:val="2"/>
        </w:rPr>
      </w:pPr>
    </w:p>
  </w:footnote>
  <w:footnote w:id="2">
    <w:p w:rsidR="00994C20" w:rsidRPr="00A3624C" w:rsidRDefault="00994C20">
      <w:pPr>
        <w:pStyle w:val="FootnoteText"/>
      </w:pPr>
      <w:r>
        <w:rPr>
          <w:rStyle w:val="FootnoteReference"/>
        </w:rPr>
        <w:tab/>
      </w:r>
      <w:r w:rsidRPr="00A3624C">
        <w:rPr>
          <w:rStyle w:val="FootnoteReference"/>
          <w:sz w:val="20"/>
          <w:vertAlign w:val="baseline"/>
        </w:rPr>
        <w:t>*</w:t>
      </w:r>
      <w:r>
        <w:rPr>
          <w:rStyle w:val="FootnoteReference"/>
          <w:sz w:val="20"/>
          <w:vertAlign w:val="baseline"/>
        </w:rPr>
        <w:tab/>
      </w:r>
      <w:r w:rsidRPr="00A3624C">
        <w:rPr>
          <w:lang w:val="fr-FR"/>
        </w:rPr>
        <w:t xml:space="preserve">Conformément au programme de travail du Sous-Comité pour la période 2017-2018, tel qu’approuvé </w:t>
      </w:r>
      <w:r w:rsidRPr="00A3624C">
        <w:rPr>
          <w:spacing w:val="-1"/>
          <w:lang w:val="fr-FR"/>
        </w:rPr>
        <w:t>par le Comité à sa huitième session (voir ST/SG/AC.10/C.3/100, par. 98, et ST/SG/AC.10/44, par.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20" w:rsidRPr="00906DD7" w:rsidRDefault="005C2969">
    <w:pPr>
      <w:pStyle w:val="Header"/>
    </w:pPr>
    <w:r>
      <w:fldChar w:fldCharType="begin"/>
    </w:r>
    <w:r>
      <w:instrText xml:space="preserve"> TITLE  \* MERGEFORMAT </w:instrText>
    </w:r>
    <w:r>
      <w:fldChar w:fldCharType="separate"/>
    </w:r>
    <w:r>
      <w:t>ST/SG/AC.10/C.3/2017/16</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20" w:rsidRPr="00906DD7" w:rsidRDefault="005C2969" w:rsidP="00906DD7">
    <w:pPr>
      <w:pStyle w:val="Header"/>
      <w:jc w:val="right"/>
    </w:pPr>
    <w:r>
      <w:fldChar w:fldCharType="begin"/>
    </w:r>
    <w:r>
      <w:instrText xml:space="preserve"> TITLE  \* MERGEFORMAT </w:instrText>
    </w:r>
    <w:r>
      <w:fldChar w:fldCharType="separate"/>
    </w:r>
    <w:r>
      <w:t>ST/SG/AC.10/C.3/2017/16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12C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34EEA80"/>
    <w:lvl w:ilvl="0">
      <w:start w:val="1"/>
      <w:numFmt w:val="decimal"/>
      <w:lvlText w:val="%1."/>
      <w:lvlJc w:val="left"/>
      <w:pPr>
        <w:tabs>
          <w:tab w:val="num" w:pos="1492"/>
        </w:tabs>
        <w:ind w:left="1492" w:hanging="360"/>
      </w:pPr>
    </w:lvl>
  </w:abstractNum>
  <w:abstractNum w:abstractNumId="2">
    <w:nsid w:val="FFFFFF7D"/>
    <w:multiLevelType w:val="singleLevel"/>
    <w:tmpl w:val="8B08445C"/>
    <w:lvl w:ilvl="0">
      <w:start w:val="1"/>
      <w:numFmt w:val="decimal"/>
      <w:lvlText w:val="%1."/>
      <w:lvlJc w:val="left"/>
      <w:pPr>
        <w:tabs>
          <w:tab w:val="num" w:pos="1209"/>
        </w:tabs>
        <w:ind w:left="1209" w:hanging="360"/>
      </w:pPr>
    </w:lvl>
  </w:abstractNum>
  <w:abstractNum w:abstractNumId="3">
    <w:nsid w:val="FFFFFF7E"/>
    <w:multiLevelType w:val="singleLevel"/>
    <w:tmpl w:val="7D50032A"/>
    <w:lvl w:ilvl="0">
      <w:start w:val="1"/>
      <w:numFmt w:val="decimal"/>
      <w:lvlText w:val="%1."/>
      <w:lvlJc w:val="left"/>
      <w:pPr>
        <w:tabs>
          <w:tab w:val="num" w:pos="926"/>
        </w:tabs>
        <w:ind w:left="926" w:hanging="360"/>
      </w:pPr>
    </w:lvl>
  </w:abstractNum>
  <w:abstractNum w:abstractNumId="4">
    <w:nsid w:val="FFFFFF7F"/>
    <w:multiLevelType w:val="singleLevel"/>
    <w:tmpl w:val="844CBCBC"/>
    <w:lvl w:ilvl="0">
      <w:start w:val="1"/>
      <w:numFmt w:val="decimal"/>
      <w:lvlText w:val="%1."/>
      <w:lvlJc w:val="left"/>
      <w:pPr>
        <w:tabs>
          <w:tab w:val="num" w:pos="643"/>
        </w:tabs>
        <w:ind w:left="643" w:hanging="360"/>
      </w:pPr>
    </w:lvl>
  </w:abstractNum>
  <w:abstractNum w:abstractNumId="5">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145C69F2"/>
    <w:lvl w:ilvl="0">
      <w:start w:val="1"/>
      <w:numFmt w:val="decimal"/>
      <w:lvlText w:val="%1."/>
      <w:lvlJc w:val="left"/>
      <w:pPr>
        <w:tabs>
          <w:tab w:val="num" w:pos="360"/>
        </w:tabs>
        <w:ind w:left="360" w:hanging="360"/>
      </w:pPr>
    </w:lvl>
  </w:abstractNum>
  <w:abstractNum w:abstractNumId="1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A427C5"/>
    <w:multiLevelType w:val="hybridMultilevel"/>
    <w:tmpl w:val="E4B6DDF4"/>
    <w:lvl w:ilvl="0" w:tplc="B482691A">
      <w:start w:val="1"/>
      <w:numFmt w:val="bullet"/>
      <w:lvlText w:val=""/>
      <w:lvlJc w:val="left"/>
      <w:pPr>
        <w:ind w:left="2061" w:hanging="360"/>
      </w:pPr>
      <w:rPr>
        <w:rFonts w:ascii="Symbol" w:hAnsi="Symbol"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7">
    <w:nsid w:val="149267EF"/>
    <w:multiLevelType w:val="hybridMultilevel"/>
    <w:tmpl w:val="21B8D758"/>
    <w:lvl w:ilvl="0" w:tplc="E6E21E7E">
      <w:start w:val="1"/>
      <w:numFmt w:val="lowerLetter"/>
      <w:lvlText w:val="(%1)"/>
      <w:lvlJc w:val="left"/>
      <w:pPr>
        <w:ind w:left="2061" w:hanging="360"/>
      </w:pPr>
      <w:rPr>
        <w:rFonts w:hint="default"/>
      </w:rPr>
    </w:lvl>
    <w:lvl w:ilvl="1" w:tplc="04090003">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nsid w:val="19CC5AC7"/>
    <w:multiLevelType w:val="hybridMultilevel"/>
    <w:tmpl w:val="84E852EE"/>
    <w:lvl w:ilvl="0" w:tplc="B482691A">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7DC5C2B"/>
    <w:multiLevelType w:val="multilevel"/>
    <w:tmpl w:val="E4B6DDF4"/>
    <w:lvl w:ilvl="0">
      <w:start w:val="1"/>
      <w:numFmt w:val="bullet"/>
      <w:lvlText w:val=""/>
      <w:lvlJc w:val="left"/>
      <w:pPr>
        <w:ind w:left="2061" w:hanging="360"/>
      </w:pPr>
      <w:rPr>
        <w:rFonts w:ascii="Symbol" w:hAnsi="Symbol" w:hint="default"/>
      </w:rPr>
    </w:lvl>
    <w:lvl w:ilvl="1">
      <w:start w:val="1"/>
      <w:numFmt w:val="bullet"/>
      <w:lvlText w:val="o"/>
      <w:lvlJc w:val="left"/>
      <w:pPr>
        <w:ind w:left="2781" w:hanging="360"/>
      </w:pPr>
      <w:rPr>
        <w:rFonts w:ascii="Courier New" w:hAnsi="Courier New" w:hint="default"/>
      </w:rPr>
    </w:lvl>
    <w:lvl w:ilvl="2">
      <w:start w:val="1"/>
      <w:numFmt w:val="bullet"/>
      <w:lvlText w:val=""/>
      <w:lvlJc w:val="left"/>
      <w:pPr>
        <w:ind w:left="3501" w:hanging="360"/>
      </w:pPr>
      <w:rPr>
        <w:rFonts w:ascii="Wingdings" w:hAnsi="Wingdings" w:hint="default"/>
      </w:rPr>
    </w:lvl>
    <w:lvl w:ilvl="3">
      <w:start w:val="1"/>
      <w:numFmt w:val="bullet"/>
      <w:lvlText w:val=""/>
      <w:lvlJc w:val="left"/>
      <w:pPr>
        <w:ind w:left="4221" w:hanging="360"/>
      </w:pPr>
      <w:rPr>
        <w:rFonts w:ascii="Symbol" w:hAnsi="Symbol" w:hint="default"/>
      </w:rPr>
    </w:lvl>
    <w:lvl w:ilvl="4">
      <w:start w:val="1"/>
      <w:numFmt w:val="bullet"/>
      <w:lvlText w:val="o"/>
      <w:lvlJc w:val="left"/>
      <w:pPr>
        <w:ind w:left="4941" w:hanging="360"/>
      </w:pPr>
      <w:rPr>
        <w:rFonts w:ascii="Courier New" w:hAnsi="Courier New" w:hint="default"/>
      </w:rPr>
    </w:lvl>
    <w:lvl w:ilvl="5">
      <w:start w:val="1"/>
      <w:numFmt w:val="bullet"/>
      <w:lvlText w:val=""/>
      <w:lvlJc w:val="left"/>
      <w:pPr>
        <w:ind w:left="5661" w:hanging="360"/>
      </w:pPr>
      <w:rPr>
        <w:rFonts w:ascii="Wingdings" w:hAnsi="Wingdings" w:hint="default"/>
      </w:rPr>
    </w:lvl>
    <w:lvl w:ilvl="6">
      <w:start w:val="1"/>
      <w:numFmt w:val="bullet"/>
      <w:lvlText w:val=""/>
      <w:lvlJc w:val="left"/>
      <w:pPr>
        <w:ind w:left="6381" w:hanging="360"/>
      </w:pPr>
      <w:rPr>
        <w:rFonts w:ascii="Symbol" w:hAnsi="Symbol" w:hint="default"/>
      </w:rPr>
    </w:lvl>
    <w:lvl w:ilvl="7">
      <w:start w:val="1"/>
      <w:numFmt w:val="bullet"/>
      <w:lvlText w:val="o"/>
      <w:lvlJc w:val="left"/>
      <w:pPr>
        <w:ind w:left="7101" w:hanging="360"/>
      </w:pPr>
      <w:rPr>
        <w:rFonts w:ascii="Courier New" w:hAnsi="Courier New" w:hint="default"/>
      </w:rPr>
    </w:lvl>
    <w:lvl w:ilvl="8">
      <w:start w:val="1"/>
      <w:numFmt w:val="bullet"/>
      <w:lvlText w:val=""/>
      <w:lvlJc w:val="left"/>
      <w:pPr>
        <w:ind w:left="7821" w:hanging="360"/>
      </w:pPr>
      <w:rPr>
        <w:rFonts w:ascii="Wingdings" w:hAnsi="Wingdings" w:hint="default"/>
      </w:rPr>
    </w:lvl>
  </w:abstractNum>
  <w:abstractNum w:abstractNumId="21">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C0573D"/>
    <w:multiLevelType w:val="hybridMultilevel"/>
    <w:tmpl w:val="D988CAF6"/>
    <w:lvl w:ilvl="0" w:tplc="D59E8A6C">
      <w:start w:val="1"/>
      <w:numFmt w:val="upperRoman"/>
      <w:lvlText w:val="%1."/>
      <w:lvlJc w:val="left"/>
      <w:pPr>
        <w:ind w:left="1860" w:hanging="72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6">
    <w:nsid w:val="5BC72C17"/>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702D3D8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nsid w:val="783C54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7"/>
  </w:num>
  <w:num w:numId="2">
    <w:abstractNumId w:val="23"/>
  </w:num>
  <w:num w:numId="3">
    <w:abstractNumId w:val="13"/>
  </w:num>
  <w:num w:numId="4">
    <w:abstractNumId w:val="9"/>
  </w:num>
  <w:num w:numId="5">
    <w:abstractNumId w:val="4"/>
  </w:num>
  <w:num w:numId="6">
    <w:abstractNumId w:val="3"/>
  </w:num>
  <w:num w:numId="7">
    <w:abstractNumId w:val="2"/>
  </w:num>
  <w:num w:numId="8">
    <w:abstractNumId w:val="1"/>
  </w:num>
  <w:num w:numId="9">
    <w:abstractNumId w:val="10"/>
  </w:num>
  <w:num w:numId="10">
    <w:abstractNumId w:val="8"/>
  </w:num>
  <w:num w:numId="11">
    <w:abstractNumId w:val="7"/>
  </w:num>
  <w:num w:numId="12">
    <w:abstractNumId w:val="6"/>
  </w:num>
  <w:num w:numId="13">
    <w:abstractNumId w:val="5"/>
  </w:num>
  <w:num w:numId="14">
    <w:abstractNumId w:val="22"/>
  </w:num>
  <w:num w:numId="15">
    <w:abstractNumId w:val="19"/>
  </w:num>
  <w:num w:numId="16">
    <w:abstractNumId w:val="11"/>
  </w:num>
  <w:num w:numId="17">
    <w:abstractNumId w:val="30"/>
  </w:num>
  <w:num w:numId="18">
    <w:abstractNumId w:val="28"/>
  </w:num>
  <w:num w:numId="19">
    <w:abstractNumId w:val="26"/>
  </w:num>
  <w:num w:numId="20">
    <w:abstractNumId w:val="0"/>
  </w:num>
  <w:num w:numId="21">
    <w:abstractNumId w:val="14"/>
  </w:num>
  <w:num w:numId="22">
    <w:abstractNumId w:val="21"/>
  </w:num>
  <w:num w:numId="23">
    <w:abstractNumId w:val="29"/>
  </w:num>
  <w:num w:numId="24">
    <w:abstractNumId w:val="12"/>
  </w:num>
  <w:num w:numId="25">
    <w:abstractNumId w:val="24"/>
  </w:num>
  <w:num w:numId="26">
    <w:abstractNumId w:val="15"/>
  </w:num>
  <w:num w:numId="27">
    <w:abstractNumId w:val="16"/>
  </w:num>
  <w:num w:numId="28">
    <w:abstractNumId w:val="18"/>
  </w:num>
  <w:num w:numId="29">
    <w:abstractNumId w:val="20"/>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08"/>
    <w:rsid w:val="00017F94"/>
    <w:rsid w:val="0002224B"/>
    <w:rsid w:val="00023842"/>
    <w:rsid w:val="0002404C"/>
    <w:rsid w:val="000305D3"/>
    <w:rsid w:val="000334F9"/>
    <w:rsid w:val="000407F7"/>
    <w:rsid w:val="00045D12"/>
    <w:rsid w:val="0007796D"/>
    <w:rsid w:val="000B7790"/>
    <w:rsid w:val="000D3A4C"/>
    <w:rsid w:val="00100517"/>
    <w:rsid w:val="0010131B"/>
    <w:rsid w:val="00111F2F"/>
    <w:rsid w:val="001167AC"/>
    <w:rsid w:val="00131C71"/>
    <w:rsid w:val="00132EA9"/>
    <w:rsid w:val="0014365E"/>
    <w:rsid w:val="001548AF"/>
    <w:rsid w:val="001706F9"/>
    <w:rsid w:val="00176178"/>
    <w:rsid w:val="00190A3E"/>
    <w:rsid w:val="001C2275"/>
    <w:rsid w:val="001D3435"/>
    <w:rsid w:val="001F525A"/>
    <w:rsid w:val="002077AA"/>
    <w:rsid w:val="00220DBA"/>
    <w:rsid w:val="00223272"/>
    <w:rsid w:val="002376B6"/>
    <w:rsid w:val="00244D0F"/>
    <w:rsid w:val="0024779E"/>
    <w:rsid w:val="00252D26"/>
    <w:rsid w:val="00283190"/>
    <w:rsid w:val="002832AC"/>
    <w:rsid w:val="00285DE1"/>
    <w:rsid w:val="00285F93"/>
    <w:rsid w:val="00296D5E"/>
    <w:rsid w:val="002D7C93"/>
    <w:rsid w:val="002E1660"/>
    <w:rsid w:val="00302D5B"/>
    <w:rsid w:val="0030440C"/>
    <w:rsid w:val="00354CBA"/>
    <w:rsid w:val="00441C3B"/>
    <w:rsid w:val="00446FE5"/>
    <w:rsid w:val="00452396"/>
    <w:rsid w:val="004704E9"/>
    <w:rsid w:val="00490889"/>
    <w:rsid w:val="004C2583"/>
    <w:rsid w:val="004E468C"/>
    <w:rsid w:val="005505B7"/>
    <w:rsid w:val="00573BE5"/>
    <w:rsid w:val="00586ED3"/>
    <w:rsid w:val="00596AA9"/>
    <w:rsid w:val="005C2969"/>
    <w:rsid w:val="005D0CF5"/>
    <w:rsid w:val="00616ED6"/>
    <w:rsid w:val="00617BAA"/>
    <w:rsid w:val="00626A84"/>
    <w:rsid w:val="0068456F"/>
    <w:rsid w:val="006857F1"/>
    <w:rsid w:val="00691D67"/>
    <w:rsid w:val="006F5C47"/>
    <w:rsid w:val="00706890"/>
    <w:rsid w:val="0071601D"/>
    <w:rsid w:val="007427AF"/>
    <w:rsid w:val="007542D6"/>
    <w:rsid w:val="00766E5E"/>
    <w:rsid w:val="007755D7"/>
    <w:rsid w:val="00776B8B"/>
    <w:rsid w:val="007A62E6"/>
    <w:rsid w:val="0080684C"/>
    <w:rsid w:val="00813A8C"/>
    <w:rsid w:val="00860C2B"/>
    <w:rsid w:val="00861516"/>
    <w:rsid w:val="00871C75"/>
    <w:rsid w:val="008776DC"/>
    <w:rsid w:val="008A4A07"/>
    <w:rsid w:val="008B40CD"/>
    <w:rsid w:val="00906DD7"/>
    <w:rsid w:val="00907632"/>
    <w:rsid w:val="00946D8E"/>
    <w:rsid w:val="009705C8"/>
    <w:rsid w:val="00985ED1"/>
    <w:rsid w:val="00994C20"/>
    <w:rsid w:val="00995E79"/>
    <w:rsid w:val="009A7478"/>
    <w:rsid w:val="009C1CF4"/>
    <w:rsid w:val="00A30353"/>
    <w:rsid w:val="00A3624C"/>
    <w:rsid w:val="00A5197D"/>
    <w:rsid w:val="00AA00E0"/>
    <w:rsid w:val="00AC37CE"/>
    <w:rsid w:val="00AC3823"/>
    <w:rsid w:val="00AE323C"/>
    <w:rsid w:val="00AF5710"/>
    <w:rsid w:val="00B00181"/>
    <w:rsid w:val="00B00B0D"/>
    <w:rsid w:val="00B1122E"/>
    <w:rsid w:val="00B17CFD"/>
    <w:rsid w:val="00B310A5"/>
    <w:rsid w:val="00B765F7"/>
    <w:rsid w:val="00B86385"/>
    <w:rsid w:val="00B93F77"/>
    <w:rsid w:val="00B96211"/>
    <w:rsid w:val="00BA0CA9"/>
    <w:rsid w:val="00BE159B"/>
    <w:rsid w:val="00C02897"/>
    <w:rsid w:val="00C45C43"/>
    <w:rsid w:val="00C6542E"/>
    <w:rsid w:val="00C855F9"/>
    <w:rsid w:val="00CD7608"/>
    <w:rsid w:val="00D04D00"/>
    <w:rsid w:val="00D3439C"/>
    <w:rsid w:val="00D811DD"/>
    <w:rsid w:val="00D90965"/>
    <w:rsid w:val="00D95F60"/>
    <w:rsid w:val="00DB1831"/>
    <w:rsid w:val="00DD3BFD"/>
    <w:rsid w:val="00DD7CA4"/>
    <w:rsid w:val="00DF6678"/>
    <w:rsid w:val="00E03A51"/>
    <w:rsid w:val="00E118B4"/>
    <w:rsid w:val="00E11CDF"/>
    <w:rsid w:val="00E43535"/>
    <w:rsid w:val="00E66EC3"/>
    <w:rsid w:val="00EA28D7"/>
    <w:rsid w:val="00EA4BB9"/>
    <w:rsid w:val="00EF2E22"/>
    <w:rsid w:val="00F01738"/>
    <w:rsid w:val="00F23671"/>
    <w:rsid w:val="00F467BD"/>
    <w:rsid w:val="00F61982"/>
    <w:rsid w:val="00F660DF"/>
    <w:rsid w:val="00F730C8"/>
    <w:rsid w:val="00F95C08"/>
    <w:rsid w:val="00FF683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CommentReference">
    <w:name w:val="annotation reference"/>
    <w:semiHidden/>
    <w:rsid w:val="00906DD7"/>
    <w:rPr>
      <w:sz w:val="6"/>
    </w:rPr>
  </w:style>
  <w:style w:type="table" w:styleId="Table3Deffects1">
    <w:name w:val="Table 3D effects 1"/>
    <w:basedOn w:val="TableNormal"/>
    <w:semiHidden/>
    <w:rsid w:val="00906DD7"/>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06DD7"/>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06DD7"/>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06DD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06DD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06DD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06DD7"/>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06DD7"/>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06DD7"/>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06DD7"/>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credenotedebasdepage">
    <w:name w:val="Ancre de note de bas de page"/>
    <w:rsid w:val="00906DD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32EA9"/>
    <w:rPr>
      <w:rFonts w:ascii="Tahoma" w:hAnsi="Tahoma" w:cs="Tahoma"/>
      <w:sz w:val="16"/>
      <w:szCs w:val="16"/>
      <w:lang w:eastAsia="en-US"/>
    </w:rPr>
  </w:style>
  <w:style w:type="character" w:styleId="CommentReference">
    <w:name w:val="annotation reference"/>
    <w:semiHidden/>
    <w:rsid w:val="00906DD7"/>
    <w:rPr>
      <w:sz w:val="6"/>
    </w:rPr>
  </w:style>
  <w:style w:type="table" w:styleId="Table3Deffects1">
    <w:name w:val="Table 3D effects 1"/>
    <w:basedOn w:val="TableNormal"/>
    <w:semiHidden/>
    <w:rsid w:val="00906DD7"/>
    <w:pPr>
      <w:suppressAutoHyphens/>
      <w:spacing w:after="0" w:line="240" w:lineRule="atLeast"/>
    </w:pPr>
    <w:rPr>
      <w:rFonts w:ascii="Times New Roman" w:hAnsi="Times New Roman" w:cs="Times New Roman"/>
      <w:sz w:val="20"/>
      <w:szCs w:val="20"/>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06DD7"/>
    <w:pPr>
      <w:suppressAutoHyphens/>
      <w:spacing w:after="0" w:line="240" w:lineRule="atLeast"/>
    </w:pPr>
    <w:rPr>
      <w:rFonts w:ascii="Times New Roman" w:hAnsi="Times New Roman" w:cs="Times New Roman"/>
      <w:color w:val="000080"/>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06DD7"/>
    <w:pPr>
      <w:suppressAutoHyphens/>
      <w:spacing w:after="0" w:line="240" w:lineRule="atLeast"/>
    </w:pPr>
    <w:rPr>
      <w:rFonts w:ascii="Times New Roman" w:hAnsi="Times New Roman" w:cs="Times New Roman"/>
      <w:color w:val="FFFFFF"/>
      <w:sz w:val="20"/>
      <w:szCs w:val="20"/>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06DD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06DD7"/>
    <w:pPr>
      <w:suppressAutoHyphens/>
      <w:spacing w:after="0" w:line="240" w:lineRule="atLeast"/>
    </w:pPr>
    <w:rPr>
      <w:rFonts w:ascii="Times New Roman" w:hAnsi="Times New Roman" w:cs="Times New Roman"/>
      <w:b/>
      <w:bCs/>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06DD7"/>
    <w:pPr>
      <w:suppressAutoHyphens/>
      <w:spacing w:after="0" w:line="240" w:lineRule="atLeast"/>
    </w:pPr>
    <w:rPr>
      <w:rFonts w:ascii="Times New Roman" w:hAnsi="Times New Roman" w:cs="Times New Roman"/>
      <w:b/>
      <w:bCs/>
      <w:sz w:val="20"/>
      <w:szCs w:val="20"/>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06DD7"/>
    <w:pPr>
      <w:suppressAutoHyphens/>
      <w:spacing w:after="0" w:line="240" w:lineRule="atLeast"/>
    </w:pPr>
    <w:rPr>
      <w:rFonts w:ascii="Times New Roman" w:hAnsi="Times New Roman" w:cs="Times New Roman"/>
      <w:b/>
      <w:bCs/>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06DD7"/>
    <w:pPr>
      <w:suppressAutoHyphens/>
      <w:spacing w:after="0" w:line="240" w:lineRule="atLeast"/>
    </w:pPr>
    <w:rPr>
      <w:rFonts w:ascii="Times New Roman" w:hAnsi="Times New Roman" w:cs="Times New Roman"/>
      <w:sz w:val="20"/>
      <w:szCs w:val="20"/>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06DD7"/>
    <w:pPr>
      <w:suppressAutoHyphens/>
      <w:spacing w:after="0" w:line="240" w:lineRule="atLeast"/>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06DD7"/>
    <w:pPr>
      <w:suppressAutoHyphens/>
      <w:spacing w:after="0" w:line="240" w:lineRule="atLeast"/>
    </w:pPr>
    <w:rPr>
      <w:rFonts w:ascii="Times New Roman" w:hAnsi="Times New Roman" w:cs="Times New Roman"/>
      <w:sz w:val="20"/>
      <w:szCs w:val="20"/>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06DD7"/>
    <w:pPr>
      <w:suppressAutoHyphens/>
      <w:spacing w:after="0" w:line="240" w:lineRule="atLeast"/>
    </w:pPr>
    <w:rPr>
      <w:rFonts w:ascii="Times New Roman" w:hAnsi="Times New Roman" w:cs="Times New Roman"/>
      <w:sz w:val="20"/>
      <w:szCs w:val="20"/>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06DD7"/>
    <w:pPr>
      <w:suppressAutoHyphens/>
      <w:spacing w:after="0" w:line="240" w:lineRule="atLeast"/>
    </w:pPr>
    <w:rPr>
      <w:rFonts w:ascii="Times New Roman" w:hAnsi="Times New Roman" w:cs="Times New Roman"/>
      <w:sz w:val="20"/>
      <w:szCs w:val="20"/>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credenotedebasdepage">
    <w:name w:val="Ancre de note de bas de page"/>
    <w:rsid w:val="00906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6170</Words>
  <Characters>35173</Characters>
  <Application>Microsoft Office Word</Application>
  <DocSecurity>0</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ST/SG/AC.10/C.3/2017/16</vt:lpstr>
      <vt:lpstr>ST/SG/AC.10/C.3/2017/16</vt:lpstr>
    </vt:vector>
  </TitlesOfParts>
  <Company>DCM</Company>
  <LinksUpToDate>false</LinksUpToDate>
  <CharactersWithSpaces>41261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ST/SG/AC.10/C.3/2017/16</dc:title>
  <dc:creator>DESCHAMPS</dc:creator>
  <cp:lastModifiedBy>Laurence Berthet</cp:lastModifiedBy>
  <cp:revision>3</cp:revision>
  <cp:lastPrinted>2017-05-09T07:07:00Z</cp:lastPrinted>
  <dcterms:created xsi:type="dcterms:W3CDTF">2017-05-09T07:07:00Z</dcterms:created>
  <dcterms:modified xsi:type="dcterms:W3CDTF">2017-05-09T07:07:00Z</dcterms:modified>
</cp:coreProperties>
</file>