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04351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04351A" w:rsidP="0004351A">
            <w:pPr>
              <w:jc w:val="right"/>
            </w:pPr>
            <w:r w:rsidRPr="0004351A">
              <w:rPr>
                <w:sz w:val="40"/>
              </w:rPr>
              <w:t>ST</w:t>
            </w:r>
            <w:r>
              <w:t>/SG/AC.10/C.3/2017/14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04351A" w:rsidP="00F01738">
            <w:pPr>
              <w:spacing w:before="240"/>
            </w:pPr>
            <w:r>
              <w:t>Distr. générale</w:t>
            </w:r>
          </w:p>
          <w:p w:rsidR="0004351A" w:rsidRDefault="0004351A" w:rsidP="0004351A">
            <w:pPr>
              <w:spacing w:line="240" w:lineRule="exact"/>
            </w:pPr>
            <w:r>
              <w:t>3 avril 2017</w:t>
            </w:r>
          </w:p>
          <w:p w:rsidR="0004351A" w:rsidRDefault="0004351A" w:rsidP="0004351A">
            <w:pPr>
              <w:spacing w:line="240" w:lineRule="exact"/>
            </w:pPr>
            <w:r>
              <w:t>Français</w:t>
            </w:r>
          </w:p>
          <w:p w:rsidR="0004351A" w:rsidRPr="00DB58B5" w:rsidRDefault="0004351A" w:rsidP="0004351A">
            <w:pPr>
              <w:spacing w:line="240" w:lineRule="exact"/>
            </w:pPr>
            <w:r>
              <w:t>Original : anglais</w:t>
            </w:r>
          </w:p>
        </w:tc>
      </w:tr>
    </w:tbl>
    <w:p w:rsidR="0004351A" w:rsidRPr="00CA0680" w:rsidRDefault="0004351A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04351A" w:rsidRPr="00CA0680" w:rsidRDefault="0004351A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04351A" w:rsidRDefault="0004351A" w:rsidP="000305D3">
      <w:pPr>
        <w:spacing w:before="120"/>
        <w:rPr>
          <w:b/>
        </w:rPr>
      </w:pPr>
      <w:r>
        <w:rPr>
          <w:b/>
        </w:rPr>
        <w:t xml:space="preserve">Cinquante et unième </w:t>
      </w:r>
      <w:r w:rsidRPr="00CA0680">
        <w:rPr>
          <w:b/>
        </w:rPr>
        <w:t>session</w:t>
      </w:r>
    </w:p>
    <w:p w:rsidR="0004351A" w:rsidRDefault="0004351A" w:rsidP="000305D3">
      <w:r>
        <w:t>Genève, 3-7 juillet 2017</w:t>
      </w:r>
    </w:p>
    <w:p w:rsidR="0004351A" w:rsidRDefault="0004351A" w:rsidP="000305D3">
      <w:r>
        <w:t>Point 2 c) de l’ordre du jour provisoire</w:t>
      </w:r>
    </w:p>
    <w:p w:rsidR="0004351A" w:rsidRPr="0004351A" w:rsidRDefault="0004351A" w:rsidP="0004351A">
      <w:pPr>
        <w:rPr>
          <w:b/>
        </w:rPr>
      </w:pPr>
      <w:r>
        <w:rPr>
          <w:b/>
          <w:lang w:val="fr-FR"/>
        </w:rPr>
        <w:t>Explosifs et questions connexes </w:t>
      </w:r>
      <w:r w:rsidRPr="0004351A">
        <w:rPr>
          <w:b/>
          <w:lang w:val="fr-FR"/>
        </w:rPr>
        <w:t>: détonateurs électroniques</w:t>
      </w:r>
    </w:p>
    <w:p w:rsidR="0004351A" w:rsidRPr="005D4E80" w:rsidRDefault="0004351A" w:rsidP="0004351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Nouvelles rubriques ONU pour les détonateurs électroniques</w:t>
      </w:r>
    </w:p>
    <w:p w:rsidR="0004351A" w:rsidRPr="000B6EDD" w:rsidRDefault="0004351A" w:rsidP="0004351A">
      <w:pPr>
        <w:pStyle w:val="H1G"/>
        <w:rPr>
          <w:lang w:val="en-GB"/>
        </w:rPr>
      </w:pPr>
      <w:r>
        <w:rPr>
          <w:lang w:val="fr-FR"/>
        </w:rPr>
        <w:tab/>
      </w:r>
      <w:r>
        <w:rPr>
          <w:lang w:val="fr-FR"/>
        </w:rPr>
        <w:tab/>
      </w:r>
      <w:r w:rsidRPr="005D4E80">
        <w:rPr>
          <w:lang w:val="en-GB"/>
        </w:rPr>
        <w:t>Communication de l</w:t>
      </w:r>
      <w:r>
        <w:rPr>
          <w:lang w:val="en-GB"/>
        </w:rPr>
        <w:t>’</w:t>
      </w:r>
      <w:r w:rsidRPr="005D4E80">
        <w:rPr>
          <w:lang w:val="en-GB"/>
        </w:rPr>
        <w:t>Australian Explosive Industry Safety Group (AEISG)</w:t>
      </w:r>
      <w:r w:rsidRPr="0004351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4351A" w:rsidRPr="005D4E80" w:rsidRDefault="0004351A" w:rsidP="00E14F13">
      <w:pPr>
        <w:pStyle w:val="HChG"/>
        <w:rPr>
          <w:szCs w:val="28"/>
        </w:rPr>
      </w:pPr>
      <w:r w:rsidRPr="005D4E80">
        <w:rPr>
          <w:lang w:val="en-GB"/>
        </w:rPr>
        <w:tab/>
      </w:r>
      <w:r w:rsidRPr="005D4E80">
        <w:rPr>
          <w:lang w:val="en-GB"/>
        </w:rPr>
        <w:tab/>
      </w:r>
      <w:r>
        <w:rPr>
          <w:lang w:val="fr-FR"/>
        </w:rPr>
        <w:t>Introduction</w:t>
      </w:r>
    </w:p>
    <w:p w:rsidR="0004351A" w:rsidRDefault="0004351A" w:rsidP="00FD0BC6">
      <w:pPr>
        <w:pStyle w:val="ParNoG"/>
        <w:keepNext/>
      </w:pPr>
      <w:r>
        <w:rPr>
          <w:lang w:val="fr-FR"/>
        </w:rPr>
        <w:t xml:space="preserve">La version actuelle du Règlement type contient les rubriques suivantes pour les détonateurs, autres que </w:t>
      </w:r>
      <w:r w:rsidR="00947757">
        <w:rPr>
          <w:lang w:val="fr-FR"/>
        </w:rPr>
        <w:t xml:space="preserve">ceux </w:t>
      </w:r>
      <w:r>
        <w:rPr>
          <w:lang w:val="fr-FR"/>
        </w:rPr>
        <w:t>utilisé</w:t>
      </w:r>
      <w:r w:rsidR="004F4861">
        <w:rPr>
          <w:lang w:val="fr-FR"/>
        </w:rPr>
        <w:t xml:space="preserve">s </w:t>
      </w:r>
      <w:r w:rsidR="00947757">
        <w:rPr>
          <w:lang w:val="fr-FR"/>
        </w:rPr>
        <w:t>pour les</w:t>
      </w:r>
      <w:r w:rsidR="004F4861">
        <w:rPr>
          <w:lang w:val="fr-FR"/>
        </w:rPr>
        <w:t xml:space="preserve"> munitions </w:t>
      </w:r>
      <w:r>
        <w:rPr>
          <w:lang w:val="fr-FR"/>
        </w:rPr>
        <w:t>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1654"/>
        <w:gridCol w:w="1800"/>
      </w:tblGrid>
      <w:tr w:rsidR="004F4861" w:rsidRPr="00482685" w:rsidTr="00482685">
        <w:trPr>
          <w:tblHeader/>
        </w:trPr>
        <w:tc>
          <w:tcPr>
            <w:tcW w:w="3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F4861" w:rsidRPr="00482685" w:rsidRDefault="00E37BF1" w:rsidP="00482685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  <w:lang w:val="fr-FR"/>
              </w:rPr>
              <w:t>Nom et description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F4861" w:rsidRPr="00482685" w:rsidRDefault="004F4861" w:rsidP="0048268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482685">
              <w:rPr>
                <w:i/>
                <w:sz w:val="16"/>
                <w:lang w:val="fr-FR"/>
              </w:rPr>
              <w:t>Catégorie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F4861" w:rsidRPr="00482685" w:rsidRDefault="004F4861" w:rsidP="0048268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482685">
              <w:rPr>
                <w:i/>
                <w:sz w:val="16"/>
                <w:lang w:val="fr-FR"/>
              </w:rPr>
              <w:t>Numéro ONU</w:t>
            </w:r>
          </w:p>
        </w:tc>
      </w:tr>
      <w:tr w:rsidR="004F4861" w:rsidRPr="00482685" w:rsidTr="00482685">
        <w:tc>
          <w:tcPr>
            <w:tcW w:w="3916" w:type="dxa"/>
            <w:shd w:val="clear" w:color="auto" w:fill="auto"/>
          </w:tcPr>
          <w:p w:rsidR="004F4861" w:rsidRPr="00482685" w:rsidRDefault="004F4861" w:rsidP="00482685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Détonateurs de mine (de sautage), non-électriques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1.1B</w:t>
            </w:r>
          </w:p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1.4B</w:t>
            </w:r>
          </w:p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1.4S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0029</w:t>
            </w:r>
          </w:p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0267</w:t>
            </w:r>
          </w:p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0455</w:t>
            </w:r>
          </w:p>
        </w:tc>
      </w:tr>
      <w:tr w:rsidR="005B7229" w:rsidRPr="00482685" w:rsidTr="00482685">
        <w:tc>
          <w:tcPr>
            <w:tcW w:w="3916" w:type="dxa"/>
            <w:shd w:val="clear" w:color="auto" w:fill="auto"/>
          </w:tcPr>
          <w:p w:rsidR="004F4861" w:rsidRPr="00482685" w:rsidRDefault="004F4861" w:rsidP="00482685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Détonateurs de mine (de sautage) électriques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1.1B</w:t>
            </w:r>
          </w:p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1.4B</w:t>
            </w:r>
          </w:p>
          <w:p w:rsidR="004F4861" w:rsidRPr="00482685" w:rsidRDefault="00E14F13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  <w:lang w:val="fr-FR"/>
              </w:rPr>
              <w:t>1.</w:t>
            </w:r>
            <w:r w:rsidR="004F4861" w:rsidRPr="00482685">
              <w:rPr>
                <w:sz w:val="18"/>
                <w:lang w:val="fr-FR"/>
              </w:rPr>
              <w:t>4S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0030</w:t>
            </w:r>
          </w:p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0255</w:t>
            </w:r>
          </w:p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0456</w:t>
            </w:r>
          </w:p>
        </w:tc>
      </w:tr>
      <w:tr w:rsidR="004F4861" w:rsidRPr="00482685" w:rsidTr="00482685">
        <w:tc>
          <w:tcPr>
            <w:tcW w:w="3916" w:type="dxa"/>
            <w:tcBorders>
              <w:bottom w:val="single" w:sz="12" w:space="0" w:color="auto"/>
            </w:tcBorders>
            <w:shd w:val="clear" w:color="auto" w:fill="auto"/>
          </w:tcPr>
          <w:p w:rsidR="004F4861" w:rsidRPr="00482685" w:rsidRDefault="004F4861" w:rsidP="00482685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 xml:space="preserve">Assemblage de détonateurs de mine (de sautage) </w:t>
            </w:r>
            <w:r w:rsidR="00482685">
              <w:rPr>
                <w:sz w:val="18"/>
                <w:lang w:val="fr-FR"/>
              </w:rPr>
              <w:br/>
            </w:r>
            <w:r w:rsidRPr="00482685">
              <w:rPr>
                <w:sz w:val="18"/>
                <w:lang w:val="fr-FR"/>
              </w:rPr>
              <w:t>non-électriques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4861" w:rsidRPr="00482685" w:rsidRDefault="00E14F13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  <w:lang w:val="fr-FR"/>
              </w:rPr>
              <w:t>1.</w:t>
            </w:r>
            <w:r w:rsidR="004F4861" w:rsidRPr="00482685">
              <w:rPr>
                <w:sz w:val="18"/>
                <w:lang w:val="fr-FR"/>
              </w:rPr>
              <w:t>1B</w:t>
            </w:r>
          </w:p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1.4B</w:t>
            </w:r>
          </w:p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1.4S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0360</w:t>
            </w:r>
          </w:p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0361</w:t>
            </w:r>
          </w:p>
          <w:p w:rsidR="004F4861" w:rsidRPr="00482685" w:rsidRDefault="004F4861" w:rsidP="00482685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0500</w:t>
            </w:r>
          </w:p>
        </w:tc>
      </w:tr>
    </w:tbl>
    <w:p w:rsidR="00487B57" w:rsidRPr="004F4861" w:rsidRDefault="001B29A1" w:rsidP="005B7229">
      <w:pPr>
        <w:pStyle w:val="ParNoG"/>
        <w:spacing w:before="120"/>
        <w:rPr>
          <w:lang w:val="fr-FR"/>
        </w:rPr>
      </w:pPr>
      <w:r w:rsidRPr="004F4861">
        <w:rPr>
          <w:lang w:val="fr-FR"/>
        </w:rPr>
        <w:t xml:space="preserve">Une autre série de détonateurs de mine de sautage dénommés « détonateurs électroniques » a été introduite. Ces détonateurs utilisent un circuit intégré et/ou </w:t>
      </w:r>
      <w:r w:rsidR="006A3A9C">
        <w:rPr>
          <w:lang w:val="fr-FR"/>
        </w:rPr>
        <w:t>des micro-processeurs pour communiquer, produire de l’énergie et en stocker et envoyer avec retard des informations et des ordres, afin de transmettre un signal de mise à feu à la charge d’amorçage.</w:t>
      </w:r>
    </w:p>
    <w:p w:rsidR="00487B57" w:rsidRPr="004F4861" w:rsidRDefault="001B29A1" w:rsidP="005B7229">
      <w:pPr>
        <w:pStyle w:val="ParNoG"/>
        <w:keepNext/>
      </w:pPr>
      <w:r w:rsidRPr="004F4861">
        <w:rPr>
          <w:lang w:val="fr-FR"/>
        </w:rPr>
        <w:lastRenderedPageBreak/>
        <w:t xml:space="preserve">Il ne faut pas confondre les détonateurs électroniques avec les détonateurs électriques, car leurs caractéristiques de conception sont sensiblement différentes et ils </w:t>
      </w:r>
      <w:r w:rsidR="006A3A9C">
        <w:rPr>
          <w:lang w:val="fr-FR"/>
        </w:rPr>
        <w:t>sont p</w:t>
      </w:r>
      <w:r w:rsidR="000529AD">
        <w:rPr>
          <w:lang w:val="fr-FR"/>
        </w:rPr>
        <w:t>lus</w:t>
      </w:r>
      <w:r w:rsidR="006A3A9C">
        <w:rPr>
          <w:lang w:val="fr-FR"/>
        </w:rPr>
        <w:t xml:space="preserve"> sûrs</w:t>
      </w:r>
      <w:r w:rsidR="005B7229">
        <w:rPr>
          <w:lang w:val="fr-FR"/>
        </w:rPr>
        <w:t> </w:t>
      </w:r>
      <w:r w:rsidRPr="004F4861">
        <w:rPr>
          <w:lang w:val="fr-FR"/>
        </w:rPr>
        <w:t>:</w:t>
      </w:r>
    </w:p>
    <w:p w:rsidR="005B7229" w:rsidRPr="00BA1101" w:rsidRDefault="001B29A1" w:rsidP="005B7229">
      <w:pPr>
        <w:pStyle w:val="SingleTxtG"/>
        <w:ind w:firstLine="567"/>
        <w:rPr>
          <w:lang w:val="fr-FR"/>
        </w:rPr>
      </w:pPr>
      <w:r w:rsidRPr="004F4861">
        <w:rPr>
          <w:lang w:val="fr-FR"/>
        </w:rPr>
        <w:t>a)</w:t>
      </w:r>
      <w:r w:rsidRPr="004F4861">
        <w:rPr>
          <w:lang w:val="fr-FR"/>
        </w:rPr>
        <w:tab/>
        <w:t>Les détonateurs électroniques ne peuvent pas être activés électriquement sans pré-programmation et communication par l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 xml:space="preserve">intermédiaire de dispositifs de mise à feu </w:t>
      </w:r>
      <w:r w:rsidR="005B7229" w:rsidRPr="00BA1101">
        <w:rPr>
          <w:lang w:val="fr-FR"/>
        </w:rPr>
        <w:t>électroniques </w:t>
      </w:r>
      <w:r w:rsidRPr="00BA1101">
        <w:rPr>
          <w:lang w:val="fr-FR"/>
        </w:rPr>
        <w:t>;</w:t>
      </w:r>
    </w:p>
    <w:p w:rsidR="005B7229" w:rsidRPr="00BA1101" w:rsidRDefault="001B29A1" w:rsidP="005B7229">
      <w:pPr>
        <w:pStyle w:val="SingleTxtG"/>
        <w:ind w:firstLine="567"/>
        <w:rPr>
          <w:lang w:val="fr-FR"/>
        </w:rPr>
      </w:pPr>
      <w:r w:rsidRPr="00BA1101">
        <w:rPr>
          <w:lang w:val="fr-FR"/>
        </w:rPr>
        <w:t>b)</w:t>
      </w:r>
      <w:r w:rsidRPr="00BA1101">
        <w:rPr>
          <w:lang w:val="fr-FR"/>
        </w:rPr>
        <w:tab/>
        <w:t xml:space="preserve">Les </w:t>
      </w:r>
      <w:r w:rsidR="000601A8" w:rsidRPr="00BA1101">
        <w:rPr>
          <w:lang w:val="fr-FR"/>
        </w:rPr>
        <w:t xml:space="preserve">fils des </w:t>
      </w:r>
      <w:r w:rsidRPr="00BA1101">
        <w:rPr>
          <w:lang w:val="fr-FR"/>
        </w:rPr>
        <w:t>détonateurs électroniques ne</w:t>
      </w:r>
      <w:r w:rsidR="000601A8" w:rsidRPr="00BA1101">
        <w:rPr>
          <w:lang w:val="fr-FR"/>
        </w:rPr>
        <w:t xml:space="preserve"> sont pas directement reliés à la tête de l’allumeur ou à une amorce à pont comme sur </w:t>
      </w:r>
      <w:r w:rsidRPr="00BA1101">
        <w:rPr>
          <w:lang w:val="fr-FR"/>
        </w:rPr>
        <w:t>les détonateurs électriques</w:t>
      </w:r>
      <w:r w:rsidR="005B7229" w:rsidRPr="00BA1101">
        <w:rPr>
          <w:lang w:val="fr-FR"/>
        </w:rPr>
        <w:t> </w:t>
      </w:r>
      <w:r w:rsidRPr="00BA1101">
        <w:rPr>
          <w:lang w:val="fr-FR"/>
        </w:rPr>
        <w:t>;</w:t>
      </w:r>
    </w:p>
    <w:p w:rsidR="005B7229" w:rsidRDefault="001B29A1" w:rsidP="005B7229">
      <w:pPr>
        <w:pStyle w:val="SingleTxtG"/>
        <w:ind w:firstLine="567"/>
        <w:rPr>
          <w:lang w:val="fr-FR"/>
        </w:rPr>
      </w:pPr>
      <w:r w:rsidRPr="004F4861">
        <w:rPr>
          <w:lang w:val="fr-FR"/>
        </w:rPr>
        <w:t>c)</w:t>
      </w:r>
      <w:r w:rsidRPr="004F4861">
        <w:rPr>
          <w:lang w:val="fr-FR"/>
        </w:rPr>
        <w:tab/>
        <w:t>Les détonateurs électroniques ne sont pas sensibles aux courants externes/vagabonds/induits/ ou aux décharges statiques</w:t>
      </w:r>
      <w:r w:rsidR="005B7229">
        <w:rPr>
          <w:lang w:val="fr-FR"/>
        </w:rPr>
        <w:t> </w:t>
      </w:r>
      <w:r w:rsidRPr="004F4861">
        <w:rPr>
          <w:lang w:val="fr-FR"/>
        </w:rPr>
        <w:t>;</w:t>
      </w:r>
    </w:p>
    <w:p w:rsidR="005B7229" w:rsidRDefault="001B29A1" w:rsidP="005B7229">
      <w:pPr>
        <w:pStyle w:val="SingleTxtG"/>
        <w:ind w:firstLine="567"/>
        <w:rPr>
          <w:lang w:val="fr-FR"/>
        </w:rPr>
      </w:pPr>
      <w:r w:rsidRPr="004F4861">
        <w:rPr>
          <w:lang w:val="fr-FR"/>
        </w:rPr>
        <w:t>d)</w:t>
      </w:r>
      <w:r w:rsidRPr="004F4861">
        <w:rPr>
          <w:lang w:val="fr-FR"/>
        </w:rPr>
        <w:tab/>
        <w:t>La communication entre les détonateurs électroniques et les dispositifs de mise à feu assure la continuité et minimise les risques de ratés éventue</w:t>
      </w:r>
      <w:r w:rsidR="005B7229">
        <w:rPr>
          <w:lang w:val="fr-FR"/>
        </w:rPr>
        <w:t>ls </w:t>
      </w:r>
      <w:r w:rsidRPr="004F4861">
        <w:rPr>
          <w:lang w:val="fr-FR"/>
        </w:rPr>
        <w:t>;</w:t>
      </w:r>
    </w:p>
    <w:p w:rsidR="00487B57" w:rsidRPr="004F4861" w:rsidRDefault="001B29A1" w:rsidP="005B7229">
      <w:pPr>
        <w:pStyle w:val="SingleTxtG"/>
        <w:ind w:firstLine="567"/>
      </w:pPr>
      <w:r w:rsidRPr="004F4861">
        <w:rPr>
          <w:lang w:val="fr-FR"/>
        </w:rPr>
        <w:t>e)</w:t>
      </w:r>
      <w:r w:rsidRPr="004F4861">
        <w:rPr>
          <w:lang w:val="fr-FR"/>
        </w:rPr>
        <w:tab/>
        <w:t xml:space="preserve">Les systèmes de mise à feu électronique permettent </w:t>
      </w:r>
      <w:r w:rsidR="00BA1101">
        <w:rPr>
          <w:lang w:val="fr-FR"/>
        </w:rPr>
        <w:t xml:space="preserve">de réserver cette opération </w:t>
      </w:r>
      <w:r w:rsidRPr="004F4861">
        <w:rPr>
          <w:lang w:val="fr-FR"/>
        </w:rPr>
        <w:t>aux opérateurs autorisés et de prévenir les abus.</w:t>
      </w:r>
    </w:p>
    <w:p w:rsidR="00487B57" w:rsidRPr="004F4861" w:rsidRDefault="001B29A1" w:rsidP="005B7229">
      <w:pPr>
        <w:pStyle w:val="ParNoG"/>
      </w:pPr>
      <w:r w:rsidRPr="004F4861">
        <w:rPr>
          <w:lang w:val="fr-FR"/>
        </w:rPr>
        <w:t>Dans de nombreuses juridictions, les règlements applicables aux détonateurs électriques continuent d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être appliqués à tort aux détonateurs électroniques</w:t>
      </w:r>
      <w:r w:rsidR="00043FB4">
        <w:rPr>
          <w:lang w:val="fr-FR"/>
        </w:rPr>
        <w:t xml:space="preserve"> ; </w:t>
      </w:r>
      <w:r w:rsidRPr="004F4861">
        <w:rPr>
          <w:lang w:val="fr-FR"/>
        </w:rPr>
        <w:t>une distinction en bonne et due forme entre ces deux technologies dans le Règlement type facilitera l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éducation et la formation de toutes les parties concernées.</w:t>
      </w:r>
    </w:p>
    <w:p w:rsidR="00487B57" w:rsidRPr="00482685" w:rsidRDefault="001B29A1" w:rsidP="005B7229">
      <w:pPr>
        <w:pStyle w:val="ParNoG"/>
        <w:keepNext/>
      </w:pPr>
      <w:r w:rsidRPr="004F4861">
        <w:rPr>
          <w:lang w:val="fr-FR"/>
        </w:rPr>
        <w:t>L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éventail des détonateurs activés par des tubes conducteurs d</w:t>
      </w:r>
      <w:r w:rsidR="004F4861" w:rsidRPr="004F4861">
        <w:rPr>
          <w:lang w:val="fr-FR"/>
        </w:rPr>
        <w:t>’</w:t>
      </w:r>
      <w:r w:rsidR="00043FB4">
        <w:rPr>
          <w:lang w:val="fr-FR"/>
        </w:rPr>
        <w:t>onde</w:t>
      </w:r>
      <w:r w:rsidRPr="004F4861">
        <w:rPr>
          <w:lang w:val="fr-FR"/>
        </w:rPr>
        <w:t xml:space="preserve"> de choc/de transmission de signaux et comportant un micro-processeur </w:t>
      </w:r>
      <w:r w:rsidR="00043FB4">
        <w:rPr>
          <w:lang w:val="fr-FR"/>
        </w:rPr>
        <w:t xml:space="preserve">retard </w:t>
      </w:r>
      <w:r w:rsidRPr="004F4861">
        <w:rPr>
          <w:lang w:val="fr-FR"/>
        </w:rPr>
        <w:t>programmé plutôt qu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 xml:space="preserve">un dispositif pyrotechnique, </w:t>
      </w:r>
      <w:r w:rsidRPr="00043FB4">
        <w:rPr>
          <w:b/>
          <w:lang w:val="fr-FR"/>
        </w:rPr>
        <w:t>NE SONT PAS</w:t>
      </w:r>
      <w:r w:rsidRPr="004F4861">
        <w:rPr>
          <w:lang w:val="fr-FR"/>
        </w:rPr>
        <w:t xml:space="preserve"> des « détonateurs électroniques » mais continuent d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 xml:space="preserve">être étiquetés à juste titre comme </w:t>
      </w:r>
      <w:r w:rsidR="005B7229">
        <w:rPr>
          <w:lang w:val="fr-FR"/>
        </w:rPr>
        <w:t>des </w:t>
      </w:r>
      <w:r w:rsidRPr="004F4861">
        <w:rPr>
          <w:lang w:val="fr-FR"/>
        </w:rPr>
        <w:t>: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1984"/>
      </w:tblGrid>
      <w:tr w:rsidR="00614F56" w:rsidRPr="00482685" w:rsidTr="00614F56">
        <w:tc>
          <w:tcPr>
            <w:tcW w:w="3402" w:type="dxa"/>
            <w:shd w:val="clear" w:color="auto" w:fill="auto"/>
          </w:tcPr>
          <w:p w:rsidR="00614F56" w:rsidRPr="00482685" w:rsidRDefault="00614F56" w:rsidP="00614F56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  <w:lang w:val="fr-FR"/>
              </w:rPr>
              <w:t>Assemblage de d</w:t>
            </w:r>
            <w:r w:rsidRPr="00482685">
              <w:rPr>
                <w:sz w:val="18"/>
                <w:lang w:val="fr-FR"/>
              </w:rPr>
              <w:t>étonateurs de mine</w:t>
            </w:r>
            <w:r>
              <w:rPr>
                <w:sz w:val="18"/>
                <w:lang w:val="fr-FR"/>
              </w:rPr>
              <w:t>s (de </w:t>
            </w:r>
            <w:r w:rsidRPr="00482685">
              <w:rPr>
                <w:sz w:val="18"/>
                <w:lang w:val="fr-FR"/>
              </w:rPr>
              <w:t xml:space="preserve">sautage) </w:t>
            </w:r>
            <w:r>
              <w:rPr>
                <w:sz w:val="18"/>
                <w:lang w:val="fr-FR"/>
              </w:rPr>
              <w:t>non-</w:t>
            </w:r>
            <w:r w:rsidRPr="00482685">
              <w:rPr>
                <w:sz w:val="18"/>
                <w:lang w:val="fr-FR"/>
              </w:rPr>
              <w:t>électriques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14F56" w:rsidRPr="00482685" w:rsidRDefault="00614F56" w:rsidP="006F1ED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1.1B</w:t>
            </w:r>
          </w:p>
          <w:p w:rsidR="00614F56" w:rsidRPr="00482685" w:rsidRDefault="00614F56" w:rsidP="006F1ED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1.4B</w:t>
            </w:r>
          </w:p>
          <w:p w:rsidR="00614F56" w:rsidRPr="00482685" w:rsidRDefault="00614F56" w:rsidP="006F1ED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  <w:lang w:val="fr-FR"/>
              </w:rPr>
              <w:t>1.</w:t>
            </w:r>
            <w:r w:rsidRPr="00482685">
              <w:rPr>
                <w:sz w:val="18"/>
                <w:lang w:val="fr-FR"/>
              </w:rPr>
              <w:t>4S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14F56" w:rsidRPr="00482685" w:rsidRDefault="00614F56" w:rsidP="006F1ED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0</w:t>
            </w:r>
            <w:r>
              <w:rPr>
                <w:sz w:val="18"/>
                <w:lang w:val="fr-FR"/>
              </w:rPr>
              <w:t>360</w:t>
            </w:r>
          </w:p>
          <w:p w:rsidR="00614F56" w:rsidRPr="00482685" w:rsidRDefault="00614F56" w:rsidP="006F1ED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0</w:t>
            </w:r>
            <w:r>
              <w:rPr>
                <w:sz w:val="18"/>
                <w:lang w:val="fr-FR"/>
              </w:rPr>
              <w:t>361</w:t>
            </w:r>
          </w:p>
          <w:p w:rsidR="00614F56" w:rsidRPr="00482685" w:rsidRDefault="00614F56" w:rsidP="00614F56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82685">
              <w:rPr>
                <w:sz w:val="18"/>
                <w:lang w:val="fr-FR"/>
              </w:rPr>
              <w:t>0</w:t>
            </w:r>
            <w:r>
              <w:rPr>
                <w:sz w:val="18"/>
                <w:lang w:val="fr-FR"/>
              </w:rPr>
              <w:t>500</w:t>
            </w:r>
          </w:p>
        </w:tc>
      </w:tr>
    </w:tbl>
    <w:p w:rsidR="00487B57" w:rsidRPr="004F4861" w:rsidRDefault="001B29A1" w:rsidP="005B7229">
      <w:pPr>
        <w:pStyle w:val="SingleTxtG"/>
        <w:spacing w:before="120"/>
      </w:pPr>
      <w:r w:rsidRPr="004F4861">
        <w:rPr>
          <w:lang w:val="fr-FR"/>
        </w:rPr>
        <w:t>Il s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agit simplement de détonateurs dotés d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un tube conducteur d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onde de choc/de transmission de signaux comportant un dispositif de retard préprogrammé</w:t>
      </w:r>
      <w:r w:rsidR="00043FB4">
        <w:rPr>
          <w:lang w:val="fr-FR"/>
        </w:rPr>
        <w:t xml:space="preserve"> plus précis, mais </w:t>
      </w:r>
      <w:r w:rsidRPr="004F4861">
        <w:rPr>
          <w:lang w:val="fr-FR"/>
        </w:rPr>
        <w:t>qui ne comportent pas toutes les caractéristiques de sûreté et de sécurité des détonateurs électroniques.</w:t>
      </w:r>
    </w:p>
    <w:p w:rsidR="00487B57" w:rsidRPr="004F4861" w:rsidRDefault="001B29A1" w:rsidP="005B7229">
      <w:pPr>
        <w:pStyle w:val="ParNoG"/>
      </w:pPr>
      <w:r w:rsidRPr="004F4861">
        <w:rPr>
          <w:lang w:val="fr-FR"/>
        </w:rPr>
        <w:t xml:space="preserve">Bien que la sûreté </w:t>
      </w:r>
      <w:r w:rsidR="00043FB4">
        <w:rPr>
          <w:lang w:val="fr-FR"/>
        </w:rPr>
        <w:t xml:space="preserve">du </w:t>
      </w:r>
      <w:r w:rsidRPr="004F4861">
        <w:rPr>
          <w:lang w:val="fr-FR"/>
        </w:rPr>
        <w:t>transport des détonateurs électroniques ne diffère peut-être pas sensiblement de celle des autres types de détonateurs, des r</w:t>
      </w:r>
      <w:r w:rsidR="001D203E">
        <w:rPr>
          <w:lang w:val="fr-FR"/>
        </w:rPr>
        <w:t>ubriques ont été créées dans le </w:t>
      </w:r>
      <w:r w:rsidRPr="004F4861">
        <w:rPr>
          <w:lang w:val="fr-FR"/>
        </w:rPr>
        <w:t>Règlement type pour les différents types de détonateurs. En outre, les entrées existantes exigent l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 xml:space="preserve">étiquetage des détonateurs électroniques en tant que </w:t>
      </w:r>
      <w:r w:rsidR="005B7229">
        <w:rPr>
          <w:lang w:val="fr-FR"/>
        </w:rPr>
        <w:t>« </w:t>
      </w:r>
      <w:r w:rsidRPr="004F4861">
        <w:rPr>
          <w:lang w:val="fr-FR"/>
        </w:rPr>
        <w:t xml:space="preserve">DÉTONATEURS DE MINE </w:t>
      </w:r>
      <w:r w:rsidR="001D203E">
        <w:rPr>
          <w:lang w:val="fr-FR"/>
        </w:rPr>
        <w:t>(</w:t>
      </w:r>
      <w:r w:rsidRPr="004F4861">
        <w:rPr>
          <w:lang w:val="fr-FR"/>
        </w:rPr>
        <w:t>DE SAUTAGE</w:t>
      </w:r>
      <w:r w:rsidR="001D203E">
        <w:rPr>
          <w:lang w:val="fr-FR"/>
        </w:rPr>
        <w:t>)</w:t>
      </w:r>
      <w:r w:rsidRPr="004F4861">
        <w:rPr>
          <w:lang w:val="fr-FR"/>
        </w:rPr>
        <w:t xml:space="preserve"> ÉLECTRIQUES</w:t>
      </w:r>
      <w:r w:rsidR="005B7229">
        <w:rPr>
          <w:lang w:val="fr-FR"/>
        </w:rPr>
        <w:t> »</w:t>
      </w:r>
      <w:r w:rsidRPr="004F4861">
        <w:rPr>
          <w:lang w:val="fr-FR"/>
        </w:rPr>
        <w:t>, ce qui est à la fois inexact et confus, créant des risques potentiels pour les opérations de stockage, d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 xml:space="preserve">utilisation et </w:t>
      </w:r>
      <w:r w:rsidR="00043FB4">
        <w:rPr>
          <w:lang w:val="fr-FR"/>
        </w:rPr>
        <w:t xml:space="preserve">de manutention </w:t>
      </w:r>
      <w:r w:rsidRPr="004F4861">
        <w:rPr>
          <w:lang w:val="fr-FR"/>
        </w:rPr>
        <w:t>en aval.</w:t>
      </w:r>
    </w:p>
    <w:p w:rsidR="00487B57" w:rsidRPr="004F4861" w:rsidRDefault="001B29A1" w:rsidP="005B7229">
      <w:pPr>
        <w:pStyle w:val="ParNoG"/>
      </w:pPr>
      <w:r w:rsidRPr="004F4861">
        <w:rPr>
          <w:lang w:val="fr-FR"/>
        </w:rPr>
        <w:t>Les détonateurs électroniques ne peuvent raisonnablement ou légitimement être inclus dans les rubriques existantes et, comme pour d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autres explosifs, le bon classement de ces dispositifs dépendra de l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emballage. C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est pourquoi de nouvelles rubriques devraient englober toutes les classifications possibles.</w:t>
      </w:r>
    </w:p>
    <w:p w:rsidR="00487B57" w:rsidRPr="004F4861" w:rsidRDefault="001B29A1" w:rsidP="008871FE">
      <w:pPr>
        <w:pStyle w:val="H1G"/>
        <w:rPr>
          <w:bCs/>
        </w:rPr>
      </w:pPr>
      <w:r w:rsidRPr="004F4861">
        <w:rPr>
          <w:lang w:val="fr-FR"/>
        </w:rPr>
        <w:lastRenderedPageBreak/>
        <w:tab/>
      </w:r>
      <w:r w:rsidRPr="004F4861">
        <w:rPr>
          <w:lang w:val="fr-FR"/>
        </w:rPr>
        <w:tab/>
        <w:t>Proposition</w:t>
      </w:r>
    </w:p>
    <w:p w:rsidR="00446FE5" w:rsidRDefault="001B29A1" w:rsidP="008871FE">
      <w:pPr>
        <w:pStyle w:val="ParNoG"/>
        <w:keepNext/>
        <w:keepLines/>
        <w:rPr>
          <w:lang w:val="fr-FR"/>
        </w:rPr>
      </w:pPr>
      <w:r w:rsidRPr="004F4861">
        <w:rPr>
          <w:lang w:val="fr-FR"/>
        </w:rPr>
        <w:t>Il est proposé que de nouvelles rubriques ONU soient incluses dans le chapitre</w:t>
      </w:r>
      <w:r w:rsidR="005B7229">
        <w:rPr>
          <w:lang w:val="fr-FR"/>
        </w:rPr>
        <w:t> </w:t>
      </w:r>
      <w:r w:rsidRPr="004F4861">
        <w:rPr>
          <w:lang w:val="fr-FR"/>
        </w:rPr>
        <w:t>3.2 du Règlement type pour les détonateurs électroniques</w:t>
      </w:r>
      <w:r w:rsidR="00043FB4">
        <w:rPr>
          <w:lang w:val="fr-FR"/>
        </w:rPr>
        <w:t>,</w:t>
      </w:r>
      <w:r w:rsidRPr="004F4861">
        <w:rPr>
          <w:lang w:val="fr-FR"/>
        </w:rPr>
        <w:t xml:space="preserve"> comme suit 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932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C9788E" w:rsidRPr="005B7229" w:rsidTr="008C098D">
        <w:trPr>
          <w:tblHeader/>
        </w:trPr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9788E" w:rsidRPr="005B7229" w:rsidRDefault="00C9788E" w:rsidP="008871F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  <w:lang w:val="fr-FR"/>
              </w:rPr>
              <w:t>N</w:t>
            </w:r>
            <w:r w:rsidRPr="00C9788E">
              <w:rPr>
                <w:i/>
                <w:sz w:val="16"/>
                <w:vertAlign w:val="superscript"/>
                <w:lang w:val="fr-FR"/>
              </w:rPr>
              <w:t>o</w:t>
            </w:r>
            <w:r>
              <w:rPr>
                <w:i/>
                <w:sz w:val="16"/>
                <w:lang w:val="fr-FR"/>
              </w:rPr>
              <w:t> </w:t>
            </w:r>
            <w:r w:rsidRPr="005B7229">
              <w:rPr>
                <w:i/>
                <w:sz w:val="16"/>
                <w:lang w:val="fr-FR"/>
              </w:rPr>
              <w:t>ONU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9788E" w:rsidRPr="005B7229" w:rsidRDefault="00C9788E" w:rsidP="008871FE">
            <w:pPr>
              <w:keepNext/>
              <w:keepLines/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5B7229">
              <w:rPr>
                <w:i/>
                <w:sz w:val="16"/>
                <w:lang w:val="fr-FR"/>
              </w:rPr>
              <w:t>Nom et description</w:t>
            </w:r>
          </w:p>
        </w:tc>
        <w:tc>
          <w:tcPr>
            <w:tcW w:w="4640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9788E" w:rsidRPr="005B7229" w:rsidRDefault="00C9788E" w:rsidP="008871FE">
            <w:pPr>
              <w:keepNext/>
              <w:keepLines/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5B7229">
              <w:rPr>
                <w:i/>
                <w:sz w:val="16"/>
                <w:lang w:val="fr-FR"/>
              </w:rPr>
              <w:t>Catégorie</w:t>
            </w:r>
          </w:p>
        </w:tc>
      </w:tr>
      <w:tr w:rsidR="00C9788E" w:rsidRPr="005B7229" w:rsidTr="00C9788E">
        <w:trPr>
          <w:tblHeader/>
        </w:trPr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</w:tcPr>
          <w:p w:rsidR="005B7229" w:rsidRPr="005B7229" w:rsidRDefault="005B7229" w:rsidP="008871FE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</w:p>
        </w:tc>
        <w:tc>
          <w:tcPr>
            <w:tcW w:w="19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B7229" w:rsidRPr="005B7229" w:rsidRDefault="005B722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B7229" w:rsidRPr="005B7229" w:rsidRDefault="005B722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B7229" w:rsidRPr="005B7229" w:rsidRDefault="005B722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B7229" w:rsidRPr="005B7229" w:rsidRDefault="005B722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B7229" w:rsidRPr="005B7229" w:rsidRDefault="005B722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B7229" w:rsidRPr="005B7229" w:rsidRDefault="005B722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B7229" w:rsidRPr="005B7229" w:rsidRDefault="005B722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B7229" w:rsidRPr="005B7229" w:rsidRDefault="005B722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B7229" w:rsidRPr="005B7229" w:rsidRDefault="005B722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B7229" w:rsidRPr="005B7229" w:rsidRDefault="005B722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B7229" w:rsidRPr="005B7229" w:rsidRDefault="005B722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B7229" w:rsidRPr="005B7229" w:rsidTr="00C9788E">
        <w:tc>
          <w:tcPr>
            <w:tcW w:w="798" w:type="dxa"/>
            <w:shd w:val="clear" w:color="auto" w:fill="auto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(1)</w:t>
            </w:r>
          </w:p>
        </w:tc>
        <w:tc>
          <w:tcPr>
            <w:tcW w:w="1932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(2)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(3)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(4)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(5)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(6)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7a)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(7b)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(8)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(9)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(10)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(11)</w:t>
            </w:r>
          </w:p>
        </w:tc>
      </w:tr>
      <w:tr w:rsidR="005B7229" w:rsidRPr="005B7229" w:rsidTr="00C9788E">
        <w:tc>
          <w:tcPr>
            <w:tcW w:w="798" w:type="dxa"/>
            <w:shd w:val="clear" w:color="auto" w:fill="auto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05 XX</w:t>
            </w:r>
          </w:p>
        </w:tc>
        <w:tc>
          <w:tcPr>
            <w:tcW w:w="1932" w:type="dxa"/>
            <w:shd w:val="clear" w:color="auto" w:fill="auto"/>
            <w:vAlign w:val="bottom"/>
          </w:tcPr>
          <w:p w:rsidR="00487B57" w:rsidRPr="005B7229" w:rsidRDefault="001B29A1" w:rsidP="001D203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 xml:space="preserve">Détonateurs de mine </w:t>
            </w:r>
            <w:r w:rsidR="001D203E">
              <w:rPr>
                <w:sz w:val="18"/>
                <w:lang w:val="fr-FR"/>
              </w:rPr>
              <w:t>(de </w:t>
            </w:r>
            <w:r w:rsidRPr="005B7229">
              <w:rPr>
                <w:sz w:val="18"/>
                <w:lang w:val="fr-FR"/>
              </w:rPr>
              <w:t>sautage</w:t>
            </w:r>
            <w:r w:rsidR="001D203E">
              <w:rPr>
                <w:sz w:val="18"/>
                <w:lang w:val="fr-FR"/>
              </w:rPr>
              <w:t>)</w:t>
            </w:r>
            <w:r w:rsidRPr="005B7229">
              <w:rPr>
                <w:sz w:val="18"/>
                <w:lang w:val="fr-FR"/>
              </w:rPr>
              <w:t xml:space="preserve"> électroniques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D203E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  <w:lang w:val="fr-FR"/>
              </w:rPr>
              <w:t>1.</w:t>
            </w:r>
            <w:r w:rsidR="001B29A1" w:rsidRPr="005B7229">
              <w:rPr>
                <w:sz w:val="18"/>
                <w:lang w:val="fr-FR"/>
              </w:rPr>
              <w:t>1B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F11B8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F11B8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F11B8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0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EO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P131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F11B8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F11B8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F11B8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B7229" w:rsidRPr="005B7229" w:rsidTr="00C9788E">
        <w:tc>
          <w:tcPr>
            <w:tcW w:w="798" w:type="dxa"/>
            <w:shd w:val="clear" w:color="auto" w:fill="auto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05 XX</w:t>
            </w:r>
          </w:p>
        </w:tc>
        <w:tc>
          <w:tcPr>
            <w:tcW w:w="1932" w:type="dxa"/>
            <w:shd w:val="clear" w:color="auto" w:fill="auto"/>
            <w:vAlign w:val="bottom"/>
          </w:tcPr>
          <w:p w:rsidR="00487B57" w:rsidRPr="005B7229" w:rsidRDefault="001D203E" w:rsidP="001D203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  <w:lang w:val="fr-FR"/>
              </w:rPr>
              <w:t>Détonateurs de mine (de </w:t>
            </w:r>
            <w:r w:rsidR="001B29A1" w:rsidRPr="005B7229">
              <w:rPr>
                <w:sz w:val="18"/>
                <w:lang w:val="fr-FR"/>
              </w:rPr>
              <w:t>sautage</w:t>
            </w:r>
            <w:r>
              <w:rPr>
                <w:sz w:val="18"/>
                <w:lang w:val="fr-FR"/>
              </w:rPr>
              <w:t>)</w:t>
            </w:r>
            <w:r w:rsidR="001B29A1" w:rsidRPr="005B7229">
              <w:rPr>
                <w:sz w:val="18"/>
                <w:lang w:val="fr-FR"/>
              </w:rPr>
              <w:t xml:space="preserve"> électroniques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D203E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  <w:lang w:val="fr-FR"/>
              </w:rPr>
              <w:t>1.</w:t>
            </w:r>
            <w:r w:rsidR="001B29A1" w:rsidRPr="005B7229">
              <w:rPr>
                <w:sz w:val="18"/>
                <w:lang w:val="fr-FR"/>
              </w:rPr>
              <w:t>4B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F11B8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F11B8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F11B8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0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EO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1B29A1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P131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F11B8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F11B8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:rsidR="00487B57" w:rsidRPr="005B7229" w:rsidRDefault="00F11B89" w:rsidP="008871FE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B7229" w:rsidRPr="005B7229" w:rsidTr="00C9788E"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</w:tcPr>
          <w:p w:rsidR="00487B57" w:rsidRPr="005B7229" w:rsidRDefault="001B29A1" w:rsidP="005B722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05 XX</w:t>
            </w:r>
          </w:p>
        </w:tc>
        <w:tc>
          <w:tcPr>
            <w:tcW w:w="19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7B57" w:rsidRPr="005B7229" w:rsidRDefault="001B29A1" w:rsidP="001D203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 xml:space="preserve">Détonateurs de mine </w:t>
            </w:r>
            <w:r w:rsidR="001D203E">
              <w:rPr>
                <w:sz w:val="18"/>
                <w:lang w:val="fr-FR"/>
              </w:rPr>
              <w:t>(</w:t>
            </w:r>
            <w:r w:rsidRPr="005B7229">
              <w:rPr>
                <w:sz w:val="18"/>
                <w:lang w:val="fr-FR"/>
              </w:rPr>
              <w:t>de</w:t>
            </w:r>
            <w:r w:rsidR="001D203E">
              <w:rPr>
                <w:sz w:val="18"/>
                <w:lang w:val="fr-FR"/>
              </w:rPr>
              <w:t> </w:t>
            </w:r>
            <w:r w:rsidRPr="005B7229">
              <w:rPr>
                <w:sz w:val="18"/>
                <w:lang w:val="fr-FR"/>
              </w:rPr>
              <w:t>sautage</w:t>
            </w:r>
            <w:r w:rsidR="001D203E">
              <w:rPr>
                <w:sz w:val="18"/>
                <w:lang w:val="fr-FR"/>
              </w:rPr>
              <w:t>)</w:t>
            </w:r>
            <w:r w:rsidRPr="005B7229">
              <w:rPr>
                <w:sz w:val="18"/>
                <w:lang w:val="fr-FR"/>
              </w:rPr>
              <w:t xml:space="preserve"> électroniques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7B57" w:rsidRPr="005B7229" w:rsidRDefault="001D203E" w:rsidP="005B72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  <w:lang w:val="fr-FR"/>
              </w:rPr>
              <w:t>1.</w:t>
            </w:r>
            <w:r w:rsidR="001B29A1" w:rsidRPr="005B7229">
              <w:rPr>
                <w:sz w:val="18"/>
                <w:lang w:val="fr-FR"/>
              </w:rPr>
              <w:t>4S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7B57" w:rsidRPr="005B7229" w:rsidRDefault="00F11B89" w:rsidP="005B72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7B57" w:rsidRPr="005B7229" w:rsidRDefault="00F11B89" w:rsidP="005B72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7B57" w:rsidRPr="005B7229" w:rsidRDefault="001B29A1" w:rsidP="005B72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347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7B57" w:rsidRPr="005B7229" w:rsidRDefault="001B29A1" w:rsidP="005B72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0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7B57" w:rsidRPr="005B7229" w:rsidRDefault="001B29A1" w:rsidP="005B72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EO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7B57" w:rsidRPr="005B7229" w:rsidRDefault="001B29A1" w:rsidP="005B72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B7229">
              <w:rPr>
                <w:sz w:val="18"/>
                <w:lang w:val="fr-FR"/>
              </w:rPr>
              <w:t>P131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7B57" w:rsidRPr="005B7229" w:rsidRDefault="00F11B89" w:rsidP="005B72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7B57" w:rsidRPr="005B7229" w:rsidRDefault="00F11B89" w:rsidP="005B72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7B57" w:rsidRPr="005B7229" w:rsidRDefault="00F11B89" w:rsidP="005B722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</w:tbl>
    <w:p w:rsidR="00487B57" w:rsidRPr="004F4861" w:rsidRDefault="001B29A1" w:rsidP="005B7229">
      <w:pPr>
        <w:pStyle w:val="ParNoG"/>
        <w:keepNext/>
        <w:spacing w:before="120"/>
      </w:pPr>
      <w:r w:rsidRPr="004F4861">
        <w:rPr>
          <w:lang w:val="fr-FR"/>
        </w:rPr>
        <w:t xml:space="preserve">Il est également proposé que </w:t>
      </w:r>
      <w:r w:rsidR="00043FB4">
        <w:rPr>
          <w:lang w:val="fr-FR"/>
        </w:rPr>
        <w:t>l</w:t>
      </w:r>
      <w:r w:rsidRPr="004F4861">
        <w:rPr>
          <w:lang w:val="fr-FR"/>
        </w:rPr>
        <w:t>es modifications</w:t>
      </w:r>
      <w:r w:rsidR="00043FB4">
        <w:rPr>
          <w:lang w:val="fr-FR"/>
        </w:rPr>
        <w:t xml:space="preserve"> qui en découlent </w:t>
      </w:r>
      <w:r w:rsidRPr="004F4861">
        <w:rPr>
          <w:lang w:val="fr-FR"/>
        </w:rPr>
        <w:t>s</w:t>
      </w:r>
      <w:r w:rsidR="00043FB4">
        <w:rPr>
          <w:lang w:val="fr-FR"/>
        </w:rPr>
        <w:t>oient apportées au glossaire de</w:t>
      </w:r>
      <w:r w:rsidRPr="004F4861">
        <w:rPr>
          <w:lang w:val="fr-FR"/>
        </w:rPr>
        <w:t xml:space="preserve"> l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a</w:t>
      </w:r>
      <w:r w:rsidR="00AE46FE">
        <w:rPr>
          <w:lang w:val="fr-FR"/>
        </w:rPr>
        <w:t>ppendice </w:t>
      </w:r>
      <w:r w:rsidRPr="004F4861">
        <w:rPr>
          <w:lang w:val="fr-FR"/>
        </w:rPr>
        <w:t xml:space="preserve">B du </w:t>
      </w:r>
      <w:r w:rsidR="00043FB4">
        <w:rPr>
          <w:lang w:val="fr-FR"/>
        </w:rPr>
        <w:t>Règlement type</w:t>
      </w:r>
      <w:r w:rsidRPr="004F4861">
        <w:rPr>
          <w:lang w:val="fr-FR"/>
        </w:rPr>
        <w:t>, comme suit :</w:t>
      </w:r>
    </w:p>
    <w:p w:rsidR="00487B57" w:rsidRPr="004F4861" w:rsidRDefault="001B29A1" w:rsidP="005B7229">
      <w:pPr>
        <w:pStyle w:val="SingleTxtG"/>
        <w:ind w:firstLine="567"/>
      </w:pPr>
      <w:r w:rsidRPr="004F4861">
        <w:rPr>
          <w:lang w:val="fr-FR"/>
        </w:rPr>
        <w:t>a)</w:t>
      </w:r>
      <w:r w:rsidRPr="004F4861">
        <w:rPr>
          <w:lang w:val="fr-FR"/>
        </w:rPr>
        <w:tab/>
        <w:t>Modifier l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explication du terme « détonateurs </w:t>
      </w:r>
      <w:r w:rsidR="005B7229">
        <w:rPr>
          <w:lang w:val="fr-FR"/>
        </w:rPr>
        <w:t>» </w:t>
      </w:r>
      <w:r w:rsidRPr="004F4861">
        <w:rPr>
          <w:lang w:val="fr-FR"/>
        </w:rPr>
        <w:t>:</w:t>
      </w:r>
    </w:p>
    <w:p w:rsidR="00487B57" w:rsidRPr="004F4861" w:rsidRDefault="001B29A1" w:rsidP="005B7229">
      <w:pPr>
        <w:pStyle w:val="SingleTxtG"/>
        <w:ind w:left="2268"/>
        <w:rPr>
          <w:lang w:val="fr-FR"/>
        </w:rPr>
      </w:pPr>
      <w:r w:rsidRPr="004F4861">
        <w:rPr>
          <w:lang w:val="fr-FR"/>
        </w:rPr>
        <w:t>« </w:t>
      </w:r>
      <w:r w:rsidRPr="008806DD">
        <w:rPr>
          <w:b/>
          <w:lang w:val="fr-FR"/>
        </w:rPr>
        <w:t>Détonateurs</w:t>
      </w:r>
      <w:r w:rsidRPr="004F4861">
        <w:rPr>
          <w:lang w:val="fr-FR"/>
        </w:rPr>
        <w:t> </w:t>
      </w:r>
    </w:p>
    <w:p w:rsidR="00487B57" w:rsidRPr="004F4861" w:rsidRDefault="001B29A1" w:rsidP="008806DD">
      <w:pPr>
        <w:pStyle w:val="SingleTxtG"/>
        <w:keepNext/>
        <w:ind w:left="2268"/>
      </w:pPr>
      <w:r w:rsidRPr="004F4861">
        <w:rPr>
          <w:lang w:val="fr-FR"/>
        </w:rPr>
        <w:tab/>
        <w:t>Objets constitués d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un petit étui en métal ou en plastique contenant des explosifs tels que l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azoture de plomb, la penthrite ou des combinaisons d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explosifs. Ils sont conçus pour déclencher le fonctionnement d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>une chaîne de détonation. Ils peuvent être conçus pour détoner instantanément ou peuvent contenir un retard. Le terme comprend</w:t>
      </w:r>
      <w:r w:rsidR="008806DD">
        <w:rPr>
          <w:lang w:val="fr-FR"/>
        </w:rPr>
        <w:t> </w:t>
      </w:r>
      <w:r w:rsidRPr="004F4861">
        <w:rPr>
          <w:lang w:val="fr-FR"/>
        </w:rPr>
        <w:t>:</w:t>
      </w:r>
    </w:p>
    <w:p w:rsidR="00487B57" w:rsidRPr="004F4861" w:rsidRDefault="001B29A1" w:rsidP="005B7229">
      <w:pPr>
        <w:pStyle w:val="SingleTxtG"/>
        <w:ind w:left="2268"/>
      </w:pPr>
      <w:r w:rsidRPr="004F4861">
        <w:rPr>
          <w:lang w:val="fr-FR"/>
        </w:rPr>
        <w:t>LES DÉTONATEURS POUR MUNITIONS, et</w:t>
      </w:r>
    </w:p>
    <w:p w:rsidR="00487B57" w:rsidRPr="004F4861" w:rsidRDefault="001B29A1" w:rsidP="005B7229">
      <w:pPr>
        <w:pStyle w:val="SingleTxtG"/>
        <w:ind w:left="2268"/>
        <w:rPr>
          <w:u w:val="single"/>
        </w:rPr>
      </w:pPr>
      <w:r w:rsidRPr="004F4861">
        <w:rPr>
          <w:lang w:val="fr-FR"/>
        </w:rPr>
        <w:t xml:space="preserve">Les DÉTONATEURS DE MINE (DE SAUTAGE) </w:t>
      </w:r>
      <w:r w:rsidRPr="008806DD">
        <w:rPr>
          <w:strike/>
          <w:lang w:val="fr-FR"/>
        </w:rPr>
        <w:t xml:space="preserve">TANT </w:t>
      </w:r>
      <w:r w:rsidRPr="004F4861">
        <w:rPr>
          <w:lang w:val="fr-FR"/>
        </w:rPr>
        <w:t xml:space="preserve">ÉLECTRIQUES, </w:t>
      </w:r>
      <w:r w:rsidRPr="008806DD">
        <w:rPr>
          <w:strike/>
          <w:lang w:val="fr-FR"/>
        </w:rPr>
        <w:t xml:space="preserve">QUE </w:t>
      </w:r>
      <w:r w:rsidRPr="004F4861">
        <w:rPr>
          <w:lang w:val="fr-FR"/>
        </w:rPr>
        <w:t xml:space="preserve">NON ÉLECTRIQUES </w:t>
      </w:r>
      <w:r w:rsidRPr="004F4861">
        <w:rPr>
          <w:u w:val="single"/>
          <w:lang w:val="fr-FR"/>
        </w:rPr>
        <w:t>ET ELECTRONIQUES</w:t>
      </w:r>
      <w:r w:rsidR="001D203E" w:rsidRPr="001D203E">
        <w:rPr>
          <w:lang w:val="fr-FR"/>
        </w:rPr>
        <w:t>.</w:t>
      </w:r>
    </w:p>
    <w:p w:rsidR="00487B57" w:rsidRPr="004F4861" w:rsidRDefault="001B29A1" w:rsidP="005B7229">
      <w:pPr>
        <w:pStyle w:val="SingleTxtG"/>
        <w:ind w:left="2268"/>
      </w:pPr>
      <w:r w:rsidRPr="004F4861">
        <w:rPr>
          <w:lang w:val="fr-FR"/>
        </w:rPr>
        <w:t>Les relais détonants sans cordeau détonant souple sont également compris</w:t>
      </w:r>
      <w:r w:rsidR="008806DD">
        <w:rPr>
          <w:lang w:val="fr-FR"/>
        </w:rPr>
        <w:t>.</w:t>
      </w:r>
      <w:r w:rsidR="001D203E">
        <w:rPr>
          <w:lang w:val="fr-FR"/>
        </w:rPr>
        <w:t> » ;</w:t>
      </w:r>
    </w:p>
    <w:p w:rsidR="00487B57" w:rsidRPr="004F4861" w:rsidRDefault="001B29A1" w:rsidP="005B7229">
      <w:pPr>
        <w:pStyle w:val="SingleTxtG"/>
        <w:ind w:left="2268"/>
      </w:pPr>
      <w:proofErr w:type="gramStart"/>
      <w:r w:rsidRPr="004F4861">
        <w:rPr>
          <w:lang w:val="fr-FR"/>
        </w:rPr>
        <w:t>et</w:t>
      </w:r>
      <w:proofErr w:type="gramEnd"/>
    </w:p>
    <w:p w:rsidR="00487B57" w:rsidRPr="004F4861" w:rsidRDefault="001B29A1" w:rsidP="008806DD">
      <w:pPr>
        <w:pStyle w:val="SingleTxtG"/>
        <w:keepNext/>
        <w:ind w:firstLine="567"/>
      </w:pPr>
      <w:r w:rsidRPr="00AE46FE">
        <w:rPr>
          <w:spacing w:val="-2"/>
          <w:lang w:val="fr-FR"/>
        </w:rPr>
        <w:t>b)</w:t>
      </w:r>
      <w:r w:rsidRPr="00AE46FE">
        <w:rPr>
          <w:spacing w:val="-2"/>
          <w:lang w:val="fr-FR"/>
        </w:rPr>
        <w:tab/>
        <w:t>Ajouter une nouvelle explication pour les « </w:t>
      </w:r>
      <w:r w:rsidRPr="001D203E">
        <w:rPr>
          <w:caps/>
          <w:spacing w:val="-2"/>
          <w:lang w:val="fr-FR"/>
        </w:rPr>
        <w:t>Détonateurs de mine</w:t>
      </w:r>
      <w:r w:rsidR="00043FB4" w:rsidRPr="001D203E">
        <w:rPr>
          <w:caps/>
          <w:spacing w:val="-2"/>
          <w:lang w:val="fr-FR"/>
        </w:rPr>
        <w:t xml:space="preserve"> </w:t>
      </w:r>
      <w:r w:rsidR="001D203E" w:rsidRPr="001D203E">
        <w:rPr>
          <w:caps/>
          <w:spacing w:val="-2"/>
          <w:lang w:val="fr-FR"/>
        </w:rPr>
        <w:t>(de sautage)</w:t>
      </w:r>
      <w:r w:rsidR="001D203E" w:rsidRPr="004F4861">
        <w:rPr>
          <w:lang w:val="fr-FR"/>
        </w:rPr>
        <w:t xml:space="preserve"> </w:t>
      </w:r>
      <w:r w:rsidR="00043FB4" w:rsidRPr="001D203E">
        <w:rPr>
          <w:caps/>
          <w:spacing w:val="-2"/>
          <w:lang w:val="fr-FR"/>
        </w:rPr>
        <w:t>électroniques »</w:t>
      </w:r>
      <w:r w:rsidRPr="001D203E">
        <w:rPr>
          <w:caps/>
          <w:spacing w:val="-2"/>
          <w:lang w:val="fr-FR"/>
        </w:rPr>
        <w:t xml:space="preserve"> </w:t>
      </w:r>
      <w:r w:rsidRPr="004F4861">
        <w:rPr>
          <w:lang w:val="fr-FR"/>
        </w:rPr>
        <w:t>comme suit</w:t>
      </w:r>
      <w:r w:rsidR="008806DD">
        <w:rPr>
          <w:lang w:val="fr-FR"/>
        </w:rPr>
        <w:t> </w:t>
      </w:r>
      <w:r w:rsidRPr="004F4861">
        <w:rPr>
          <w:lang w:val="fr-FR"/>
        </w:rPr>
        <w:t>:</w:t>
      </w:r>
    </w:p>
    <w:p w:rsidR="00487B57" w:rsidRPr="004F4861" w:rsidRDefault="001B29A1" w:rsidP="005B7229">
      <w:pPr>
        <w:pStyle w:val="SingleTxtG"/>
        <w:ind w:left="2268"/>
      </w:pPr>
      <w:r w:rsidRPr="004F4861">
        <w:rPr>
          <w:lang w:val="fr-FR"/>
        </w:rPr>
        <w:t>« D</w:t>
      </w:r>
      <w:r w:rsidR="001D203E">
        <w:rPr>
          <w:lang w:val="fr-FR"/>
        </w:rPr>
        <w:t>É</w:t>
      </w:r>
      <w:r w:rsidRPr="004F4861">
        <w:rPr>
          <w:lang w:val="fr-FR"/>
        </w:rPr>
        <w:t xml:space="preserve">TONATEURS DE MINE </w:t>
      </w:r>
      <w:r w:rsidR="001D203E">
        <w:rPr>
          <w:lang w:val="fr-FR"/>
        </w:rPr>
        <w:t>(</w:t>
      </w:r>
      <w:r w:rsidRPr="004F4861">
        <w:rPr>
          <w:lang w:val="fr-FR"/>
        </w:rPr>
        <w:t>DE SAUTAGE</w:t>
      </w:r>
      <w:r w:rsidR="001D203E">
        <w:rPr>
          <w:lang w:val="fr-FR"/>
        </w:rPr>
        <w:t>)</w:t>
      </w:r>
      <w:r w:rsidRPr="004F4861">
        <w:rPr>
          <w:lang w:val="fr-FR"/>
        </w:rPr>
        <w:t xml:space="preserve"> ELECTRONIQUES.</w:t>
      </w:r>
    </w:p>
    <w:p w:rsidR="004F4861" w:rsidRDefault="001B29A1" w:rsidP="005B7229">
      <w:pPr>
        <w:pStyle w:val="SingleTxtG"/>
        <w:ind w:left="2268"/>
        <w:rPr>
          <w:lang w:val="fr-FR"/>
        </w:rPr>
      </w:pPr>
      <w:r w:rsidRPr="004F4861">
        <w:t>D</w:t>
      </w:r>
      <w:r w:rsidRPr="004F4861">
        <w:rPr>
          <w:lang w:val="fr-FR"/>
        </w:rPr>
        <w:t>étonateurs utilisant des composants électroniques, tels qu</w:t>
      </w:r>
      <w:r w:rsidR="004F4861" w:rsidRPr="004F4861">
        <w:rPr>
          <w:lang w:val="fr-FR"/>
        </w:rPr>
        <w:t>’</w:t>
      </w:r>
      <w:r w:rsidRPr="004F4861">
        <w:rPr>
          <w:lang w:val="fr-FR"/>
        </w:rPr>
        <w:t xml:space="preserve">un circuit intégré et/ou </w:t>
      </w:r>
      <w:r w:rsidR="00043FB4">
        <w:rPr>
          <w:lang w:val="fr-FR"/>
        </w:rPr>
        <w:t>des micro-processeurs pour communiquer, produire de l’énergie et en stocker et envoyer avec retard des informations et des ordres, afin de transmettre un signal de mise à feu à la charge d’amorçage. »</w:t>
      </w:r>
      <w:r w:rsidRPr="004F4861">
        <w:rPr>
          <w:lang w:val="fr-FR"/>
        </w:rPr>
        <w:t>.</w:t>
      </w:r>
    </w:p>
    <w:p w:rsidR="004F4861" w:rsidRPr="004F4861" w:rsidRDefault="004F4861" w:rsidP="004F486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F4861" w:rsidRPr="004F4861" w:rsidSect="0004351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AD" w:rsidRDefault="00EB2FAD" w:rsidP="00F95C08">
      <w:pPr>
        <w:spacing w:line="240" w:lineRule="auto"/>
      </w:pPr>
    </w:p>
  </w:endnote>
  <w:endnote w:type="continuationSeparator" w:id="0">
    <w:p w:rsidR="00EB2FAD" w:rsidRPr="00AC3823" w:rsidRDefault="00EB2FAD" w:rsidP="00AC3823">
      <w:pPr>
        <w:pStyle w:val="Footer"/>
      </w:pPr>
    </w:p>
  </w:endnote>
  <w:endnote w:type="continuationNotice" w:id="1">
    <w:p w:rsidR="00EB2FAD" w:rsidRDefault="00EB2F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1A" w:rsidRPr="0004351A" w:rsidRDefault="0004351A" w:rsidP="0004351A">
    <w:pPr>
      <w:pStyle w:val="Footer"/>
      <w:tabs>
        <w:tab w:val="right" w:pos="9638"/>
      </w:tabs>
    </w:pPr>
    <w:r w:rsidRPr="0004351A">
      <w:rPr>
        <w:b/>
        <w:sz w:val="18"/>
      </w:rPr>
      <w:fldChar w:fldCharType="begin"/>
    </w:r>
    <w:r w:rsidRPr="0004351A">
      <w:rPr>
        <w:b/>
        <w:sz w:val="18"/>
      </w:rPr>
      <w:instrText xml:space="preserve"> PAGE  \* MERGEFORMAT </w:instrText>
    </w:r>
    <w:r w:rsidRPr="0004351A">
      <w:rPr>
        <w:b/>
        <w:sz w:val="18"/>
      </w:rPr>
      <w:fldChar w:fldCharType="separate"/>
    </w:r>
    <w:r w:rsidR="00F11B89">
      <w:rPr>
        <w:b/>
        <w:noProof/>
        <w:sz w:val="18"/>
      </w:rPr>
      <w:t>2</w:t>
    </w:r>
    <w:r w:rsidRPr="0004351A">
      <w:rPr>
        <w:b/>
        <w:sz w:val="18"/>
      </w:rPr>
      <w:fldChar w:fldCharType="end"/>
    </w:r>
    <w:r>
      <w:rPr>
        <w:b/>
        <w:sz w:val="18"/>
      </w:rPr>
      <w:tab/>
    </w:r>
    <w:r>
      <w:t>GE.17-05110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1A" w:rsidRPr="0004351A" w:rsidRDefault="0004351A" w:rsidP="0004351A">
    <w:pPr>
      <w:pStyle w:val="Footer"/>
      <w:tabs>
        <w:tab w:val="right" w:pos="9638"/>
      </w:tabs>
      <w:rPr>
        <w:b/>
        <w:sz w:val="18"/>
      </w:rPr>
    </w:pPr>
    <w:r>
      <w:t>GE.17-05110</w:t>
    </w:r>
    <w:r>
      <w:tab/>
    </w:r>
    <w:r w:rsidRPr="0004351A">
      <w:rPr>
        <w:b/>
        <w:sz w:val="18"/>
      </w:rPr>
      <w:fldChar w:fldCharType="begin"/>
    </w:r>
    <w:r w:rsidRPr="0004351A">
      <w:rPr>
        <w:b/>
        <w:sz w:val="18"/>
      </w:rPr>
      <w:instrText xml:space="preserve"> PAGE  \* MERGEFORMAT </w:instrText>
    </w:r>
    <w:r w:rsidRPr="0004351A">
      <w:rPr>
        <w:b/>
        <w:sz w:val="18"/>
      </w:rPr>
      <w:fldChar w:fldCharType="separate"/>
    </w:r>
    <w:r w:rsidR="00F11B89">
      <w:rPr>
        <w:b/>
        <w:noProof/>
        <w:sz w:val="18"/>
      </w:rPr>
      <w:t>3</w:t>
    </w:r>
    <w:r w:rsidRPr="000435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04351A" w:rsidRDefault="0004351A" w:rsidP="0004351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547C4C9" wp14:editId="5D554DD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17-05110  (F)    030517    080517</w:t>
    </w:r>
    <w:r>
      <w:rPr>
        <w:sz w:val="20"/>
      </w:rPr>
      <w:br/>
    </w:r>
    <w:r w:rsidRPr="0004351A">
      <w:rPr>
        <w:rFonts w:ascii="C39T30Lfz" w:hAnsi="C39T30Lfz"/>
        <w:sz w:val="56"/>
      </w:rPr>
      <w:t></w:t>
    </w:r>
    <w:r w:rsidRPr="0004351A">
      <w:rPr>
        <w:rFonts w:ascii="C39T30Lfz" w:hAnsi="C39T30Lfz"/>
        <w:sz w:val="56"/>
      </w:rPr>
      <w:t></w:t>
    </w:r>
    <w:r w:rsidRPr="0004351A">
      <w:rPr>
        <w:rFonts w:ascii="C39T30Lfz" w:hAnsi="C39T30Lfz"/>
        <w:sz w:val="56"/>
      </w:rPr>
      <w:t></w:t>
    </w:r>
    <w:r w:rsidRPr="0004351A">
      <w:rPr>
        <w:rFonts w:ascii="C39T30Lfz" w:hAnsi="C39T30Lfz"/>
        <w:sz w:val="56"/>
      </w:rPr>
      <w:t></w:t>
    </w:r>
    <w:r w:rsidRPr="0004351A">
      <w:rPr>
        <w:rFonts w:ascii="C39T30Lfz" w:hAnsi="C39T30Lfz"/>
        <w:sz w:val="56"/>
      </w:rPr>
      <w:t></w:t>
    </w:r>
    <w:r w:rsidRPr="0004351A">
      <w:rPr>
        <w:rFonts w:ascii="C39T30Lfz" w:hAnsi="C39T30Lfz"/>
        <w:sz w:val="56"/>
      </w:rPr>
      <w:t></w:t>
    </w:r>
    <w:r w:rsidRPr="0004351A">
      <w:rPr>
        <w:rFonts w:ascii="C39T30Lfz" w:hAnsi="C39T30Lfz"/>
        <w:sz w:val="56"/>
      </w:rPr>
      <w:t></w:t>
    </w:r>
    <w:r w:rsidRPr="0004351A">
      <w:rPr>
        <w:rFonts w:ascii="C39T30Lfz" w:hAnsi="C39T30Lfz"/>
        <w:sz w:val="56"/>
      </w:rPr>
      <w:t></w:t>
    </w:r>
    <w:r w:rsidRPr="0004351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7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7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AD" w:rsidRPr="00AC3823" w:rsidRDefault="00EB2FA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2FAD" w:rsidRPr="00AC3823" w:rsidRDefault="00EB2FA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B2FAD" w:rsidRPr="00AC3823" w:rsidRDefault="00EB2FAD">
      <w:pPr>
        <w:spacing w:line="240" w:lineRule="auto"/>
        <w:rPr>
          <w:sz w:val="2"/>
          <w:szCs w:val="2"/>
        </w:rPr>
      </w:pPr>
    </w:p>
  </w:footnote>
  <w:footnote w:id="2">
    <w:p w:rsidR="0004351A" w:rsidRPr="0004351A" w:rsidRDefault="0004351A">
      <w:pPr>
        <w:pStyle w:val="FootnoteText"/>
      </w:pPr>
      <w:r>
        <w:rPr>
          <w:rStyle w:val="FootnoteReference"/>
        </w:rPr>
        <w:tab/>
      </w:r>
      <w:r w:rsidRPr="0004351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Sous-Comité pour la période 2017-2018 tel qu’approuvé par le Comité à sa huitième session (voir ST/SG/AC.10/C.3/100, par. 98 et ST/SG/AC.10/44, par. 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1A" w:rsidRPr="0004351A" w:rsidRDefault="00F11B8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1A" w:rsidRPr="0004351A" w:rsidRDefault="00F11B89" w:rsidP="0004351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AD"/>
    <w:rsid w:val="00017F94"/>
    <w:rsid w:val="00023842"/>
    <w:rsid w:val="000305D3"/>
    <w:rsid w:val="000334F9"/>
    <w:rsid w:val="0004351A"/>
    <w:rsid w:val="00043FB4"/>
    <w:rsid w:val="000529AD"/>
    <w:rsid w:val="000601A8"/>
    <w:rsid w:val="0007796D"/>
    <w:rsid w:val="000B7790"/>
    <w:rsid w:val="000E7B84"/>
    <w:rsid w:val="00111F2F"/>
    <w:rsid w:val="00132EA9"/>
    <w:rsid w:val="0014365E"/>
    <w:rsid w:val="00176178"/>
    <w:rsid w:val="001B29A1"/>
    <w:rsid w:val="001D203E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82685"/>
    <w:rsid w:val="004E468C"/>
    <w:rsid w:val="004E705E"/>
    <w:rsid w:val="004F4861"/>
    <w:rsid w:val="005505B7"/>
    <w:rsid w:val="00573BE5"/>
    <w:rsid w:val="00586ED3"/>
    <w:rsid w:val="00596AA9"/>
    <w:rsid w:val="005B7229"/>
    <w:rsid w:val="00614F56"/>
    <w:rsid w:val="0068456F"/>
    <w:rsid w:val="006A3A9C"/>
    <w:rsid w:val="006B149A"/>
    <w:rsid w:val="0071601D"/>
    <w:rsid w:val="007A62E6"/>
    <w:rsid w:val="0080684C"/>
    <w:rsid w:val="00850A95"/>
    <w:rsid w:val="00871C75"/>
    <w:rsid w:val="008776DC"/>
    <w:rsid w:val="008806DD"/>
    <w:rsid w:val="008871FE"/>
    <w:rsid w:val="008B40CD"/>
    <w:rsid w:val="00947757"/>
    <w:rsid w:val="009705C8"/>
    <w:rsid w:val="009C1CF4"/>
    <w:rsid w:val="00A03F8E"/>
    <w:rsid w:val="00A30353"/>
    <w:rsid w:val="00A5105C"/>
    <w:rsid w:val="00AA3283"/>
    <w:rsid w:val="00AC3823"/>
    <w:rsid w:val="00AE323C"/>
    <w:rsid w:val="00AE46FE"/>
    <w:rsid w:val="00B00181"/>
    <w:rsid w:val="00B00B0D"/>
    <w:rsid w:val="00B765F7"/>
    <w:rsid w:val="00BA0CA9"/>
    <w:rsid w:val="00BA1101"/>
    <w:rsid w:val="00C02897"/>
    <w:rsid w:val="00C9788E"/>
    <w:rsid w:val="00D3439C"/>
    <w:rsid w:val="00DB1831"/>
    <w:rsid w:val="00DD3BFD"/>
    <w:rsid w:val="00DF36E5"/>
    <w:rsid w:val="00DF6678"/>
    <w:rsid w:val="00E14F13"/>
    <w:rsid w:val="00E37BF1"/>
    <w:rsid w:val="00EA485F"/>
    <w:rsid w:val="00EB2FAD"/>
    <w:rsid w:val="00EF2E22"/>
    <w:rsid w:val="00F01738"/>
    <w:rsid w:val="00F11B89"/>
    <w:rsid w:val="00F660DF"/>
    <w:rsid w:val="00F730C8"/>
    <w:rsid w:val="00F95C08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B303-0A08-4C82-8C62-4ACA7332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ST/SG/AC.10/C.3/2017/14</vt:lpstr>
      <vt:lpstr>ST/SG/AC.10/C.3/2017/14</vt:lpstr>
    </vt:vector>
  </TitlesOfParts>
  <Company>DCM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ST/SG/AC.10/C.3/2017/14</dc:title>
  <dc:creator>DESCHAMPS</dc:creator>
  <cp:lastModifiedBy>Laurence Berthet</cp:lastModifiedBy>
  <cp:revision>3</cp:revision>
  <cp:lastPrinted>2017-05-09T13:37:00Z</cp:lastPrinted>
  <dcterms:created xsi:type="dcterms:W3CDTF">2017-05-09T13:37:00Z</dcterms:created>
  <dcterms:modified xsi:type="dcterms:W3CDTF">2017-05-09T13:38:00Z</dcterms:modified>
</cp:coreProperties>
</file>