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3A2D14">
            <w:bookmarkStart w:id="0" w:name="_GoBack"/>
            <w:bookmarkEnd w:id="0"/>
          </w:p>
        </w:tc>
        <w:tc>
          <w:tcPr>
            <w:tcW w:w="2268" w:type="dxa"/>
            <w:tcBorders>
              <w:bottom w:val="single" w:sz="4" w:space="0" w:color="auto"/>
            </w:tcBorders>
            <w:vAlign w:val="bottom"/>
          </w:tcPr>
          <w:p w:rsidR="00F35BAF" w:rsidRPr="00DB58B5" w:rsidRDefault="00F35BAF" w:rsidP="009B6355">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3A2D14" w:rsidP="003A2D14">
            <w:pPr>
              <w:jc w:val="right"/>
            </w:pPr>
            <w:r w:rsidRPr="003A2D14">
              <w:rPr>
                <w:sz w:val="40"/>
              </w:rPr>
              <w:t>ECE</w:t>
            </w:r>
            <w:r>
              <w:t>/TRANS/WP.29/GRSG/90</w:t>
            </w:r>
          </w:p>
        </w:tc>
      </w:tr>
      <w:tr w:rsidR="00F35BAF" w:rsidRPr="00DB58B5" w:rsidTr="009B6355">
        <w:trPr>
          <w:trHeight w:hRule="exact" w:val="2835"/>
        </w:trPr>
        <w:tc>
          <w:tcPr>
            <w:tcW w:w="1276" w:type="dxa"/>
            <w:tcBorders>
              <w:top w:val="single" w:sz="4" w:space="0" w:color="auto"/>
              <w:bottom w:val="single" w:sz="12" w:space="0" w:color="auto"/>
            </w:tcBorders>
          </w:tcPr>
          <w:p w:rsidR="00F35BAF" w:rsidRPr="00DB58B5" w:rsidRDefault="00F35BAF" w:rsidP="009B6355">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9B6355">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3A2D14" w:rsidP="009B6355">
            <w:pPr>
              <w:spacing w:before="240"/>
            </w:pPr>
            <w:r>
              <w:t>Distr. générale</w:t>
            </w:r>
          </w:p>
          <w:p w:rsidR="003A2D14" w:rsidRDefault="003A2D14" w:rsidP="003A2D14">
            <w:pPr>
              <w:spacing w:line="240" w:lineRule="exact"/>
            </w:pPr>
            <w:r>
              <w:t>21 novembre 2016</w:t>
            </w:r>
          </w:p>
          <w:p w:rsidR="003A2D14" w:rsidRDefault="003A2D14" w:rsidP="003A2D14">
            <w:pPr>
              <w:spacing w:line="240" w:lineRule="exact"/>
            </w:pPr>
            <w:r>
              <w:t>Français</w:t>
            </w:r>
          </w:p>
          <w:p w:rsidR="003A2D14" w:rsidRPr="00DB58B5" w:rsidRDefault="003A2D14" w:rsidP="003A2D14">
            <w:pPr>
              <w:spacing w:line="240" w:lineRule="exact"/>
            </w:pPr>
            <w:r>
              <w:t>Original : anglais</w:t>
            </w:r>
            <w:r w:rsidR="00F4511F">
              <w:t>/français</w:t>
            </w:r>
          </w:p>
        </w:tc>
      </w:tr>
    </w:tbl>
    <w:p w:rsidR="007F20FA" w:rsidRPr="000312C0" w:rsidRDefault="007F20FA" w:rsidP="007F20FA">
      <w:pPr>
        <w:spacing w:before="120"/>
        <w:rPr>
          <w:b/>
          <w:sz w:val="28"/>
          <w:szCs w:val="28"/>
        </w:rPr>
      </w:pPr>
      <w:r w:rsidRPr="000312C0">
        <w:rPr>
          <w:b/>
          <w:sz w:val="28"/>
          <w:szCs w:val="28"/>
        </w:rPr>
        <w:t>Commission économique pour l</w:t>
      </w:r>
      <w:r w:rsidR="006B6352">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3A2D14" w:rsidRDefault="003A2D14" w:rsidP="00AF0CB5">
      <w:pPr>
        <w:spacing w:before="120"/>
        <w:rPr>
          <w:b/>
          <w:sz w:val="24"/>
          <w:szCs w:val="24"/>
        </w:rPr>
      </w:pPr>
      <w:r w:rsidRPr="00685843">
        <w:rPr>
          <w:b/>
          <w:sz w:val="24"/>
          <w:szCs w:val="24"/>
        </w:rPr>
        <w:t>Forum mondial de l</w:t>
      </w:r>
      <w:r w:rsidR="006B6352">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3A2D14" w:rsidRDefault="003A2D14" w:rsidP="00257168">
      <w:pPr>
        <w:spacing w:before="120" w:after="120" w:line="240" w:lineRule="exact"/>
        <w:rPr>
          <w:b/>
        </w:rPr>
      </w:pPr>
      <w:r>
        <w:rPr>
          <w:b/>
        </w:rPr>
        <w:t>Groupe de travail des dispositions générales de sécurité</w:t>
      </w:r>
    </w:p>
    <w:p w:rsidR="003A2D14" w:rsidRDefault="003A2D14" w:rsidP="00257168">
      <w:pPr>
        <w:spacing w:before="120" w:line="240" w:lineRule="exact"/>
        <w:rPr>
          <w:b/>
        </w:rPr>
      </w:pPr>
      <w:r>
        <w:rPr>
          <w:b/>
        </w:rPr>
        <w:t>111</w:t>
      </w:r>
      <w:r>
        <w:rPr>
          <w:b/>
          <w:vertAlign w:val="superscript"/>
        </w:rPr>
        <w:t>e</w:t>
      </w:r>
      <w:r>
        <w:rPr>
          <w:b/>
        </w:rPr>
        <w:t xml:space="preserve"> session</w:t>
      </w:r>
    </w:p>
    <w:p w:rsidR="003A2D14" w:rsidRDefault="003A2D14" w:rsidP="00257168">
      <w:pPr>
        <w:spacing w:line="240" w:lineRule="exact"/>
      </w:pPr>
      <w:r>
        <w:t xml:space="preserve">Genève, </w:t>
      </w:r>
      <w:r w:rsidRPr="003A2D14">
        <w:rPr>
          <w:lang w:val="fr-FR"/>
        </w:rPr>
        <w:t>11-14 octobre 2016</w:t>
      </w:r>
    </w:p>
    <w:p w:rsidR="00F9573C" w:rsidRDefault="003A2D14" w:rsidP="009B6355">
      <w:pPr>
        <w:pStyle w:val="HChG"/>
        <w:spacing w:after="480"/>
        <w:rPr>
          <w:lang w:val="fr-FR"/>
        </w:rPr>
      </w:pPr>
      <w:r>
        <w:rPr>
          <w:lang w:val="fr-FR"/>
        </w:rPr>
        <w:tab/>
      </w:r>
      <w:r>
        <w:rPr>
          <w:lang w:val="fr-FR"/>
        </w:rPr>
        <w:tab/>
      </w:r>
      <w:r w:rsidRPr="003A2D14">
        <w:rPr>
          <w:lang w:val="fr-FR"/>
        </w:rPr>
        <w:t>Rapport du Groupe de travail des dispositions générales de sécurité sur sa 111</w:t>
      </w:r>
      <w:r w:rsidRPr="003A2D14">
        <w:rPr>
          <w:vertAlign w:val="superscript"/>
          <w:lang w:val="fr-FR"/>
        </w:rPr>
        <w:t>e</w:t>
      </w:r>
      <w:r w:rsidR="009B6355">
        <w:rPr>
          <w:vertAlign w:val="superscript"/>
          <w:lang w:val="fr-FR"/>
        </w:rPr>
        <w:t> </w:t>
      </w:r>
      <w:r w:rsidRPr="003A2D14">
        <w:rPr>
          <w:lang w:val="fr-FR"/>
        </w:rPr>
        <w:t>session (11-14</w:t>
      </w:r>
      <w:r w:rsidR="009B6355">
        <w:rPr>
          <w:lang w:val="fr-FR"/>
        </w:rPr>
        <w:t> </w:t>
      </w:r>
      <w:r w:rsidRPr="003A2D14">
        <w:rPr>
          <w:lang w:val="fr-FR"/>
        </w:rPr>
        <w:t>octobre 2016)</w:t>
      </w:r>
    </w:p>
    <w:p w:rsidR="003A2D14" w:rsidRPr="003A2D14" w:rsidRDefault="003A2D14" w:rsidP="003A2D14">
      <w:pPr>
        <w:spacing w:after="120"/>
        <w:rPr>
          <w:sz w:val="28"/>
        </w:rPr>
      </w:pPr>
      <w:r w:rsidRPr="003A2D14">
        <w:rPr>
          <w:sz w:val="28"/>
        </w:rPr>
        <w:t>Table des matières</w:t>
      </w:r>
    </w:p>
    <w:p w:rsidR="003A2D14" w:rsidRPr="003A2D14" w:rsidRDefault="003A2D14" w:rsidP="003A2D14">
      <w:pPr>
        <w:tabs>
          <w:tab w:val="right" w:pos="8929"/>
          <w:tab w:val="right" w:pos="9638"/>
        </w:tabs>
        <w:spacing w:after="120"/>
        <w:ind w:left="283"/>
        <w:rPr>
          <w:i/>
          <w:sz w:val="18"/>
        </w:rPr>
      </w:pPr>
      <w:r w:rsidRPr="003A2D14">
        <w:rPr>
          <w:i/>
          <w:sz w:val="18"/>
        </w:rPr>
        <w:tab/>
        <w:t>Paragraphes</w:t>
      </w:r>
      <w:r w:rsidRPr="003A2D14">
        <w:rPr>
          <w:i/>
          <w:sz w:val="18"/>
        </w:rPr>
        <w:tab/>
        <w:t>Page</w:t>
      </w:r>
    </w:p>
    <w:p w:rsidR="003A2D14" w:rsidRDefault="003A2D14" w:rsidP="003A2D14">
      <w:pPr>
        <w:tabs>
          <w:tab w:val="right" w:pos="850"/>
          <w:tab w:val="right" w:leader="dot" w:pos="7654"/>
          <w:tab w:val="right" w:pos="8929"/>
          <w:tab w:val="right" w:pos="9638"/>
        </w:tabs>
        <w:spacing w:after="120"/>
        <w:ind w:left="1134" w:hanging="1134"/>
      </w:pPr>
      <w:r>
        <w:tab/>
        <w:t>I.</w:t>
      </w:r>
      <w:r>
        <w:tab/>
      </w:r>
      <w:r w:rsidR="0036644E" w:rsidRPr="003A2D14">
        <w:rPr>
          <w:lang w:val="fr-FR"/>
        </w:rPr>
        <w:t>Participation</w:t>
      </w:r>
      <w:r>
        <w:tab/>
      </w:r>
      <w:r>
        <w:tab/>
      </w:r>
      <w:r w:rsidR="009B6355">
        <w:t>1</w:t>
      </w:r>
      <w:r>
        <w:tab/>
      </w:r>
      <w:r w:rsidR="00BF1F27">
        <w:t>3</w:t>
      </w:r>
    </w:p>
    <w:p w:rsidR="009B6355" w:rsidRDefault="009B6355" w:rsidP="003A2D14">
      <w:pPr>
        <w:tabs>
          <w:tab w:val="right" w:pos="850"/>
          <w:tab w:val="right" w:leader="dot" w:pos="7654"/>
          <w:tab w:val="right" w:pos="8929"/>
          <w:tab w:val="right" w:pos="9638"/>
        </w:tabs>
        <w:spacing w:after="120"/>
        <w:ind w:left="1134" w:hanging="1134"/>
      </w:pPr>
      <w:r>
        <w:tab/>
        <w:t>II.</w:t>
      </w:r>
      <w:r>
        <w:tab/>
      </w:r>
      <w:r w:rsidR="0036644E" w:rsidRPr="003A2D14">
        <w:rPr>
          <w:lang w:val="fr-FR"/>
        </w:rPr>
        <w:t>Adoption de l</w:t>
      </w:r>
      <w:r w:rsidR="006B6352">
        <w:rPr>
          <w:lang w:val="fr-FR"/>
        </w:rPr>
        <w:t>’</w:t>
      </w:r>
      <w:r w:rsidR="0036644E" w:rsidRPr="003A2D14">
        <w:rPr>
          <w:lang w:val="fr-FR"/>
        </w:rPr>
        <w:t>ordre du jour (point 1 de l</w:t>
      </w:r>
      <w:r w:rsidR="006B6352">
        <w:rPr>
          <w:lang w:val="fr-FR"/>
        </w:rPr>
        <w:t>’</w:t>
      </w:r>
      <w:r w:rsidR="0036644E" w:rsidRPr="003A2D14">
        <w:rPr>
          <w:lang w:val="fr-FR"/>
        </w:rPr>
        <w:t>ordre du jour)</w:t>
      </w:r>
      <w:r>
        <w:tab/>
      </w:r>
      <w:r>
        <w:tab/>
      </w:r>
      <w:r w:rsidRPr="00FD3034">
        <w:t>2–4</w:t>
      </w:r>
      <w:r>
        <w:tab/>
      </w:r>
      <w:r w:rsidR="00BF1F27">
        <w:t>3</w:t>
      </w:r>
    </w:p>
    <w:p w:rsidR="009B6355" w:rsidRDefault="009B6355" w:rsidP="003A2D14">
      <w:pPr>
        <w:tabs>
          <w:tab w:val="right" w:pos="850"/>
          <w:tab w:val="right" w:leader="dot" w:pos="7654"/>
          <w:tab w:val="right" w:pos="8929"/>
          <w:tab w:val="right" w:pos="9638"/>
        </w:tabs>
        <w:spacing w:after="120"/>
        <w:ind w:left="1134" w:hanging="1134"/>
      </w:pPr>
      <w:r>
        <w:tab/>
        <w:t>III.</w:t>
      </w:r>
      <w:r>
        <w:tab/>
      </w:r>
      <w:r w:rsidR="0036644E" w:rsidRPr="003A2D14">
        <w:rPr>
          <w:lang w:val="fr-FR"/>
        </w:rPr>
        <w:t>Règlement n</w:t>
      </w:r>
      <w:r w:rsidR="0036644E" w:rsidRPr="003A2D14">
        <w:rPr>
          <w:vertAlign w:val="superscript"/>
          <w:lang w:val="fr-FR"/>
        </w:rPr>
        <w:t>o</w:t>
      </w:r>
      <w:r w:rsidR="0036644E" w:rsidRPr="003A2D14">
        <w:rPr>
          <w:lang w:val="fr-FR"/>
        </w:rPr>
        <w:t> 107 (Véhicules des catégories M</w:t>
      </w:r>
      <w:r w:rsidR="0036644E" w:rsidRPr="003A2D14">
        <w:rPr>
          <w:vertAlign w:val="subscript"/>
          <w:lang w:val="fr-FR"/>
        </w:rPr>
        <w:t>2</w:t>
      </w:r>
      <w:r w:rsidR="0036644E" w:rsidRPr="003A2D14">
        <w:rPr>
          <w:lang w:val="fr-FR"/>
        </w:rPr>
        <w:t xml:space="preserve"> et M</w:t>
      </w:r>
      <w:r w:rsidR="0036644E" w:rsidRPr="003A2D14">
        <w:rPr>
          <w:vertAlign w:val="subscript"/>
          <w:lang w:val="fr-FR"/>
        </w:rPr>
        <w:t>3</w:t>
      </w:r>
      <w:r w:rsidR="0036644E" w:rsidRPr="003A2D14">
        <w:rPr>
          <w:lang w:val="fr-FR"/>
        </w:rPr>
        <w:t xml:space="preserve">) </w:t>
      </w:r>
      <w:r w:rsidR="0036644E">
        <w:rPr>
          <w:lang w:val="fr-FR"/>
        </w:rPr>
        <w:br/>
      </w:r>
      <w:r w:rsidR="0036644E" w:rsidRPr="003A2D14">
        <w:rPr>
          <w:lang w:val="fr-FR"/>
        </w:rPr>
        <w:t>(point 2 de l</w:t>
      </w:r>
      <w:r w:rsidR="006B6352">
        <w:rPr>
          <w:lang w:val="fr-FR"/>
        </w:rPr>
        <w:t>’</w:t>
      </w:r>
      <w:r w:rsidR="0036644E" w:rsidRPr="003A2D14">
        <w:rPr>
          <w:lang w:val="fr-FR"/>
        </w:rPr>
        <w:t>ordre du jour)</w:t>
      </w:r>
      <w:r>
        <w:tab/>
      </w:r>
      <w:r>
        <w:tab/>
      </w:r>
      <w:r w:rsidRPr="00FD3034">
        <w:t>5–11</w:t>
      </w:r>
      <w:r>
        <w:tab/>
      </w:r>
      <w:r w:rsidR="00BF1F27">
        <w:t>4</w:t>
      </w:r>
    </w:p>
    <w:p w:rsidR="009B6355" w:rsidRDefault="009B6355" w:rsidP="003A2D14">
      <w:pPr>
        <w:tabs>
          <w:tab w:val="right" w:pos="850"/>
          <w:tab w:val="right" w:leader="dot" w:pos="7654"/>
          <w:tab w:val="right" w:pos="8929"/>
          <w:tab w:val="right" w:pos="9638"/>
        </w:tabs>
        <w:spacing w:after="120"/>
        <w:ind w:left="1134" w:hanging="1134"/>
      </w:pPr>
      <w:r>
        <w:tab/>
        <w:t>IV.</w:t>
      </w:r>
      <w:r>
        <w:tab/>
      </w:r>
      <w:r w:rsidR="0036644E" w:rsidRPr="003A2D14">
        <w:rPr>
          <w:lang w:val="fr-FR"/>
        </w:rPr>
        <w:t>Règlement n</w:t>
      </w:r>
      <w:r w:rsidR="0036644E" w:rsidRPr="003A2D14">
        <w:rPr>
          <w:vertAlign w:val="superscript"/>
          <w:lang w:val="fr-FR"/>
        </w:rPr>
        <w:t>o</w:t>
      </w:r>
      <w:r w:rsidR="0036644E" w:rsidRPr="003A2D14">
        <w:rPr>
          <w:lang w:val="fr-FR"/>
        </w:rPr>
        <w:t> 39 (Indicateur de vitesse) (point 3 de l</w:t>
      </w:r>
      <w:r w:rsidR="006B6352">
        <w:rPr>
          <w:lang w:val="fr-FR"/>
        </w:rPr>
        <w:t>’</w:t>
      </w:r>
      <w:r w:rsidR="0036644E" w:rsidRPr="003A2D14">
        <w:rPr>
          <w:lang w:val="fr-FR"/>
        </w:rPr>
        <w:t>ordre du jour)</w:t>
      </w:r>
      <w:r>
        <w:tab/>
      </w:r>
      <w:r>
        <w:tab/>
      </w:r>
      <w:r w:rsidRPr="00FD3034">
        <w:t>12–14</w:t>
      </w:r>
      <w:r>
        <w:tab/>
      </w:r>
      <w:r w:rsidR="00BF1F27">
        <w:t>5</w:t>
      </w:r>
    </w:p>
    <w:p w:rsidR="009B6355" w:rsidRDefault="009B6355" w:rsidP="003A2D14">
      <w:pPr>
        <w:tabs>
          <w:tab w:val="right" w:pos="850"/>
          <w:tab w:val="right" w:leader="dot" w:pos="7654"/>
          <w:tab w:val="right" w:pos="8929"/>
          <w:tab w:val="right" w:pos="9638"/>
        </w:tabs>
        <w:spacing w:after="120"/>
        <w:ind w:left="1134" w:hanging="1134"/>
      </w:pPr>
      <w:r>
        <w:tab/>
        <w:t>V.</w:t>
      </w:r>
      <w:r>
        <w:tab/>
      </w:r>
      <w:r w:rsidR="0036644E" w:rsidRPr="003A2D14">
        <w:rPr>
          <w:lang w:val="fr-FR"/>
        </w:rPr>
        <w:t>Règlement n</w:t>
      </w:r>
      <w:r w:rsidR="0036644E" w:rsidRPr="003A2D14">
        <w:rPr>
          <w:vertAlign w:val="superscript"/>
          <w:lang w:val="fr-FR"/>
        </w:rPr>
        <w:t>o</w:t>
      </w:r>
      <w:r w:rsidR="0036644E" w:rsidRPr="003A2D14">
        <w:rPr>
          <w:lang w:val="fr-FR"/>
        </w:rPr>
        <w:t xml:space="preserve"> 43 (Vitrages de sécurité) (point 4 de l</w:t>
      </w:r>
      <w:r w:rsidR="006B6352">
        <w:rPr>
          <w:lang w:val="fr-FR"/>
        </w:rPr>
        <w:t>’</w:t>
      </w:r>
      <w:r w:rsidR="0036644E" w:rsidRPr="003A2D14">
        <w:rPr>
          <w:lang w:val="fr-FR"/>
        </w:rPr>
        <w:t>ordre du jour)</w:t>
      </w:r>
      <w:r>
        <w:tab/>
      </w:r>
      <w:r>
        <w:tab/>
      </w:r>
      <w:r w:rsidRPr="00FD3034">
        <w:t>15–18</w:t>
      </w:r>
      <w:r>
        <w:tab/>
      </w:r>
      <w:r w:rsidR="00BF1F27">
        <w:t>6</w:t>
      </w:r>
    </w:p>
    <w:p w:rsidR="009B6355" w:rsidRDefault="009B6355" w:rsidP="003A2D14">
      <w:pPr>
        <w:tabs>
          <w:tab w:val="right" w:pos="850"/>
          <w:tab w:val="right" w:leader="dot" w:pos="7654"/>
          <w:tab w:val="right" w:pos="8929"/>
          <w:tab w:val="right" w:pos="9638"/>
        </w:tabs>
        <w:spacing w:after="120"/>
        <w:ind w:left="1134" w:hanging="1134"/>
      </w:pPr>
      <w:r>
        <w:tab/>
        <w:t>VI.</w:t>
      </w:r>
      <w:r>
        <w:tab/>
      </w:r>
      <w:r w:rsidR="0036644E" w:rsidRPr="003A2D14">
        <w:rPr>
          <w:lang w:val="fr-FR"/>
        </w:rPr>
        <w:t>Règlement n</w:t>
      </w:r>
      <w:r w:rsidR="0036644E" w:rsidRPr="003A2D14">
        <w:rPr>
          <w:vertAlign w:val="superscript"/>
          <w:lang w:val="fr-FR"/>
        </w:rPr>
        <w:t>o</w:t>
      </w:r>
      <w:r w:rsidR="0036644E" w:rsidRPr="003A2D14">
        <w:rPr>
          <w:lang w:val="fr-FR"/>
        </w:rPr>
        <w:t> 46 (Dispositifs de vision indirecte) (point 5 de l</w:t>
      </w:r>
      <w:r w:rsidR="006B6352">
        <w:rPr>
          <w:lang w:val="fr-FR"/>
        </w:rPr>
        <w:t>’</w:t>
      </w:r>
      <w:r w:rsidR="0036644E" w:rsidRPr="003A2D14">
        <w:rPr>
          <w:lang w:val="fr-FR"/>
        </w:rPr>
        <w:t>ordre du jour)</w:t>
      </w:r>
      <w:r>
        <w:tab/>
      </w:r>
      <w:r>
        <w:tab/>
      </w:r>
      <w:r w:rsidRPr="00FD3034">
        <w:t>19–21</w:t>
      </w:r>
      <w:r>
        <w:tab/>
      </w:r>
      <w:r w:rsidR="00BF1F27">
        <w:t>7</w:t>
      </w:r>
    </w:p>
    <w:p w:rsidR="009B6355" w:rsidRDefault="009B6355" w:rsidP="003A2D14">
      <w:pPr>
        <w:tabs>
          <w:tab w:val="right" w:pos="850"/>
          <w:tab w:val="right" w:leader="dot" w:pos="7654"/>
          <w:tab w:val="right" w:pos="8929"/>
          <w:tab w:val="right" w:pos="9638"/>
        </w:tabs>
        <w:spacing w:after="120"/>
        <w:ind w:left="1134" w:hanging="1134"/>
      </w:pPr>
      <w:r>
        <w:tab/>
        <w:t>VII.</w:t>
      </w:r>
      <w:r>
        <w:tab/>
      </w:r>
      <w:r w:rsidR="0036644E" w:rsidRPr="003A2D14">
        <w:rPr>
          <w:lang w:val="fr-FR"/>
        </w:rPr>
        <w:t>Règlement n</w:t>
      </w:r>
      <w:r w:rsidR="0036644E" w:rsidRPr="003A2D14">
        <w:rPr>
          <w:vertAlign w:val="superscript"/>
          <w:lang w:val="fr-FR"/>
        </w:rPr>
        <w:t>o</w:t>
      </w:r>
      <w:r w:rsidR="009F5F9A">
        <w:rPr>
          <w:lang w:val="fr-FR"/>
        </w:rPr>
        <w:t> </w:t>
      </w:r>
      <w:r w:rsidR="0036644E" w:rsidRPr="003A2D14">
        <w:rPr>
          <w:lang w:val="fr-FR"/>
        </w:rPr>
        <w:t xml:space="preserve">66 (Résistance de la superstructure (autobus)) </w:t>
      </w:r>
      <w:r w:rsidR="0036644E">
        <w:rPr>
          <w:lang w:val="fr-FR"/>
        </w:rPr>
        <w:br/>
      </w:r>
      <w:r w:rsidR="0036644E" w:rsidRPr="003A2D14">
        <w:rPr>
          <w:lang w:val="fr-FR"/>
        </w:rPr>
        <w:t>(point 6 de l</w:t>
      </w:r>
      <w:r w:rsidR="006B6352">
        <w:rPr>
          <w:lang w:val="fr-FR"/>
        </w:rPr>
        <w:t>’</w:t>
      </w:r>
      <w:r w:rsidR="0036644E" w:rsidRPr="003A2D14">
        <w:rPr>
          <w:lang w:val="fr-FR"/>
        </w:rPr>
        <w:t>ordre du jour)</w:t>
      </w:r>
      <w:r>
        <w:tab/>
      </w:r>
      <w:r>
        <w:tab/>
        <w:t>22–23</w:t>
      </w:r>
      <w:r>
        <w:tab/>
      </w:r>
      <w:r w:rsidR="00BF1F27">
        <w:t>7</w:t>
      </w:r>
    </w:p>
    <w:p w:rsidR="009B6355" w:rsidRDefault="009B6355" w:rsidP="003A2D14">
      <w:pPr>
        <w:tabs>
          <w:tab w:val="right" w:pos="850"/>
          <w:tab w:val="right" w:leader="dot" w:pos="7654"/>
          <w:tab w:val="right" w:pos="8929"/>
          <w:tab w:val="right" w:pos="9638"/>
        </w:tabs>
        <w:spacing w:after="120"/>
        <w:ind w:left="1134" w:hanging="1134"/>
      </w:pPr>
      <w:r>
        <w:tab/>
        <w:t>VIII.</w:t>
      </w:r>
      <w:r>
        <w:tab/>
      </w:r>
      <w:r w:rsidR="0036644E" w:rsidRPr="003A2D14">
        <w:rPr>
          <w:lang w:val="fr-FR"/>
        </w:rPr>
        <w:t>Règlement n</w:t>
      </w:r>
      <w:r w:rsidR="0036644E" w:rsidRPr="003A2D14">
        <w:rPr>
          <w:vertAlign w:val="superscript"/>
          <w:lang w:val="fr-FR"/>
        </w:rPr>
        <w:t>o</w:t>
      </w:r>
      <w:r w:rsidR="009F5F9A">
        <w:rPr>
          <w:lang w:val="fr-FR"/>
        </w:rPr>
        <w:t> </w:t>
      </w:r>
      <w:r w:rsidR="0036644E" w:rsidRPr="003A2D14">
        <w:rPr>
          <w:lang w:val="fr-FR"/>
        </w:rPr>
        <w:t>67 (Véh</w:t>
      </w:r>
      <w:r w:rsidR="009F5F9A">
        <w:rPr>
          <w:lang w:val="fr-FR"/>
        </w:rPr>
        <w:t>icules alimentés au GPL) (point </w:t>
      </w:r>
      <w:r w:rsidR="0036644E" w:rsidRPr="003A2D14">
        <w:rPr>
          <w:lang w:val="fr-FR"/>
        </w:rPr>
        <w:t>7 de l</w:t>
      </w:r>
      <w:r w:rsidR="006B6352">
        <w:rPr>
          <w:lang w:val="fr-FR"/>
        </w:rPr>
        <w:t>’</w:t>
      </w:r>
      <w:r w:rsidR="0036644E" w:rsidRPr="003A2D14">
        <w:rPr>
          <w:lang w:val="fr-FR"/>
        </w:rPr>
        <w:t>ordre du jour)</w:t>
      </w:r>
      <w:r>
        <w:tab/>
      </w:r>
      <w:r>
        <w:tab/>
        <w:t>24–26</w:t>
      </w:r>
      <w:r>
        <w:tab/>
      </w:r>
      <w:r w:rsidR="00BF1F27">
        <w:t>8</w:t>
      </w:r>
    </w:p>
    <w:p w:rsidR="009B6355" w:rsidRDefault="009B6355" w:rsidP="003A2D14">
      <w:pPr>
        <w:tabs>
          <w:tab w:val="right" w:pos="850"/>
          <w:tab w:val="right" w:leader="dot" w:pos="7654"/>
          <w:tab w:val="right" w:pos="8929"/>
          <w:tab w:val="right" w:pos="9638"/>
        </w:tabs>
        <w:spacing w:after="120"/>
        <w:ind w:left="1134" w:hanging="1134"/>
      </w:pPr>
      <w:r>
        <w:tab/>
        <w:t>IX.</w:t>
      </w:r>
      <w:r>
        <w:tab/>
      </w:r>
      <w:r w:rsidR="0036644E" w:rsidRPr="003A2D14">
        <w:rPr>
          <w:lang w:val="fr-FR"/>
        </w:rPr>
        <w:t>Règlement n</w:t>
      </w:r>
      <w:r w:rsidR="0036644E" w:rsidRPr="003A2D14">
        <w:rPr>
          <w:vertAlign w:val="superscript"/>
          <w:lang w:val="fr-FR"/>
        </w:rPr>
        <w:t>o</w:t>
      </w:r>
      <w:r w:rsidR="009F5F9A">
        <w:rPr>
          <w:lang w:val="fr-FR"/>
        </w:rPr>
        <w:t> </w:t>
      </w:r>
      <w:r w:rsidR="0036644E" w:rsidRPr="003A2D14">
        <w:rPr>
          <w:lang w:val="fr-FR"/>
        </w:rPr>
        <w:t>73 (Dispositifs</w:t>
      </w:r>
      <w:r w:rsidR="009F5F9A">
        <w:rPr>
          <w:lang w:val="fr-FR"/>
        </w:rPr>
        <w:t xml:space="preserve"> de protection latérale) (point </w:t>
      </w:r>
      <w:r w:rsidR="0036644E" w:rsidRPr="003A2D14">
        <w:rPr>
          <w:lang w:val="fr-FR"/>
        </w:rPr>
        <w:t>8 de l</w:t>
      </w:r>
      <w:r w:rsidR="006B6352">
        <w:rPr>
          <w:lang w:val="fr-FR"/>
        </w:rPr>
        <w:t>’</w:t>
      </w:r>
      <w:r w:rsidR="0036644E" w:rsidRPr="003A2D14">
        <w:rPr>
          <w:lang w:val="fr-FR"/>
        </w:rPr>
        <w:t>ordre du jour)</w:t>
      </w:r>
      <w:r>
        <w:tab/>
      </w:r>
      <w:r>
        <w:tab/>
      </w:r>
      <w:r w:rsidRPr="00FD3034">
        <w:t>27–28</w:t>
      </w:r>
      <w:r>
        <w:tab/>
      </w:r>
      <w:r w:rsidR="00BF1F27">
        <w:t>8</w:t>
      </w:r>
    </w:p>
    <w:p w:rsidR="009B6355" w:rsidRDefault="009B6355" w:rsidP="003A2D14">
      <w:pPr>
        <w:tabs>
          <w:tab w:val="right" w:pos="850"/>
          <w:tab w:val="right" w:leader="dot" w:pos="7654"/>
          <w:tab w:val="right" w:pos="8929"/>
          <w:tab w:val="right" w:pos="9638"/>
        </w:tabs>
        <w:spacing w:after="120"/>
        <w:ind w:left="1134" w:hanging="1134"/>
      </w:pPr>
      <w:r>
        <w:tab/>
        <w:t>X.</w:t>
      </w:r>
      <w:r>
        <w:tab/>
      </w:r>
      <w:r w:rsidR="0036644E" w:rsidRPr="003A2D14">
        <w:rPr>
          <w:lang w:val="fr-FR"/>
        </w:rPr>
        <w:t>Règlement n</w:t>
      </w:r>
      <w:r w:rsidR="0036644E" w:rsidRPr="003A2D14">
        <w:rPr>
          <w:vertAlign w:val="superscript"/>
          <w:lang w:val="fr-FR"/>
        </w:rPr>
        <w:t>o</w:t>
      </w:r>
      <w:r w:rsidR="009F5F9A">
        <w:rPr>
          <w:lang w:val="fr-FR"/>
        </w:rPr>
        <w:t> </w:t>
      </w:r>
      <w:r w:rsidR="0036644E" w:rsidRPr="003A2D14">
        <w:rPr>
          <w:lang w:val="fr-FR"/>
        </w:rPr>
        <w:t xml:space="preserve">110 (Véhicules alimentés au GNC/GNL) </w:t>
      </w:r>
      <w:r w:rsidR="0036644E">
        <w:rPr>
          <w:lang w:val="fr-FR"/>
        </w:rPr>
        <w:br/>
      </w:r>
      <w:r w:rsidR="009F5F9A">
        <w:rPr>
          <w:lang w:val="fr-FR"/>
        </w:rPr>
        <w:t>(point </w:t>
      </w:r>
      <w:r w:rsidR="0036644E" w:rsidRPr="003A2D14">
        <w:rPr>
          <w:lang w:val="fr-FR"/>
        </w:rPr>
        <w:t>9 de l</w:t>
      </w:r>
      <w:r w:rsidR="006B6352">
        <w:rPr>
          <w:lang w:val="fr-FR"/>
        </w:rPr>
        <w:t>’</w:t>
      </w:r>
      <w:r w:rsidR="0036644E" w:rsidRPr="003A2D14">
        <w:rPr>
          <w:lang w:val="fr-FR"/>
        </w:rPr>
        <w:t>ordre du jour)</w:t>
      </w:r>
      <w:r>
        <w:tab/>
      </w:r>
      <w:r>
        <w:tab/>
        <w:t>29–35</w:t>
      </w:r>
      <w:r>
        <w:tab/>
      </w:r>
      <w:r w:rsidR="00BF1F27">
        <w:t>9</w:t>
      </w:r>
    </w:p>
    <w:p w:rsidR="009B6355" w:rsidRDefault="009B6355" w:rsidP="003A2D14">
      <w:pPr>
        <w:tabs>
          <w:tab w:val="right" w:pos="850"/>
          <w:tab w:val="right" w:leader="dot" w:pos="7654"/>
          <w:tab w:val="right" w:pos="8929"/>
          <w:tab w:val="right" w:pos="9638"/>
        </w:tabs>
        <w:spacing w:after="120"/>
        <w:ind w:left="1134" w:hanging="1134"/>
      </w:pPr>
      <w:r>
        <w:tab/>
        <w:t>XI.</w:t>
      </w:r>
      <w:r>
        <w:tab/>
      </w:r>
      <w:r w:rsidR="0036644E" w:rsidRPr="003A2D14">
        <w:rPr>
          <w:lang w:val="fr-FR"/>
        </w:rPr>
        <w:t>Règlement n</w:t>
      </w:r>
      <w:r w:rsidR="0036644E" w:rsidRPr="003A2D14">
        <w:rPr>
          <w:vertAlign w:val="superscript"/>
          <w:lang w:val="fr-FR"/>
        </w:rPr>
        <w:t>o</w:t>
      </w:r>
      <w:r w:rsidR="009F5F9A">
        <w:rPr>
          <w:lang w:val="fr-FR"/>
        </w:rPr>
        <w:t> </w:t>
      </w:r>
      <w:r w:rsidR="0036644E" w:rsidRPr="003A2D14">
        <w:rPr>
          <w:lang w:val="fr-FR"/>
        </w:rPr>
        <w:t>116 (Dispositifs antivol et systèmes d</w:t>
      </w:r>
      <w:r w:rsidR="006B6352">
        <w:rPr>
          <w:lang w:val="fr-FR"/>
        </w:rPr>
        <w:t>’</w:t>
      </w:r>
      <w:r w:rsidR="0036644E" w:rsidRPr="003A2D14">
        <w:rPr>
          <w:lang w:val="fr-FR"/>
        </w:rPr>
        <w:t xml:space="preserve">alarme) </w:t>
      </w:r>
      <w:r w:rsidR="0036644E">
        <w:rPr>
          <w:lang w:val="fr-FR"/>
        </w:rPr>
        <w:br/>
      </w:r>
      <w:r w:rsidR="0036644E" w:rsidRPr="003A2D14">
        <w:rPr>
          <w:lang w:val="fr-FR"/>
        </w:rPr>
        <w:t>(point 10 de l</w:t>
      </w:r>
      <w:r w:rsidR="006B6352">
        <w:rPr>
          <w:lang w:val="fr-FR"/>
        </w:rPr>
        <w:t>’</w:t>
      </w:r>
      <w:r w:rsidR="0036644E" w:rsidRPr="003A2D14">
        <w:rPr>
          <w:lang w:val="fr-FR"/>
        </w:rPr>
        <w:t>ordre du jour)</w:t>
      </w:r>
      <w:r>
        <w:tab/>
      </w:r>
      <w:r>
        <w:tab/>
        <w:t>36–37</w:t>
      </w:r>
      <w:r>
        <w:tab/>
      </w:r>
      <w:r w:rsidR="00BF1F27">
        <w:t>10</w:t>
      </w:r>
    </w:p>
    <w:p w:rsidR="009B6355" w:rsidRDefault="009B6355" w:rsidP="003A2D14">
      <w:pPr>
        <w:tabs>
          <w:tab w:val="right" w:pos="850"/>
          <w:tab w:val="right" w:leader="dot" w:pos="7654"/>
          <w:tab w:val="right" w:pos="8929"/>
          <w:tab w:val="right" w:pos="9638"/>
        </w:tabs>
        <w:spacing w:after="120"/>
        <w:ind w:left="1134" w:hanging="1134"/>
      </w:pPr>
      <w:r>
        <w:lastRenderedPageBreak/>
        <w:tab/>
        <w:t>XII.</w:t>
      </w:r>
      <w:r>
        <w:tab/>
      </w:r>
      <w:r w:rsidR="0036644E" w:rsidRPr="003A2D14">
        <w:rPr>
          <w:lang w:val="fr-FR"/>
        </w:rPr>
        <w:t>Règlement n</w:t>
      </w:r>
      <w:r w:rsidR="0036644E" w:rsidRPr="003A2D14">
        <w:rPr>
          <w:vertAlign w:val="superscript"/>
          <w:lang w:val="fr-FR"/>
        </w:rPr>
        <w:t>o</w:t>
      </w:r>
      <w:r w:rsidR="009F5F9A">
        <w:rPr>
          <w:lang w:val="fr-FR"/>
        </w:rPr>
        <w:t> 18 (Résistance au feu) (point </w:t>
      </w:r>
      <w:r w:rsidR="0036644E" w:rsidRPr="003A2D14">
        <w:rPr>
          <w:lang w:val="fr-FR"/>
        </w:rPr>
        <w:t>11 de l</w:t>
      </w:r>
      <w:r w:rsidR="006B6352">
        <w:rPr>
          <w:lang w:val="fr-FR"/>
        </w:rPr>
        <w:t>’</w:t>
      </w:r>
      <w:r w:rsidR="0036644E" w:rsidRPr="003A2D14">
        <w:rPr>
          <w:lang w:val="fr-FR"/>
        </w:rPr>
        <w:t>ordre du jour)</w:t>
      </w:r>
      <w:r>
        <w:tab/>
      </w:r>
      <w:r>
        <w:tab/>
        <w:t>38–40</w:t>
      </w:r>
      <w:r>
        <w:tab/>
      </w:r>
      <w:r w:rsidR="00BF1F27">
        <w:t>11</w:t>
      </w:r>
    </w:p>
    <w:p w:rsidR="009B6355" w:rsidRDefault="009B6355" w:rsidP="003A2D14">
      <w:pPr>
        <w:tabs>
          <w:tab w:val="right" w:pos="850"/>
          <w:tab w:val="right" w:leader="dot" w:pos="7654"/>
          <w:tab w:val="right" w:pos="8929"/>
          <w:tab w:val="right" w:pos="9638"/>
        </w:tabs>
        <w:spacing w:after="120"/>
        <w:ind w:left="1134" w:hanging="1134"/>
      </w:pPr>
      <w:r>
        <w:tab/>
        <w:t>XIII.</w:t>
      </w:r>
      <w:r>
        <w:tab/>
      </w:r>
      <w:r w:rsidR="0036644E" w:rsidRPr="003A2D14">
        <w:rPr>
          <w:lang w:val="fr-FR"/>
        </w:rPr>
        <w:t>Règlement n</w:t>
      </w:r>
      <w:r w:rsidR="0036644E" w:rsidRPr="003A2D14">
        <w:rPr>
          <w:vertAlign w:val="superscript"/>
          <w:lang w:val="fr-FR"/>
        </w:rPr>
        <w:t>o</w:t>
      </w:r>
      <w:r w:rsidR="009F5F9A">
        <w:rPr>
          <w:lang w:val="fr-FR"/>
        </w:rPr>
        <w:t> </w:t>
      </w:r>
      <w:r w:rsidR="0036644E" w:rsidRPr="003A2D14">
        <w:rPr>
          <w:lang w:val="fr-FR"/>
        </w:rPr>
        <w:t>121 (Identification des commandes, des témo</w:t>
      </w:r>
      <w:r w:rsidR="009F5F9A">
        <w:rPr>
          <w:lang w:val="fr-FR"/>
        </w:rPr>
        <w:t xml:space="preserve">ins et des indicateurs) </w:t>
      </w:r>
      <w:r w:rsidR="009F5F9A">
        <w:rPr>
          <w:lang w:val="fr-FR"/>
        </w:rPr>
        <w:br/>
        <w:t>(point </w:t>
      </w:r>
      <w:r w:rsidR="0036644E" w:rsidRPr="003A2D14">
        <w:rPr>
          <w:lang w:val="fr-FR"/>
        </w:rPr>
        <w:t>12 de l</w:t>
      </w:r>
      <w:r w:rsidR="006B6352">
        <w:rPr>
          <w:lang w:val="fr-FR"/>
        </w:rPr>
        <w:t>’</w:t>
      </w:r>
      <w:r w:rsidR="0036644E" w:rsidRPr="003A2D14">
        <w:rPr>
          <w:lang w:val="fr-FR"/>
        </w:rPr>
        <w:t>ordre du jour)</w:t>
      </w:r>
      <w:r>
        <w:tab/>
      </w:r>
      <w:r>
        <w:tab/>
        <w:t>41–43</w:t>
      </w:r>
      <w:r>
        <w:tab/>
      </w:r>
      <w:r w:rsidR="00BF1F27">
        <w:t>11</w:t>
      </w:r>
    </w:p>
    <w:p w:rsidR="009B6355" w:rsidRDefault="009B6355" w:rsidP="003A2D14">
      <w:pPr>
        <w:tabs>
          <w:tab w:val="right" w:pos="850"/>
          <w:tab w:val="right" w:leader="dot" w:pos="7654"/>
          <w:tab w:val="right" w:pos="8929"/>
          <w:tab w:val="right" w:pos="9638"/>
        </w:tabs>
        <w:spacing w:after="120"/>
        <w:ind w:left="1134" w:hanging="1134"/>
      </w:pPr>
      <w:r>
        <w:tab/>
        <w:t>XIV.</w:t>
      </w:r>
      <w:r>
        <w:tab/>
      </w:r>
      <w:r w:rsidR="0036644E" w:rsidRPr="003A2D14">
        <w:rPr>
          <w:lang w:val="fr-FR"/>
        </w:rPr>
        <w:t>Systèmes automa</w:t>
      </w:r>
      <w:r w:rsidR="009F5F9A">
        <w:rPr>
          <w:lang w:val="fr-FR"/>
        </w:rPr>
        <w:t>tiques d</w:t>
      </w:r>
      <w:r w:rsidR="006B6352">
        <w:rPr>
          <w:lang w:val="fr-FR"/>
        </w:rPr>
        <w:t>’</w:t>
      </w:r>
      <w:r w:rsidR="009F5F9A">
        <w:rPr>
          <w:lang w:val="fr-FR"/>
        </w:rPr>
        <w:t>appel d</w:t>
      </w:r>
      <w:r w:rsidR="006B6352">
        <w:rPr>
          <w:lang w:val="fr-FR"/>
        </w:rPr>
        <w:t>’</w:t>
      </w:r>
      <w:r w:rsidR="009F5F9A">
        <w:rPr>
          <w:lang w:val="fr-FR"/>
        </w:rPr>
        <w:t>urgence (point </w:t>
      </w:r>
      <w:r w:rsidR="0036644E" w:rsidRPr="003A2D14">
        <w:rPr>
          <w:lang w:val="fr-FR"/>
        </w:rPr>
        <w:t>13 de l</w:t>
      </w:r>
      <w:r w:rsidR="006B6352">
        <w:rPr>
          <w:lang w:val="fr-FR"/>
        </w:rPr>
        <w:t>’</w:t>
      </w:r>
      <w:r w:rsidR="0036644E" w:rsidRPr="003A2D14">
        <w:rPr>
          <w:lang w:val="fr-FR"/>
        </w:rPr>
        <w:t>ordre du jour)</w:t>
      </w:r>
      <w:r>
        <w:tab/>
      </w:r>
      <w:r>
        <w:tab/>
        <w:t>44–48</w:t>
      </w:r>
      <w:r>
        <w:tab/>
      </w:r>
      <w:r w:rsidR="00BF1F27">
        <w:t>12</w:t>
      </w:r>
    </w:p>
    <w:p w:rsidR="009B6355" w:rsidRDefault="009B6355" w:rsidP="003A2D14">
      <w:pPr>
        <w:tabs>
          <w:tab w:val="right" w:pos="850"/>
          <w:tab w:val="right" w:leader="dot" w:pos="7654"/>
          <w:tab w:val="right" w:pos="8929"/>
          <w:tab w:val="right" w:pos="9638"/>
        </w:tabs>
        <w:spacing w:after="120"/>
        <w:ind w:left="1134" w:hanging="1134"/>
      </w:pPr>
      <w:r>
        <w:tab/>
        <w:t>XV.</w:t>
      </w:r>
      <w:r>
        <w:tab/>
      </w:r>
      <w:r w:rsidR="0036644E" w:rsidRPr="003A2D14">
        <w:rPr>
          <w:lang w:val="fr-FR"/>
        </w:rPr>
        <w:t>Homologation de type internationale de l</w:t>
      </w:r>
      <w:r w:rsidR="006B6352">
        <w:rPr>
          <w:lang w:val="fr-FR"/>
        </w:rPr>
        <w:t>’</w:t>
      </w:r>
      <w:r w:rsidR="0036644E" w:rsidRPr="003A2D14">
        <w:rPr>
          <w:lang w:val="fr-FR"/>
        </w:rPr>
        <w:t xml:space="preserve">ensemble du véhicule (IWVTA) </w:t>
      </w:r>
      <w:r w:rsidR="0036644E" w:rsidRPr="003A2D14">
        <w:rPr>
          <w:lang w:val="fr-FR"/>
        </w:rPr>
        <w:br/>
        <w:t>(poin</w:t>
      </w:r>
      <w:r w:rsidR="009F5F9A">
        <w:rPr>
          <w:lang w:val="fr-FR"/>
        </w:rPr>
        <w:t>t </w:t>
      </w:r>
      <w:r w:rsidR="0036644E" w:rsidRPr="003A2D14">
        <w:rPr>
          <w:lang w:val="fr-FR"/>
        </w:rPr>
        <w:t>14 de l</w:t>
      </w:r>
      <w:r w:rsidR="006B6352">
        <w:rPr>
          <w:lang w:val="fr-FR"/>
        </w:rPr>
        <w:t>’</w:t>
      </w:r>
      <w:r w:rsidR="0036644E" w:rsidRPr="003A2D14">
        <w:rPr>
          <w:lang w:val="fr-FR"/>
        </w:rPr>
        <w:t>ordre du jour)</w:t>
      </w:r>
      <w:r w:rsidR="0036644E" w:rsidRPr="003A2D14">
        <w:rPr>
          <w:lang w:val="fr-FR"/>
        </w:rPr>
        <w:tab/>
      </w:r>
      <w:r w:rsidR="0036644E">
        <w:tab/>
      </w:r>
      <w:r>
        <w:t>49–51</w:t>
      </w:r>
      <w:r>
        <w:tab/>
      </w:r>
      <w:r w:rsidR="00BF1F27">
        <w:t>13</w:t>
      </w:r>
    </w:p>
    <w:p w:rsidR="0036644E" w:rsidRPr="00FD3034" w:rsidRDefault="0036644E" w:rsidP="0036644E">
      <w:pPr>
        <w:tabs>
          <w:tab w:val="right" w:pos="850"/>
          <w:tab w:val="right" w:leader="dot" w:pos="7654"/>
          <w:tab w:val="right" w:pos="8929"/>
          <w:tab w:val="right" w:pos="9638"/>
        </w:tabs>
        <w:spacing w:after="120"/>
        <w:ind w:left="1134" w:hanging="1134"/>
      </w:pPr>
      <w:r>
        <w:tab/>
      </w:r>
      <w:r w:rsidRPr="00FD3034">
        <w:t>XVI.</w:t>
      </w:r>
      <w:r w:rsidRPr="00FD3034">
        <w:tab/>
        <w:t>Résolution d</w:t>
      </w:r>
      <w:r w:rsidR="006B6352">
        <w:t>’</w:t>
      </w:r>
      <w:r w:rsidRPr="00FD3034">
        <w:t xml:space="preserve">ensemble sur la construction des véhicules (R.E.3) </w:t>
      </w:r>
      <w:r w:rsidRPr="00FD3034">
        <w:br/>
        <w:t>(po</w:t>
      </w:r>
      <w:r w:rsidR="009F5F9A">
        <w:t>int </w:t>
      </w:r>
      <w:r w:rsidRPr="00FD3034">
        <w:t>15 de l</w:t>
      </w:r>
      <w:r w:rsidR="006B6352">
        <w:t>’</w:t>
      </w:r>
      <w:r w:rsidRPr="00FD3034">
        <w:t>ordre du jour)</w:t>
      </w:r>
      <w:r w:rsidRPr="00FD3034">
        <w:tab/>
      </w:r>
      <w:r w:rsidRPr="00FD3034">
        <w:tab/>
        <w:t>52</w:t>
      </w:r>
      <w:r w:rsidRPr="00FD3034">
        <w:tab/>
      </w:r>
      <w:r w:rsidR="00BF1F27">
        <w:t>14</w:t>
      </w:r>
    </w:p>
    <w:p w:rsidR="0036644E" w:rsidRPr="00FD3034" w:rsidRDefault="0036644E" w:rsidP="0036644E">
      <w:pPr>
        <w:tabs>
          <w:tab w:val="right" w:pos="850"/>
          <w:tab w:val="right" w:leader="dot" w:pos="7654"/>
          <w:tab w:val="right" w:pos="8929"/>
          <w:tab w:val="right" w:pos="9638"/>
        </w:tabs>
        <w:spacing w:after="120"/>
        <w:ind w:left="1134" w:hanging="1134"/>
      </w:pPr>
      <w:r w:rsidRPr="00FD3034">
        <w:tab/>
        <w:t>XVII.</w:t>
      </w:r>
      <w:r w:rsidRPr="00FD3034">
        <w:tab/>
        <w:t>Systèmes embarqués de stockage des données électronique</w:t>
      </w:r>
      <w:r w:rsidR="009F5F9A">
        <w:t xml:space="preserve">s </w:t>
      </w:r>
      <w:r w:rsidR="009F5F9A">
        <w:br/>
        <w:t>(point </w:t>
      </w:r>
      <w:r w:rsidRPr="00FD3034">
        <w:t>16 de l</w:t>
      </w:r>
      <w:r w:rsidR="006B6352">
        <w:t>’</w:t>
      </w:r>
      <w:r w:rsidRPr="00FD3034">
        <w:t>ordre du jour)</w:t>
      </w:r>
      <w:r w:rsidRPr="00FD3034">
        <w:tab/>
      </w:r>
      <w:r w:rsidRPr="00FD3034">
        <w:tab/>
        <w:t>53–54</w:t>
      </w:r>
      <w:r w:rsidRPr="00FD3034">
        <w:tab/>
      </w:r>
      <w:r w:rsidR="00BF1F27">
        <w:t>14</w:t>
      </w:r>
    </w:p>
    <w:p w:rsidR="0036644E" w:rsidRPr="00FD3034" w:rsidRDefault="0036644E" w:rsidP="0036644E">
      <w:pPr>
        <w:tabs>
          <w:tab w:val="right" w:pos="850"/>
          <w:tab w:val="right" w:leader="dot" w:pos="7654"/>
          <w:tab w:val="right" w:pos="8929"/>
          <w:tab w:val="right" w:pos="9638"/>
        </w:tabs>
        <w:spacing w:after="120"/>
        <w:ind w:left="1134" w:hanging="1134"/>
      </w:pPr>
      <w:r w:rsidRPr="00FD3034">
        <w:tab/>
        <w:t>XVIII.</w:t>
      </w:r>
      <w:r w:rsidRPr="00FD3034">
        <w:tab/>
        <w:t>Règlement technique mondial n</w:t>
      </w:r>
      <w:r w:rsidRPr="00FD3034">
        <w:rPr>
          <w:vertAlign w:val="superscript"/>
        </w:rPr>
        <w:t>o</w:t>
      </w:r>
      <w:r w:rsidRPr="00FD3034">
        <w:t xml:space="preserve"> 6 (Vitrages de sécurité)</w:t>
      </w:r>
      <w:r w:rsidR="009F5F9A">
        <w:t xml:space="preserve"> </w:t>
      </w:r>
      <w:r w:rsidR="009F5F9A">
        <w:br/>
        <w:t>(point </w:t>
      </w:r>
      <w:r w:rsidRPr="00FD3034">
        <w:t>17 de l</w:t>
      </w:r>
      <w:r w:rsidR="006B6352">
        <w:t>’</w:t>
      </w:r>
      <w:r w:rsidRPr="00FD3034">
        <w:t xml:space="preserve">ordre du jour) </w:t>
      </w:r>
      <w:r w:rsidRPr="00FD3034">
        <w:tab/>
      </w:r>
      <w:r w:rsidRPr="00FD3034">
        <w:tab/>
        <w:t>55–56</w:t>
      </w:r>
      <w:r w:rsidRPr="00FD3034">
        <w:tab/>
      </w:r>
      <w:r w:rsidR="00BF1F27">
        <w:t>14</w:t>
      </w:r>
    </w:p>
    <w:p w:rsidR="0036644E" w:rsidRPr="00FD3034" w:rsidRDefault="0036644E" w:rsidP="0036644E">
      <w:pPr>
        <w:tabs>
          <w:tab w:val="right" w:pos="850"/>
          <w:tab w:val="right" w:leader="dot" w:pos="7654"/>
          <w:tab w:val="right" w:pos="8929"/>
          <w:tab w:val="right" w:pos="9638"/>
        </w:tabs>
        <w:spacing w:after="120"/>
        <w:ind w:left="1134" w:hanging="1134"/>
      </w:pPr>
      <w:r w:rsidRPr="00FD3034">
        <w:tab/>
        <w:t>XIX.</w:t>
      </w:r>
      <w:r w:rsidRPr="00FD3034">
        <w:tab/>
        <w:t>Nouveau règlement sur les systèmes actifs d</w:t>
      </w:r>
      <w:r w:rsidR="006B6352">
        <w:t>’</w:t>
      </w:r>
      <w:r w:rsidRPr="00FD3034">
        <w:t xml:space="preserve">aide à la conduite </w:t>
      </w:r>
      <w:r w:rsidR="00BF1F27">
        <w:br/>
        <w:t>(point 18 de l’ordre du jour</w:t>
      </w:r>
      <w:r w:rsidR="00E07729">
        <w:t>)</w:t>
      </w:r>
      <w:r w:rsidRPr="00FD3034">
        <w:tab/>
      </w:r>
      <w:r w:rsidRPr="00FD3034">
        <w:tab/>
        <w:t>57–59</w:t>
      </w:r>
      <w:r w:rsidRPr="00FD3034">
        <w:tab/>
      </w:r>
      <w:r w:rsidR="00BF1F27">
        <w:t>15</w:t>
      </w:r>
    </w:p>
    <w:p w:rsidR="0036644E" w:rsidRPr="00FD3034" w:rsidRDefault="0036644E" w:rsidP="0036644E">
      <w:pPr>
        <w:tabs>
          <w:tab w:val="right" w:pos="850"/>
          <w:tab w:val="right" w:leader="dot" w:pos="7654"/>
          <w:tab w:val="right" w:pos="8929"/>
          <w:tab w:val="right" w:pos="9638"/>
        </w:tabs>
        <w:spacing w:after="120"/>
        <w:ind w:left="1134" w:hanging="1134"/>
      </w:pPr>
      <w:r w:rsidRPr="00FD3034">
        <w:tab/>
        <w:t>XX.</w:t>
      </w:r>
      <w:r w:rsidRPr="00FD3034">
        <w:tab/>
        <w:t>Élection du Bureau (poi</w:t>
      </w:r>
      <w:r w:rsidR="009F5F9A">
        <w:t>nt </w:t>
      </w:r>
      <w:r w:rsidRPr="00FD3034">
        <w:t>19 de l</w:t>
      </w:r>
      <w:r w:rsidR="006B6352">
        <w:t>’</w:t>
      </w:r>
      <w:r w:rsidRPr="00FD3034">
        <w:t>ordre du jour)</w:t>
      </w:r>
      <w:r w:rsidRPr="00FD3034">
        <w:tab/>
      </w:r>
      <w:r w:rsidRPr="00FD3034">
        <w:tab/>
        <w:t>60</w:t>
      </w:r>
      <w:r w:rsidRPr="00FD3034">
        <w:tab/>
      </w:r>
      <w:r w:rsidR="00BF1F27">
        <w:t>15</w:t>
      </w:r>
    </w:p>
    <w:p w:rsidR="0036644E" w:rsidRPr="00FD3034" w:rsidRDefault="009F5F9A" w:rsidP="0036644E">
      <w:pPr>
        <w:tabs>
          <w:tab w:val="right" w:pos="850"/>
          <w:tab w:val="right" w:leader="dot" w:pos="7654"/>
          <w:tab w:val="right" w:pos="8929"/>
          <w:tab w:val="right" w:pos="9638"/>
        </w:tabs>
        <w:spacing w:after="120"/>
        <w:ind w:left="1134" w:hanging="1134"/>
      </w:pPr>
      <w:r>
        <w:tab/>
        <w:t>XXI.</w:t>
      </w:r>
      <w:r>
        <w:tab/>
        <w:t>Questions diverses (point </w:t>
      </w:r>
      <w:r w:rsidR="0036644E" w:rsidRPr="00FD3034">
        <w:t>20 de l</w:t>
      </w:r>
      <w:r w:rsidR="006B6352">
        <w:t>’</w:t>
      </w:r>
      <w:r w:rsidR="0036644E" w:rsidRPr="00FD3034">
        <w:t>ordre du jour)</w:t>
      </w:r>
      <w:r w:rsidR="0036644E" w:rsidRPr="00FD3034">
        <w:tab/>
      </w:r>
      <w:r w:rsidR="0036644E" w:rsidRPr="00FD3034">
        <w:tab/>
        <w:t>61–63</w:t>
      </w:r>
      <w:r w:rsidR="0036644E" w:rsidRPr="00FD3034">
        <w:tab/>
      </w:r>
      <w:r w:rsidR="00BF1F27">
        <w:t>15</w:t>
      </w:r>
    </w:p>
    <w:p w:rsidR="0036644E" w:rsidRPr="00FD3034" w:rsidRDefault="0036644E" w:rsidP="0036644E">
      <w:pPr>
        <w:tabs>
          <w:tab w:val="right" w:leader="dot" w:pos="7654"/>
          <w:tab w:val="right" w:pos="8929"/>
          <w:tab w:val="right" w:pos="9638"/>
        </w:tabs>
        <w:spacing w:after="120"/>
        <w:ind w:left="1559" w:hanging="425"/>
      </w:pPr>
      <w:r w:rsidRPr="00FD3034">
        <w:t>A.</w:t>
      </w:r>
      <w:r w:rsidRPr="00FD3034">
        <w:tab/>
        <w:t>Règlement n</w:t>
      </w:r>
      <w:r w:rsidRPr="00FD3034">
        <w:rPr>
          <w:vertAlign w:val="superscript"/>
        </w:rPr>
        <w:t>o</w:t>
      </w:r>
      <w:r w:rsidRPr="00FD3034">
        <w:t xml:space="preserve"> 105 (Véhicules destinés au transport </w:t>
      </w:r>
      <w:r w:rsidRPr="00FD3034">
        <w:br/>
        <w:t xml:space="preserve">de marchandises dangereuses) </w:t>
      </w:r>
      <w:r w:rsidRPr="00FD3034">
        <w:tab/>
      </w:r>
      <w:r w:rsidRPr="00FD3034">
        <w:tab/>
        <w:t>61</w:t>
      </w:r>
      <w:r w:rsidRPr="00FD3034">
        <w:tab/>
      </w:r>
      <w:r w:rsidR="00BF1F27">
        <w:t>15</w:t>
      </w:r>
    </w:p>
    <w:p w:rsidR="0036644E" w:rsidRPr="00FD3034" w:rsidRDefault="0036644E" w:rsidP="0036644E">
      <w:pPr>
        <w:tabs>
          <w:tab w:val="right" w:leader="dot" w:pos="7654"/>
          <w:tab w:val="right" w:pos="8929"/>
          <w:tab w:val="right" w:pos="9639"/>
        </w:tabs>
        <w:spacing w:after="120"/>
        <w:ind w:left="1559" w:hanging="425"/>
      </w:pPr>
      <w:r w:rsidRPr="00FD3034">
        <w:t>B.</w:t>
      </w:r>
      <w:r w:rsidRPr="00FD3034">
        <w:tab/>
        <w:t>Hommage</w:t>
      </w:r>
      <w:r w:rsidR="009F5F9A">
        <w:t>s à MM. </w:t>
      </w:r>
      <w:r w:rsidRPr="00FD3034">
        <w:t xml:space="preserve">Pichon et </w:t>
      </w:r>
      <w:proofErr w:type="spellStart"/>
      <w:r w:rsidRPr="00FD3034">
        <w:t>Damm</w:t>
      </w:r>
      <w:proofErr w:type="spellEnd"/>
      <w:r w:rsidRPr="00FD3034">
        <w:tab/>
      </w:r>
      <w:r w:rsidRPr="00FD3034">
        <w:tab/>
        <w:t>62–63</w:t>
      </w:r>
      <w:r w:rsidRPr="00FD3034">
        <w:tab/>
      </w:r>
      <w:r w:rsidR="00BF1F27">
        <w:t>16</w:t>
      </w:r>
    </w:p>
    <w:p w:rsidR="009B6355" w:rsidRDefault="0036644E" w:rsidP="0036644E">
      <w:pPr>
        <w:tabs>
          <w:tab w:val="right" w:pos="850"/>
          <w:tab w:val="right" w:leader="dot" w:pos="7654"/>
          <w:tab w:val="right" w:pos="8929"/>
          <w:tab w:val="right" w:pos="9638"/>
        </w:tabs>
        <w:spacing w:after="120"/>
        <w:ind w:left="1134" w:hanging="1134"/>
      </w:pPr>
      <w:r w:rsidRPr="00FD3034">
        <w:tab/>
        <w:t>XXII.</w:t>
      </w:r>
      <w:r w:rsidRPr="00FD3034">
        <w:tab/>
        <w:t>Ordre du jour provisoire de la 112</w:t>
      </w:r>
      <w:r w:rsidRPr="00FD3034">
        <w:rPr>
          <w:vertAlign w:val="superscript"/>
        </w:rPr>
        <w:t>e</w:t>
      </w:r>
      <w:r w:rsidR="009F5F9A">
        <w:t> </w:t>
      </w:r>
      <w:r w:rsidRPr="00FD3034">
        <w:t xml:space="preserve">session </w:t>
      </w:r>
      <w:r w:rsidRPr="00FD3034">
        <w:tab/>
      </w:r>
      <w:r w:rsidRPr="00FD3034">
        <w:tab/>
        <w:t>64</w:t>
      </w:r>
      <w:r w:rsidRPr="00FD3034">
        <w:tab/>
      </w:r>
      <w:r w:rsidR="00BF1F27">
        <w:t>16</w:t>
      </w:r>
    </w:p>
    <w:p w:rsidR="003A2D14" w:rsidRPr="003A2D14" w:rsidRDefault="003A2D14" w:rsidP="003A2D14">
      <w:pPr>
        <w:tabs>
          <w:tab w:val="right" w:pos="850"/>
        </w:tabs>
        <w:spacing w:after="120"/>
      </w:pPr>
      <w:r>
        <w:tab/>
        <w:t>Annexes</w:t>
      </w:r>
    </w:p>
    <w:p w:rsidR="003A2D14" w:rsidRDefault="003A2D14" w:rsidP="003A2D14">
      <w:pPr>
        <w:tabs>
          <w:tab w:val="right" w:pos="850"/>
          <w:tab w:val="right" w:leader="dot" w:pos="8929"/>
          <w:tab w:val="right" w:pos="9638"/>
        </w:tabs>
        <w:spacing w:after="120"/>
        <w:ind w:left="1134" w:hanging="1134"/>
      </w:pPr>
      <w:r>
        <w:tab/>
        <w:t>I.</w:t>
      </w:r>
      <w:r>
        <w:tab/>
      </w:r>
      <w:r w:rsidR="0036644E" w:rsidRPr="003A2D14">
        <w:rPr>
          <w:lang w:val="fr-FR"/>
        </w:rPr>
        <w:t>Liste des documents sans cote officielle examinés pendant la session</w:t>
      </w:r>
      <w:r>
        <w:tab/>
      </w:r>
      <w:r>
        <w:tab/>
      </w:r>
      <w:r w:rsidR="00BF1F27">
        <w:t>17</w:t>
      </w:r>
    </w:p>
    <w:p w:rsidR="0036644E" w:rsidRDefault="0036644E" w:rsidP="003A2D14">
      <w:pPr>
        <w:tabs>
          <w:tab w:val="right" w:pos="850"/>
          <w:tab w:val="right" w:leader="dot" w:pos="8929"/>
          <w:tab w:val="right" w:pos="9638"/>
        </w:tabs>
        <w:spacing w:after="120"/>
        <w:ind w:left="1134" w:hanging="1134"/>
        <w:rPr>
          <w:lang w:val="fr-FR"/>
        </w:rPr>
      </w:pPr>
      <w:r>
        <w:tab/>
        <w:t>II.</w:t>
      </w:r>
      <w:r>
        <w:tab/>
      </w:r>
      <w:r w:rsidRPr="003A2D14">
        <w:rPr>
          <w:lang w:val="fr-FR"/>
        </w:rPr>
        <w:t>Projet de complément 5 à la série 01 d</w:t>
      </w:r>
      <w:r w:rsidR="006B6352">
        <w:rPr>
          <w:lang w:val="fr-FR"/>
        </w:rPr>
        <w:t>’</w:t>
      </w:r>
      <w:r w:rsidRPr="003A2D14">
        <w:rPr>
          <w:lang w:val="fr-FR"/>
        </w:rPr>
        <w:t>amendements au Règlement n</w:t>
      </w:r>
      <w:r w:rsidRPr="003A2D14">
        <w:rPr>
          <w:vertAlign w:val="superscript"/>
          <w:lang w:val="fr-FR"/>
        </w:rPr>
        <w:t>o</w:t>
      </w:r>
      <w:r>
        <w:rPr>
          <w:lang w:val="fr-FR"/>
        </w:rPr>
        <w:t> 43 (par. </w:t>
      </w:r>
      <w:r w:rsidRPr="003A2D14">
        <w:rPr>
          <w:lang w:val="fr-FR"/>
        </w:rPr>
        <w:t xml:space="preserve">17) </w:t>
      </w:r>
      <w:r w:rsidRPr="003A2D14">
        <w:rPr>
          <w:lang w:val="fr-FR"/>
        </w:rPr>
        <w:br/>
        <w:t>(remplaçant le document ECE/TRANS/WP.29/GRSG/2016/21)</w:t>
      </w:r>
      <w:r w:rsidRPr="003A2D14">
        <w:rPr>
          <w:lang w:val="fr-FR"/>
        </w:rPr>
        <w:tab/>
      </w:r>
      <w:r>
        <w:rPr>
          <w:lang w:val="fr-FR"/>
        </w:rPr>
        <w:tab/>
      </w:r>
      <w:r w:rsidR="00BF1F27">
        <w:rPr>
          <w:lang w:val="fr-FR"/>
        </w:rPr>
        <w:t>19</w:t>
      </w:r>
    </w:p>
    <w:p w:rsidR="0036644E" w:rsidRDefault="0036644E" w:rsidP="003A2D14">
      <w:pPr>
        <w:tabs>
          <w:tab w:val="right" w:pos="850"/>
          <w:tab w:val="right" w:leader="dot" w:pos="8929"/>
          <w:tab w:val="right" w:pos="9638"/>
        </w:tabs>
        <w:spacing w:after="120"/>
        <w:ind w:left="1134" w:hanging="1134"/>
        <w:rPr>
          <w:lang w:val="fr-FR"/>
        </w:rPr>
      </w:pPr>
      <w:r>
        <w:rPr>
          <w:lang w:val="fr-FR"/>
        </w:rPr>
        <w:tab/>
        <w:t>III.</w:t>
      </w:r>
      <w:r>
        <w:rPr>
          <w:lang w:val="fr-FR"/>
        </w:rPr>
        <w:tab/>
      </w:r>
      <w:r w:rsidRPr="003A2D14">
        <w:rPr>
          <w:lang w:val="fr-FR"/>
        </w:rPr>
        <w:t>Projet de série 03 d</w:t>
      </w:r>
      <w:r w:rsidR="006B6352">
        <w:rPr>
          <w:lang w:val="fr-FR"/>
        </w:rPr>
        <w:t>’</w:t>
      </w:r>
      <w:r w:rsidRPr="003A2D14">
        <w:rPr>
          <w:lang w:val="fr-FR"/>
        </w:rPr>
        <w:t>amendements au Règlement n</w:t>
      </w:r>
      <w:r w:rsidRPr="003A2D14">
        <w:rPr>
          <w:vertAlign w:val="superscript"/>
          <w:lang w:val="fr-FR"/>
        </w:rPr>
        <w:t>o</w:t>
      </w:r>
      <w:r w:rsidR="009F5F9A">
        <w:rPr>
          <w:lang w:val="fr-FR"/>
        </w:rPr>
        <w:t> </w:t>
      </w:r>
      <w:r w:rsidRPr="003A2D14">
        <w:rPr>
          <w:lang w:val="fr-FR"/>
        </w:rPr>
        <w:t>11</w:t>
      </w:r>
      <w:r w:rsidR="009F5F9A">
        <w:rPr>
          <w:lang w:val="fr-FR"/>
        </w:rPr>
        <w:t>8 (par. </w:t>
      </w:r>
      <w:r w:rsidRPr="003A2D14">
        <w:rPr>
          <w:lang w:val="fr-FR"/>
        </w:rPr>
        <w:t xml:space="preserve">40) (remplaçant </w:t>
      </w:r>
      <w:r>
        <w:rPr>
          <w:lang w:val="fr-FR"/>
        </w:rPr>
        <w:br/>
      </w:r>
      <w:r w:rsidRPr="003A2D14">
        <w:rPr>
          <w:lang w:val="fr-FR"/>
        </w:rPr>
        <w:t>le document ECE/TRANS/WP.29/GRSG/2016/24)</w:t>
      </w:r>
      <w:r>
        <w:rPr>
          <w:lang w:val="fr-FR"/>
        </w:rPr>
        <w:tab/>
      </w:r>
      <w:r>
        <w:rPr>
          <w:lang w:val="fr-FR"/>
        </w:rPr>
        <w:tab/>
      </w:r>
      <w:r w:rsidR="00BF1F27">
        <w:rPr>
          <w:lang w:val="fr-FR"/>
        </w:rPr>
        <w:t>27</w:t>
      </w:r>
    </w:p>
    <w:p w:rsidR="0036644E" w:rsidRDefault="0036644E" w:rsidP="003A2D14">
      <w:pPr>
        <w:tabs>
          <w:tab w:val="right" w:pos="850"/>
          <w:tab w:val="right" w:leader="dot" w:pos="8929"/>
          <w:tab w:val="right" w:pos="9638"/>
        </w:tabs>
        <w:spacing w:after="120"/>
        <w:ind w:left="1134" w:hanging="1134"/>
      </w:pPr>
      <w:r>
        <w:rPr>
          <w:lang w:val="fr-FR"/>
        </w:rPr>
        <w:tab/>
        <w:t>IV.</w:t>
      </w:r>
      <w:r>
        <w:rPr>
          <w:lang w:val="fr-FR"/>
        </w:rPr>
        <w:tab/>
      </w:r>
      <w:r w:rsidRPr="003A2D14">
        <w:rPr>
          <w:lang w:val="fr-FR"/>
        </w:rPr>
        <w:t>Groupes informels relevant du GRSG</w:t>
      </w:r>
      <w:r>
        <w:rPr>
          <w:lang w:val="fr-FR"/>
        </w:rPr>
        <w:tab/>
      </w:r>
      <w:r>
        <w:rPr>
          <w:lang w:val="fr-FR"/>
        </w:rPr>
        <w:tab/>
      </w:r>
      <w:r w:rsidR="00BF1F27">
        <w:rPr>
          <w:lang w:val="fr-FR"/>
        </w:rPr>
        <w:t>33</w:t>
      </w:r>
    </w:p>
    <w:p w:rsidR="003A2D14" w:rsidRPr="003A2D14" w:rsidRDefault="003A2D14" w:rsidP="009F5F9A">
      <w:pPr>
        <w:pStyle w:val="HChG"/>
        <w:rPr>
          <w:lang w:val="fr-FR"/>
        </w:rPr>
      </w:pPr>
      <w:r w:rsidRPr="003A2D14">
        <w:rPr>
          <w:lang w:val="fr-FR"/>
        </w:rPr>
        <w:br w:type="page"/>
      </w:r>
      <w:r w:rsidR="00250A44">
        <w:rPr>
          <w:lang w:val="fr-FR"/>
        </w:rPr>
        <w:lastRenderedPageBreak/>
        <w:t xml:space="preserve"> </w:t>
      </w:r>
      <w:r w:rsidRPr="003A2D14">
        <w:rPr>
          <w:lang w:val="fr-FR"/>
        </w:rPr>
        <w:tab/>
        <w:t>I.</w:t>
      </w:r>
      <w:r w:rsidRPr="003A2D14">
        <w:rPr>
          <w:lang w:val="fr-FR"/>
        </w:rPr>
        <w:tab/>
        <w:t>Participation</w:t>
      </w:r>
    </w:p>
    <w:p w:rsidR="003A2D14" w:rsidRPr="003A2D14" w:rsidRDefault="003A2D14" w:rsidP="009F5F9A">
      <w:pPr>
        <w:pStyle w:val="ParNoG"/>
        <w:rPr>
          <w:lang w:val="fr-FR"/>
        </w:rPr>
      </w:pPr>
      <w:r w:rsidRPr="003A2D14">
        <w:rPr>
          <w:lang w:val="fr-FR"/>
        </w:rPr>
        <w:t>Le Groupe de travail des dispositions générales de sécurité (GRSG) a tenu sa 111</w:t>
      </w:r>
      <w:r w:rsidRPr="003A2D14">
        <w:rPr>
          <w:vertAlign w:val="superscript"/>
          <w:lang w:val="fr-FR"/>
        </w:rPr>
        <w:t>e</w:t>
      </w:r>
      <w:r w:rsidR="009F5F9A">
        <w:rPr>
          <w:lang w:val="fr-FR"/>
        </w:rPr>
        <w:t> session du 11 au 14 </w:t>
      </w:r>
      <w:r w:rsidRPr="003A2D14">
        <w:rPr>
          <w:lang w:val="fr-FR"/>
        </w:rPr>
        <w:t>octobre 2016, à Genève. La réunion était présidée par M. A. Erario (Italie). Conformément à l</w:t>
      </w:r>
      <w:r w:rsidR="006B6352">
        <w:rPr>
          <w:lang w:val="fr-FR"/>
        </w:rPr>
        <w:t>’</w:t>
      </w:r>
      <w:r w:rsidRPr="003A2D14">
        <w:rPr>
          <w:lang w:val="fr-FR"/>
        </w:rPr>
        <w:t>alinéa a) de l</w:t>
      </w:r>
      <w:r w:rsidR="006B6352">
        <w:rPr>
          <w:lang w:val="fr-FR"/>
        </w:rPr>
        <w:t>’</w:t>
      </w:r>
      <w:r w:rsidRPr="003A2D14">
        <w:rPr>
          <w:lang w:val="fr-FR"/>
        </w:rPr>
        <w:t>article 1 du Règlement intérieur du Forum mondial de l</w:t>
      </w:r>
      <w:r w:rsidR="006B6352">
        <w:rPr>
          <w:lang w:val="fr-FR"/>
        </w:rPr>
        <w:t>’</w:t>
      </w:r>
      <w:r w:rsidRPr="003A2D14">
        <w:rPr>
          <w:lang w:val="fr-FR"/>
        </w:rPr>
        <w:t>harmonisation des Règlements concernant les véhicules (WP.29) (documents TRANS/WP.29/690 et ECE/TRANS/WP.29/6</w:t>
      </w:r>
      <w:r w:rsidR="009F5F9A">
        <w:rPr>
          <w:lang w:val="fr-FR"/>
        </w:rPr>
        <w:t>90/Amend.1 et </w:t>
      </w:r>
      <w:r w:rsidRPr="003A2D14">
        <w:rPr>
          <w:lang w:val="fr-FR"/>
        </w:rPr>
        <w:t xml:space="preserve">2), ont participé aux travaux des experts des pays suivants : Allemagne, Arabie saoudite, Belgique, Canada, Chine, </w:t>
      </w:r>
      <w:r w:rsidR="002A750C">
        <w:rPr>
          <w:lang w:val="fr-FR"/>
        </w:rPr>
        <w:t xml:space="preserve">Espagne, </w:t>
      </w:r>
      <w:r w:rsidRPr="003A2D14">
        <w:rPr>
          <w:lang w:val="fr-FR"/>
        </w:rPr>
        <w:t>États-Unis d</w:t>
      </w:r>
      <w:r w:rsidR="006B6352">
        <w:rPr>
          <w:lang w:val="fr-FR"/>
        </w:rPr>
        <w:t>’</w:t>
      </w:r>
      <w:r w:rsidRPr="003A2D14">
        <w:rPr>
          <w:lang w:val="fr-FR"/>
        </w:rPr>
        <w:t>Amérique, Fédération de Russie, Finlande, France, Hongrie, Inde, Italie, Japon, Koweït, Luxembourg, Norvège, Pays-Bas, Pologne, République de Corée, Roumanie, Royaume-Uni de Grande-Bretagne et d</w:t>
      </w:r>
      <w:r w:rsidR="006B6352">
        <w:rPr>
          <w:lang w:val="fr-FR"/>
        </w:rPr>
        <w:t>’</w:t>
      </w:r>
      <w:r w:rsidRPr="003A2D14">
        <w:rPr>
          <w:lang w:val="fr-FR"/>
        </w:rPr>
        <w:t>Irlande du Nord, Serbie, Suède, Suisse et Tchéquie. Un expert de la Commission européenne y a aussi participé, ainsi que des experts des organisations non gouvernementales suivantes : Association européenne des fournisseurs de l</w:t>
      </w:r>
      <w:r w:rsidR="006B6352">
        <w:rPr>
          <w:lang w:val="fr-FR"/>
        </w:rPr>
        <w:t>’</w:t>
      </w:r>
      <w:r w:rsidRPr="003A2D14">
        <w:rPr>
          <w:lang w:val="fr-FR"/>
        </w:rPr>
        <w:t>automobile (CLEPA), Association européenne des gaz de pétrole liquéfiés (AEGPL), Association internationale des constructeurs de motocycles (IMMA), Association internationale des véhicules fonctionnant au gaz naturel (NGV Global-IANGV), Organisation internationale de normalisation (ISO), Organisation internationale des constructeurs d</w:t>
      </w:r>
      <w:r w:rsidR="006B6352">
        <w:rPr>
          <w:lang w:val="fr-FR"/>
        </w:rPr>
        <w:t>’</w:t>
      </w:r>
      <w:r w:rsidRPr="003A2D14">
        <w:rPr>
          <w:lang w:val="fr-FR"/>
        </w:rPr>
        <w:t>automobiles (OICA), Union internationale des télécommunications (UIT), Union internationale des transports publics (UITP) et Union internationale des transports routiers (IRU). Sur invitation spéciale du Président, des experts de la Fondation pour la promotion de l</w:t>
      </w:r>
      <w:r w:rsidR="006B6352">
        <w:rPr>
          <w:lang w:val="fr-FR"/>
        </w:rPr>
        <w:t>’</w:t>
      </w:r>
      <w:r w:rsidRPr="003A2D14">
        <w:rPr>
          <w:lang w:val="fr-FR"/>
        </w:rPr>
        <w:t>industrie coréenne des pièces automobiles, du Comité de liaison de la construction de carrosseries et de remorques (CLCCR) et du Centre de certification de la sécurité des véhicules de la Province chinoise de Taiwan y ont également participé.</w:t>
      </w:r>
    </w:p>
    <w:p w:rsidR="003A2D14" w:rsidRPr="003A2D14" w:rsidRDefault="003A2D14" w:rsidP="009F5F9A">
      <w:pPr>
        <w:pStyle w:val="HChG"/>
        <w:rPr>
          <w:lang w:val="fr-FR"/>
        </w:rPr>
      </w:pPr>
      <w:r w:rsidRPr="003A2D14">
        <w:rPr>
          <w:lang w:val="fr-FR"/>
        </w:rPr>
        <w:tab/>
        <w:t>II.</w:t>
      </w:r>
      <w:r w:rsidRPr="003A2D14">
        <w:rPr>
          <w:lang w:val="fr-FR"/>
        </w:rPr>
        <w:tab/>
        <w:t>Ado</w:t>
      </w:r>
      <w:r w:rsidR="006B6352">
        <w:rPr>
          <w:lang w:val="fr-FR"/>
        </w:rPr>
        <w:t>ption de l’ordre du jour (point </w:t>
      </w:r>
      <w:r w:rsidRPr="003A2D14">
        <w:rPr>
          <w:lang w:val="fr-FR"/>
        </w:rPr>
        <w:t>1 de l</w:t>
      </w:r>
      <w:r w:rsidR="006B6352">
        <w:rPr>
          <w:lang w:val="fr-FR"/>
        </w:rPr>
        <w:t>’</w:t>
      </w:r>
      <w:r w:rsidRPr="003A2D14">
        <w:rPr>
          <w:lang w:val="fr-FR"/>
        </w:rPr>
        <w:t>ordre du jour)</w:t>
      </w:r>
    </w:p>
    <w:p w:rsidR="003A2D14" w:rsidRPr="003A2D14" w:rsidRDefault="003A2D14" w:rsidP="009F5F9A">
      <w:pPr>
        <w:pStyle w:val="SingleTxtG"/>
        <w:ind w:left="2268" w:hanging="1134"/>
        <w:jc w:val="left"/>
        <w:rPr>
          <w:lang w:val="fr-FR"/>
        </w:rPr>
      </w:pPr>
      <w:r w:rsidRPr="003A2D14">
        <w:rPr>
          <w:i/>
          <w:lang w:val="fr-FR"/>
        </w:rPr>
        <w:t>Documents</w:t>
      </w:r>
      <w:r w:rsidRPr="002A750C">
        <w:t> :</w:t>
      </w:r>
      <w:r w:rsidRPr="003A2D14">
        <w:rPr>
          <w:lang w:val="fr-FR"/>
        </w:rPr>
        <w:tab/>
      </w:r>
      <w:r w:rsidR="009F5F9A">
        <w:rPr>
          <w:lang w:val="fr-FR"/>
        </w:rPr>
        <w:tab/>
      </w:r>
      <w:r w:rsidRPr="003A2D14">
        <w:rPr>
          <w:lang w:val="fr-FR"/>
        </w:rPr>
        <w:t xml:space="preserve">ECE/TRANS/WP.29/GRSP/2016/14 et Add.1 ; </w:t>
      </w:r>
      <w:r w:rsidRPr="003A2D14">
        <w:rPr>
          <w:lang w:val="fr-FR"/>
        </w:rPr>
        <w:br/>
        <w:t>document informel GRSG-111-01</w:t>
      </w:r>
      <w:r w:rsidR="009F5F9A">
        <w:rPr>
          <w:lang w:val="fr-FR"/>
        </w:rPr>
        <w:t>.</w:t>
      </w:r>
    </w:p>
    <w:p w:rsidR="003A2D14" w:rsidRPr="003A2D14" w:rsidRDefault="003A2D14" w:rsidP="009F5F9A">
      <w:pPr>
        <w:pStyle w:val="ParNoG"/>
        <w:tabs>
          <w:tab w:val="clear" w:pos="1701"/>
        </w:tabs>
        <w:rPr>
          <w:lang w:val="fr-FR"/>
        </w:rPr>
      </w:pPr>
      <w:r w:rsidRPr="003A2D14">
        <w:rPr>
          <w:lang w:val="fr-FR"/>
        </w:rPr>
        <w:t>Le Groupe de travail a examiné et adopté l</w:t>
      </w:r>
      <w:r w:rsidR="006B6352">
        <w:rPr>
          <w:lang w:val="fr-FR"/>
        </w:rPr>
        <w:t>’</w:t>
      </w:r>
      <w:r w:rsidRPr="003A2D14">
        <w:rPr>
          <w:lang w:val="fr-FR"/>
        </w:rPr>
        <w:t>ordre du jour proposé pour sa 111</w:t>
      </w:r>
      <w:r w:rsidRPr="003A2D14">
        <w:rPr>
          <w:vertAlign w:val="superscript"/>
          <w:lang w:val="fr-FR"/>
        </w:rPr>
        <w:t>e</w:t>
      </w:r>
      <w:r w:rsidRPr="003A2D14">
        <w:rPr>
          <w:lang w:val="fr-FR"/>
        </w:rPr>
        <w:t> session (ECE/TRANS/WP.29/GRSG/2016/14 et Add.1).</w:t>
      </w:r>
    </w:p>
    <w:p w:rsidR="003A2D14" w:rsidRPr="003A2D14" w:rsidRDefault="003A2D14" w:rsidP="009F5F9A">
      <w:pPr>
        <w:pStyle w:val="ParNoG"/>
        <w:tabs>
          <w:tab w:val="clear" w:pos="1701"/>
        </w:tabs>
        <w:rPr>
          <w:b/>
          <w:lang w:val="fr-FR"/>
        </w:rPr>
      </w:pPr>
      <w:r w:rsidRPr="003A2D14">
        <w:rPr>
          <w:lang w:val="fr-FR"/>
        </w:rPr>
        <w:t>Le Groupe de travail a aussi adopté l</w:t>
      </w:r>
      <w:r w:rsidR="006B6352">
        <w:rPr>
          <w:lang w:val="fr-FR"/>
        </w:rPr>
        <w:t>’</w:t>
      </w:r>
      <w:r w:rsidRPr="003A2D14">
        <w:rPr>
          <w:lang w:val="fr-FR"/>
        </w:rPr>
        <w:t>ordre d</w:t>
      </w:r>
      <w:r w:rsidR="006B6352">
        <w:rPr>
          <w:lang w:val="fr-FR"/>
        </w:rPr>
        <w:t>’</w:t>
      </w:r>
      <w:r w:rsidRPr="003A2D14">
        <w:rPr>
          <w:lang w:val="fr-FR"/>
        </w:rPr>
        <w:t>examen des points de l</w:t>
      </w:r>
      <w:r w:rsidR="006B6352">
        <w:rPr>
          <w:lang w:val="fr-FR"/>
        </w:rPr>
        <w:t>’</w:t>
      </w:r>
      <w:r w:rsidRPr="003A2D14">
        <w:rPr>
          <w:lang w:val="fr-FR"/>
        </w:rPr>
        <w:t>ordre du jour proposé par le Président dans le document GRSG-111-01. Le Groupe de travail a pris note des principales décisions et recommandations du Forum mondial prises lors de sa session de juin 2016, en particulier l</w:t>
      </w:r>
      <w:r w:rsidR="006B6352">
        <w:rPr>
          <w:lang w:val="fr-FR"/>
        </w:rPr>
        <w:t>’</w:t>
      </w:r>
      <w:r w:rsidRPr="003A2D14">
        <w:rPr>
          <w:lang w:val="fr-FR"/>
        </w:rPr>
        <w:t>invitation à vérifier l</w:t>
      </w:r>
      <w:r w:rsidR="006B6352">
        <w:rPr>
          <w:lang w:val="fr-FR"/>
        </w:rPr>
        <w:t>’</w:t>
      </w:r>
      <w:r w:rsidRPr="003A2D14">
        <w:rPr>
          <w:lang w:val="fr-FR"/>
        </w:rPr>
        <w:t>adéquation des règlements de l</w:t>
      </w:r>
      <w:r w:rsidR="006B6352">
        <w:rPr>
          <w:lang w:val="fr-FR"/>
        </w:rPr>
        <w:t>’</w:t>
      </w:r>
      <w:r w:rsidRPr="003A2D14">
        <w:rPr>
          <w:lang w:val="fr-FR"/>
        </w:rPr>
        <w:t>ONU relevant de sa responsabilité pour traiter des systèmes et logiciels électroniques complexes, ainsi qu</w:t>
      </w:r>
      <w:r w:rsidR="006B6352">
        <w:rPr>
          <w:lang w:val="fr-FR"/>
        </w:rPr>
        <w:t>’</w:t>
      </w:r>
      <w:r w:rsidRPr="003A2D14">
        <w:rPr>
          <w:lang w:val="fr-FR"/>
        </w:rPr>
        <w:t>à s</w:t>
      </w:r>
      <w:r w:rsidR="006B6352">
        <w:rPr>
          <w:lang w:val="fr-FR"/>
        </w:rPr>
        <w:t>’</w:t>
      </w:r>
      <w:r w:rsidRPr="003A2D14">
        <w:rPr>
          <w:lang w:val="fr-FR"/>
        </w:rPr>
        <w:t>attacher aux responsabilités des demandeurs d</w:t>
      </w:r>
      <w:r w:rsidR="006B6352">
        <w:rPr>
          <w:lang w:val="fr-FR"/>
        </w:rPr>
        <w:t>’</w:t>
      </w:r>
      <w:r w:rsidRPr="003A2D14">
        <w:rPr>
          <w:lang w:val="fr-FR"/>
        </w:rPr>
        <w:t>homologation, des services techniques et des autorités d</w:t>
      </w:r>
      <w:r w:rsidR="006B6352">
        <w:rPr>
          <w:lang w:val="fr-FR"/>
        </w:rPr>
        <w:t>’</w:t>
      </w:r>
      <w:r w:rsidRPr="003A2D14">
        <w:rPr>
          <w:lang w:val="fr-FR"/>
        </w:rPr>
        <w:t>homologation de type, ainsi qu</w:t>
      </w:r>
      <w:r w:rsidR="006B6352">
        <w:rPr>
          <w:lang w:val="fr-FR"/>
        </w:rPr>
        <w:t>’</w:t>
      </w:r>
      <w:r w:rsidRPr="003A2D14">
        <w:rPr>
          <w:lang w:val="fr-FR"/>
        </w:rPr>
        <w:t>à la précision des prescriptions, et à déterminer, le cas échéant, les dispositions qui pourraient apporter des éclaircissements pour éviter les ambiguïtés (voir le rapport ECE/TRANS/WP.29/1123, par. 97).</w:t>
      </w:r>
    </w:p>
    <w:p w:rsidR="003A2D14" w:rsidRPr="003A2D14" w:rsidRDefault="003A2D14" w:rsidP="009F5F9A">
      <w:pPr>
        <w:pStyle w:val="ParNoG"/>
        <w:tabs>
          <w:tab w:val="clear" w:pos="1701"/>
        </w:tabs>
        <w:rPr>
          <w:lang w:val="fr-FR"/>
        </w:rPr>
      </w:pPr>
      <w:r w:rsidRPr="003A2D14">
        <w:rPr>
          <w:lang w:val="fr-FR"/>
        </w:rPr>
        <w:t>On trouvera à l</w:t>
      </w:r>
      <w:r w:rsidR="006B6352">
        <w:rPr>
          <w:lang w:val="fr-FR"/>
        </w:rPr>
        <w:t>’</w:t>
      </w:r>
      <w:r w:rsidR="003A031C">
        <w:rPr>
          <w:lang w:val="fr-FR"/>
        </w:rPr>
        <w:t>annexe </w:t>
      </w:r>
      <w:r w:rsidRPr="003A2D14">
        <w:rPr>
          <w:lang w:val="fr-FR"/>
        </w:rPr>
        <w:t>I du présent rapport les documents sans cote officielle distribués pendant la session. La liste des groupes informels relevant du Groupe de travail figure à l</w:t>
      </w:r>
      <w:r w:rsidR="006B6352">
        <w:rPr>
          <w:lang w:val="fr-FR"/>
        </w:rPr>
        <w:t>’</w:t>
      </w:r>
      <w:r w:rsidR="003A031C">
        <w:rPr>
          <w:lang w:val="fr-FR"/>
        </w:rPr>
        <w:t>annexe </w:t>
      </w:r>
      <w:r w:rsidRPr="003A2D14">
        <w:rPr>
          <w:lang w:val="fr-FR"/>
        </w:rPr>
        <w:t>IV.</w:t>
      </w:r>
    </w:p>
    <w:p w:rsidR="003A2D14" w:rsidRPr="003A2D14" w:rsidRDefault="003A2D14" w:rsidP="003A031C">
      <w:pPr>
        <w:pStyle w:val="HChG"/>
        <w:rPr>
          <w:lang w:val="fr-FR"/>
        </w:rPr>
      </w:pPr>
      <w:r w:rsidRPr="003A2D14">
        <w:rPr>
          <w:lang w:val="fr-FR"/>
        </w:rPr>
        <w:tab/>
        <w:t>III.</w:t>
      </w:r>
      <w:r w:rsidRPr="003A2D14">
        <w:rPr>
          <w:lang w:val="fr-FR"/>
        </w:rPr>
        <w:tab/>
        <w:t>Règlement n</w:t>
      </w:r>
      <w:r w:rsidRPr="003A2D14">
        <w:rPr>
          <w:vertAlign w:val="superscript"/>
          <w:lang w:val="fr-FR"/>
        </w:rPr>
        <w:t>o</w:t>
      </w:r>
      <w:r w:rsidRPr="003A2D14">
        <w:rPr>
          <w:lang w:val="fr-FR"/>
        </w:rPr>
        <w:t> 107 (Véhicules des catégories M</w:t>
      </w:r>
      <w:r w:rsidRPr="003A2D14">
        <w:rPr>
          <w:vertAlign w:val="subscript"/>
          <w:lang w:val="fr-FR"/>
        </w:rPr>
        <w:t>2</w:t>
      </w:r>
      <w:r w:rsidRPr="003A2D14">
        <w:rPr>
          <w:lang w:val="fr-FR"/>
        </w:rPr>
        <w:t xml:space="preserve"> et M</w:t>
      </w:r>
      <w:r w:rsidRPr="003A2D14">
        <w:rPr>
          <w:vertAlign w:val="subscript"/>
          <w:lang w:val="fr-FR"/>
        </w:rPr>
        <w:t>3</w:t>
      </w:r>
      <w:r w:rsidR="003A031C">
        <w:rPr>
          <w:lang w:val="fr-FR"/>
        </w:rPr>
        <w:t xml:space="preserve">) </w:t>
      </w:r>
      <w:r w:rsidR="003A031C">
        <w:rPr>
          <w:lang w:val="fr-FR"/>
        </w:rPr>
        <w:br/>
        <w:t>(point </w:t>
      </w:r>
      <w:r w:rsidRPr="003A2D14">
        <w:rPr>
          <w:lang w:val="fr-FR"/>
        </w:rPr>
        <w:t>2 de l</w:t>
      </w:r>
      <w:r w:rsidR="006B6352">
        <w:rPr>
          <w:lang w:val="fr-FR"/>
        </w:rPr>
        <w:t>’</w:t>
      </w:r>
      <w:r w:rsidRPr="003A2D14">
        <w:rPr>
          <w:lang w:val="fr-FR"/>
        </w:rPr>
        <w:t>ordre du jour)</w:t>
      </w:r>
    </w:p>
    <w:p w:rsidR="003A2D14" w:rsidRPr="003A2D14" w:rsidRDefault="003A2D14" w:rsidP="003A031C">
      <w:pPr>
        <w:pStyle w:val="SingleTxtG"/>
        <w:keepNext/>
        <w:keepLines/>
        <w:ind w:left="2268" w:hanging="1134"/>
        <w:jc w:val="left"/>
        <w:rPr>
          <w:lang w:val="fr-FR"/>
        </w:rPr>
      </w:pPr>
      <w:r w:rsidRPr="003A2D14">
        <w:rPr>
          <w:i/>
          <w:lang w:val="fr-FR"/>
        </w:rPr>
        <w:t>Documents </w:t>
      </w:r>
      <w:r w:rsidRPr="002A750C">
        <w:t>:</w:t>
      </w:r>
      <w:r w:rsidRPr="003A2D14">
        <w:rPr>
          <w:lang w:val="fr-FR"/>
        </w:rPr>
        <w:tab/>
        <w:t xml:space="preserve">ECE/TRANS/WP.29/GRSG/2016/5, </w:t>
      </w:r>
      <w:r w:rsidR="003A031C">
        <w:rPr>
          <w:lang w:val="fr-FR"/>
        </w:rPr>
        <w:br/>
      </w:r>
      <w:r w:rsidRPr="003A2D14">
        <w:rPr>
          <w:lang w:val="fr-FR"/>
        </w:rPr>
        <w:t>ECE/TRANS/WP.29/GRSG/2016/20 et Corr.1 ;</w:t>
      </w:r>
      <w:r w:rsidRPr="003A2D14">
        <w:rPr>
          <w:lang w:val="fr-FR"/>
        </w:rPr>
        <w:br/>
        <w:t xml:space="preserve">documents informels GRSG-111-08, GRSG-111-09, </w:t>
      </w:r>
      <w:r w:rsidRPr="003A2D14">
        <w:rPr>
          <w:lang w:val="fr-FR"/>
        </w:rPr>
        <w:br/>
        <w:t xml:space="preserve">GRSG-111-16, GRSG-111-21, GRSG-111-28, </w:t>
      </w:r>
      <w:r w:rsidRPr="003A2D14">
        <w:rPr>
          <w:lang w:val="fr-FR"/>
        </w:rPr>
        <w:br/>
        <w:t>GRSG-111-35 et GRSG-111-36</w:t>
      </w:r>
      <w:r w:rsidR="003A031C">
        <w:rPr>
          <w:lang w:val="fr-FR"/>
        </w:rPr>
        <w:t>.</w:t>
      </w:r>
    </w:p>
    <w:p w:rsidR="003A2D14" w:rsidRPr="003A2D14" w:rsidRDefault="003A2D14" w:rsidP="009F5F9A">
      <w:pPr>
        <w:pStyle w:val="ParNoG"/>
        <w:tabs>
          <w:tab w:val="clear" w:pos="1701"/>
        </w:tabs>
        <w:rPr>
          <w:lang w:val="fr-FR"/>
        </w:rPr>
      </w:pPr>
      <w:r w:rsidRPr="003A2D14">
        <w:rPr>
          <w:lang w:val="fr-FR"/>
        </w:rPr>
        <w:t>L</w:t>
      </w:r>
      <w:r w:rsidR="006B6352">
        <w:rPr>
          <w:lang w:val="fr-FR"/>
        </w:rPr>
        <w:t>’</w:t>
      </w:r>
      <w:r w:rsidRPr="003A2D14">
        <w:rPr>
          <w:lang w:val="fr-FR"/>
        </w:rPr>
        <w:t>experte de la Belgique a rappelé le débat mené lors de la précédente session du Groupe de travail sur le document ECE/TRANS/WP.29/GRSG/2016/5 et a présenté une analyse détaillée sur la compatibilité ou l</w:t>
      </w:r>
      <w:r w:rsidR="006B6352">
        <w:rPr>
          <w:lang w:val="fr-FR"/>
        </w:rPr>
        <w:t>’</w:t>
      </w:r>
      <w:r w:rsidRPr="003A2D14">
        <w:rPr>
          <w:lang w:val="fr-FR"/>
        </w:rPr>
        <w:t>incompatibilité des champs d</w:t>
      </w:r>
      <w:r w:rsidR="006B6352">
        <w:rPr>
          <w:lang w:val="fr-FR"/>
        </w:rPr>
        <w:t>’</w:t>
      </w:r>
      <w:r w:rsidRPr="003A2D14">
        <w:rPr>
          <w:lang w:val="fr-FR"/>
        </w:rPr>
        <w:t>application et des dispositions techniques concernant les trolleybus dans les Règlements n</w:t>
      </w:r>
      <w:r w:rsidRPr="003A2D14">
        <w:rPr>
          <w:vertAlign w:val="superscript"/>
          <w:lang w:val="fr-FR"/>
        </w:rPr>
        <w:t>os</w:t>
      </w:r>
      <w:r w:rsidRPr="003A2D14">
        <w:rPr>
          <w:lang w:val="fr-FR"/>
        </w:rPr>
        <w:t> 100 et 107 (document GRSG-111-21). À l</w:t>
      </w:r>
      <w:r w:rsidR="006B6352">
        <w:rPr>
          <w:lang w:val="fr-FR"/>
        </w:rPr>
        <w:t>’</w:t>
      </w:r>
      <w:r w:rsidRPr="003A2D14">
        <w:rPr>
          <w:lang w:val="fr-FR"/>
        </w:rPr>
        <w:t>issue de cette analyse, elle a recommandé que soient pleinement harmonisées les dispositions des Règlements concernés. Elle a ajouté que supprimer les prescriptions de sécurité applicables aux trolleybus énoncées dans le Règlement n</w:t>
      </w:r>
      <w:r w:rsidRPr="003A2D14">
        <w:rPr>
          <w:vertAlign w:val="superscript"/>
          <w:lang w:val="fr-FR"/>
        </w:rPr>
        <w:t>o</w:t>
      </w:r>
      <w:r w:rsidRPr="003A2D14">
        <w:rPr>
          <w:lang w:val="fr-FR"/>
        </w:rPr>
        <w:t> 107 et les laisser dans le Règlement n</w:t>
      </w:r>
      <w:r w:rsidRPr="003A2D14">
        <w:rPr>
          <w:vertAlign w:val="superscript"/>
          <w:lang w:val="fr-FR"/>
        </w:rPr>
        <w:t>o</w:t>
      </w:r>
      <w:r w:rsidRPr="003A2D14">
        <w:rPr>
          <w:lang w:val="fr-FR"/>
        </w:rPr>
        <w:t> 100 sur la sécurité des véhicules électriques à batterie permettrait d</w:t>
      </w:r>
      <w:r w:rsidR="006B6352">
        <w:rPr>
          <w:lang w:val="fr-FR"/>
        </w:rPr>
        <w:t>’</w:t>
      </w:r>
      <w:r w:rsidRPr="003A2D14">
        <w:rPr>
          <w:lang w:val="fr-FR"/>
        </w:rPr>
        <w:t>éviter un double processus d</w:t>
      </w:r>
      <w:r w:rsidR="006B6352">
        <w:rPr>
          <w:lang w:val="fr-FR"/>
        </w:rPr>
        <w:t>’</w:t>
      </w:r>
      <w:r w:rsidRPr="003A2D14">
        <w:rPr>
          <w:lang w:val="fr-FR"/>
        </w:rPr>
        <w:t>homologation de type. Elle a annoncé son intention de présenter les résultats de l</w:t>
      </w:r>
      <w:r w:rsidR="006B6352">
        <w:rPr>
          <w:lang w:val="fr-FR"/>
        </w:rPr>
        <w:t>’</w:t>
      </w:r>
      <w:r w:rsidRPr="003A2D14">
        <w:rPr>
          <w:lang w:val="fr-FR"/>
        </w:rPr>
        <w:t>analyse aux experts du Groupe de travail de la sécurité passive (GRSP). Le Groupe de travail a salué l</w:t>
      </w:r>
      <w:r w:rsidR="006B6352">
        <w:rPr>
          <w:lang w:val="fr-FR"/>
        </w:rPr>
        <w:t>’</w:t>
      </w:r>
      <w:r w:rsidRPr="003A2D14">
        <w:rPr>
          <w:lang w:val="fr-FR"/>
        </w:rPr>
        <w:t>important travail accompli par la délégation belge.</w:t>
      </w:r>
    </w:p>
    <w:p w:rsidR="003A2D14" w:rsidRPr="003A2D14" w:rsidRDefault="003A2D14" w:rsidP="009F5F9A">
      <w:pPr>
        <w:pStyle w:val="ParNoG"/>
        <w:tabs>
          <w:tab w:val="clear" w:pos="1701"/>
        </w:tabs>
        <w:rPr>
          <w:lang w:val="fr-FR"/>
        </w:rPr>
      </w:pPr>
      <w:r w:rsidRPr="003A2D14">
        <w:rPr>
          <w:lang w:val="fr-FR"/>
        </w:rPr>
        <w:t>L</w:t>
      </w:r>
      <w:r w:rsidR="006B6352">
        <w:rPr>
          <w:lang w:val="fr-FR"/>
        </w:rPr>
        <w:t>’</w:t>
      </w:r>
      <w:r w:rsidRPr="003A2D14">
        <w:rPr>
          <w:lang w:val="fr-FR"/>
        </w:rPr>
        <w:t>expert de la France préférait que soient conservées les dispositions applicables aux trolleybus du Règlement n</w:t>
      </w:r>
      <w:r w:rsidRPr="003A2D14">
        <w:rPr>
          <w:vertAlign w:val="superscript"/>
          <w:lang w:val="fr-FR"/>
        </w:rPr>
        <w:t>o</w:t>
      </w:r>
      <w:r w:rsidRPr="003A2D14">
        <w:rPr>
          <w:lang w:val="fr-FR"/>
        </w:rPr>
        <w:t> 107. Il a ajouté qu</w:t>
      </w:r>
      <w:r w:rsidR="006B6352">
        <w:rPr>
          <w:lang w:val="fr-FR"/>
        </w:rPr>
        <w:t>’</w:t>
      </w:r>
      <w:r w:rsidRPr="003A2D14">
        <w:rPr>
          <w:lang w:val="fr-FR"/>
        </w:rPr>
        <w:t>une double homologation de type n</w:t>
      </w:r>
      <w:r w:rsidR="006B6352">
        <w:rPr>
          <w:lang w:val="fr-FR"/>
        </w:rPr>
        <w:t>’</w:t>
      </w:r>
      <w:r w:rsidRPr="003A2D14">
        <w:rPr>
          <w:lang w:val="fr-FR"/>
        </w:rPr>
        <w:t>était nécessaire que pour les véhicules hybrides et que les dispositions concernant les trolleybus du Règlement n</w:t>
      </w:r>
      <w:r w:rsidRPr="003A2D14">
        <w:rPr>
          <w:vertAlign w:val="superscript"/>
          <w:lang w:val="fr-FR"/>
        </w:rPr>
        <w:t>o</w:t>
      </w:r>
      <w:r w:rsidRPr="003A2D14">
        <w:rPr>
          <w:lang w:val="fr-FR"/>
        </w:rPr>
        <w:t> 107 demeuraient nécessaires pour les trolleybus mus par des systèmes de propulsion classiques. L</w:t>
      </w:r>
      <w:r w:rsidR="006B6352">
        <w:rPr>
          <w:lang w:val="fr-FR"/>
        </w:rPr>
        <w:t>’</w:t>
      </w:r>
      <w:r w:rsidRPr="003A2D14">
        <w:rPr>
          <w:lang w:val="fr-FR"/>
        </w:rPr>
        <w:t>expert de la Suisse a appuyé cette proposition. L</w:t>
      </w:r>
      <w:r w:rsidR="006B6352">
        <w:rPr>
          <w:lang w:val="fr-FR"/>
        </w:rPr>
        <w:t>’</w:t>
      </w:r>
      <w:r w:rsidRPr="003A2D14">
        <w:rPr>
          <w:lang w:val="fr-FR"/>
        </w:rPr>
        <w:t>expert de la Fédération de Russie a émis une réserve pour étude. L</w:t>
      </w:r>
      <w:r w:rsidR="006B6352">
        <w:rPr>
          <w:lang w:val="fr-FR"/>
        </w:rPr>
        <w:t>’</w:t>
      </w:r>
      <w:r w:rsidRPr="003A2D14">
        <w:rPr>
          <w:lang w:val="fr-FR"/>
        </w:rPr>
        <w:t>expert de l</w:t>
      </w:r>
      <w:r w:rsidR="006B6352">
        <w:rPr>
          <w:lang w:val="fr-FR"/>
        </w:rPr>
        <w:t>’</w:t>
      </w:r>
      <w:r w:rsidRPr="003A2D14">
        <w:rPr>
          <w:lang w:val="fr-FR"/>
        </w:rPr>
        <w:t>OICA a souligné la nécessité d</w:t>
      </w:r>
      <w:r w:rsidR="006B6352">
        <w:rPr>
          <w:lang w:val="fr-FR"/>
        </w:rPr>
        <w:t>’</w:t>
      </w:r>
      <w:r w:rsidRPr="003A2D14">
        <w:rPr>
          <w:lang w:val="fr-FR"/>
        </w:rPr>
        <w:t>harmoniser les dispositions relatives aux trolleybus dans les règlements de l</w:t>
      </w:r>
      <w:r w:rsidR="006B6352">
        <w:rPr>
          <w:lang w:val="fr-FR"/>
        </w:rPr>
        <w:t>’</w:t>
      </w:r>
      <w:r w:rsidRPr="003A2D14">
        <w:rPr>
          <w:lang w:val="fr-FR"/>
        </w:rPr>
        <w:t xml:space="preserve">ONU (par exemple, dans la version anglaise, remplacer </w:t>
      </w:r>
      <w:r w:rsidRPr="006732C2">
        <w:t>«</w:t>
      </w:r>
      <w:r w:rsidRPr="003A2D14">
        <w:rPr>
          <w:i/>
          <w:iCs/>
          <w:lang w:val="fr-FR"/>
        </w:rPr>
        <w:t> isolation </w:t>
      </w:r>
      <w:r w:rsidRPr="006732C2">
        <w:t>»</w:t>
      </w:r>
      <w:r w:rsidRPr="003A2D14">
        <w:rPr>
          <w:lang w:val="fr-FR"/>
        </w:rPr>
        <w:t xml:space="preserve"> par </w:t>
      </w:r>
      <w:r w:rsidRPr="006732C2">
        <w:t>«</w:t>
      </w:r>
      <w:r w:rsidRPr="003A2D14">
        <w:rPr>
          <w:i/>
          <w:iCs/>
          <w:lang w:val="fr-FR"/>
        </w:rPr>
        <w:t> insulation </w:t>
      </w:r>
      <w:r w:rsidRPr="006732C2">
        <w:t>»</w:t>
      </w:r>
      <w:r w:rsidRPr="003A2D14">
        <w:rPr>
          <w:lang w:val="fr-FR"/>
        </w:rPr>
        <w:t>).</w:t>
      </w:r>
    </w:p>
    <w:p w:rsidR="003A2D14" w:rsidRPr="003A2D14" w:rsidRDefault="003A2D14" w:rsidP="009F5F9A">
      <w:pPr>
        <w:pStyle w:val="ParNoG"/>
        <w:tabs>
          <w:tab w:val="clear" w:pos="1701"/>
        </w:tabs>
        <w:rPr>
          <w:lang w:val="fr-FR"/>
        </w:rPr>
      </w:pPr>
      <w:r w:rsidRPr="003A2D14">
        <w:rPr>
          <w:lang w:val="fr-FR"/>
        </w:rPr>
        <w:t>Se référant au débat mené au sein du Forum mondial à sa session de juin 2016 (rap</w:t>
      </w:r>
      <w:r w:rsidR="003A031C">
        <w:rPr>
          <w:lang w:val="fr-FR"/>
        </w:rPr>
        <w:t>port ECE/TRANS/WP.29/1123, par. </w:t>
      </w:r>
      <w:r w:rsidRPr="003A2D14">
        <w:rPr>
          <w:lang w:val="fr-FR"/>
        </w:rPr>
        <w:t>30), le Groupe de travail a décidé de faire appel aux experts du Groupe de travail de l</w:t>
      </w:r>
      <w:r w:rsidR="006B6352">
        <w:rPr>
          <w:lang w:val="fr-FR"/>
        </w:rPr>
        <w:t>’</w:t>
      </w:r>
      <w:r w:rsidRPr="003A2D14">
        <w:rPr>
          <w:lang w:val="fr-FR"/>
        </w:rPr>
        <w:t>éclairage et de la signalisation lumineuse (GRE) et du Groupe de travail de la sécurité passive (GRSP) à leurs sessions suivantes. Le Groupe de travail a décidé de prendre une décision définitive sur cette question à sa session suivante, prévue en avril 2017, en attendant le résultat des débats au sein du GRE et du GRSP. À</w:t>
      </w:r>
      <w:r w:rsidR="003A031C">
        <w:rPr>
          <w:lang w:val="fr-FR"/>
        </w:rPr>
        <w:t> </w:t>
      </w:r>
      <w:r w:rsidRPr="003A2D14">
        <w:rPr>
          <w:lang w:val="fr-FR"/>
        </w:rPr>
        <w:t>cette fin, le secrétariat a été invité à conserver le document informel GRSG-111-21 à l</w:t>
      </w:r>
      <w:r w:rsidR="006B6352">
        <w:rPr>
          <w:lang w:val="fr-FR"/>
        </w:rPr>
        <w:t>’</w:t>
      </w:r>
      <w:r w:rsidRPr="003A2D14">
        <w:rPr>
          <w:lang w:val="fr-FR"/>
        </w:rPr>
        <w:t>ordre du jour à titre de référence.</w:t>
      </w:r>
    </w:p>
    <w:p w:rsidR="003A2D14" w:rsidRPr="003A2D14" w:rsidRDefault="003A2D14" w:rsidP="009F5F9A">
      <w:pPr>
        <w:pStyle w:val="ParNoG"/>
        <w:tabs>
          <w:tab w:val="clear" w:pos="1701"/>
        </w:tabs>
        <w:rPr>
          <w:lang w:val="fr-FR"/>
        </w:rPr>
      </w:pPr>
      <w:r w:rsidRPr="003A2D14">
        <w:rPr>
          <w:lang w:val="fr-FR"/>
        </w:rPr>
        <w:t>L</w:t>
      </w:r>
      <w:r w:rsidR="006B6352">
        <w:rPr>
          <w:lang w:val="fr-FR"/>
        </w:rPr>
        <w:t>’</w:t>
      </w:r>
      <w:r w:rsidRPr="003A2D14">
        <w:rPr>
          <w:lang w:val="fr-FR"/>
        </w:rPr>
        <w:t>expert de l</w:t>
      </w:r>
      <w:r w:rsidR="006B6352">
        <w:rPr>
          <w:lang w:val="fr-FR"/>
        </w:rPr>
        <w:t>’</w:t>
      </w:r>
      <w:r w:rsidRPr="003A2D14">
        <w:rPr>
          <w:lang w:val="fr-FR"/>
        </w:rPr>
        <w:t>Allemagne a proposé des amendements au Règlement n</w:t>
      </w:r>
      <w:r w:rsidRPr="003A2D14">
        <w:rPr>
          <w:vertAlign w:val="superscript"/>
          <w:lang w:val="fr-FR"/>
        </w:rPr>
        <w:t>o</w:t>
      </w:r>
      <w:r w:rsidRPr="003A2D14">
        <w:rPr>
          <w:lang w:val="fr-FR"/>
        </w:rPr>
        <w:t> 107 afin d</w:t>
      </w:r>
      <w:r w:rsidR="006B6352">
        <w:rPr>
          <w:lang w:val="fr-FR"/>
        </w:rPr>
        <w:t>’</w:t>
      </w:r>
      <w:r w:rsidRPr="003A2D14">
        <w:rPr>
          <w:lang w:val="fr-FR"/>
        </w:rPr>
        <w:t>améliorer l</w:t>
      </w:r>
      <w:r w:rsidR="006B6352">
        <w:rPr>
          <w:lang w:val="fr-FR"/>
        </w:rPr>
        <w:t>’</w:t>
      </w:r>
      <w:r w:rsidRPr="003A2D14">
        <w:rPr>
          <w:lang w:val="fr-FR"/>
        </w:rPr>
        <w:t>aménagement et l</w:t>
      </w:r>
      <w:r w:rsidR="006B6352">
        <w:rPr>
          <w:lang w:val="fr-FR"/>
        </w:rPr>
        <w:t>’</w:t>
      </w:r>
      <w:r w:rsidRPr="003A2D14">
        <w:rPr>
          <w:lang w:val="fr-FR"/>
        </w:rPr>
        <w:t>accessibilité pour les voyageurs à mobilité réduite (ECE/TRANS/WP.29/GRSG/2016/20 et Corr.1), y compris de nouvelles dispositions relatives aux essais afin de garantir le contraste visuel de certains éléments des dispositifs de sécurité et l</w:t>
      </w:r>
      <w:r w:rsidR="006B6352">
        <w:rPr>
          <w:lang w:val="fr-FR"/>
        </w:rPr>
        <w:t>’</w:t>
      </w:r>
      <w:r w:rsidRPr="003A2D14">
        <w:rPr>
          <w:lang w:val="fr-FR"/>
        </w:rPr>
        <w:t>installation de haut-parleurs. L</w:t>
      </w:r>
      <w:r w:rsidR="006B6352">
        <w:rPr>
          <w:lang w:val="fr-FR"/>
        </w:rPr>
        <w:t>’</w:t>
      </w:r>
      <w:r w:rsidRPr="003A2D14">
        <w:rPr>
          <w:lang w:val="fr-FR"/>
        </w:rPr>
        <w:t>expert du Japon a présenté le document GRSG-111-28 relatif aux activités menées dans son pays pour créer les conditions juridiques nécessaires à la mise en place de systèmes de transports publics sans obstacles. Il a présenté le document GRSG-111-36 dans lequel sont décrites les spécifications des autobus sans marche d</w:t>
      </w:r>
      <w:r w:rsidR="006B6352">
        <w:rPr>
          <w:lang w:val="fr-FR"/>
        </w:rPr>
        <w:t>’</w:t>
      </w:r>
      <w:r w:rsidRPr="003A2D14">
        <w:rPr>
          <w:lang w:val="fr-FR"/>
        </w:rPr>
        <w:t>accès. L</w:t>
      </w:r>
      <w:r w:rsidR="006B6352">
        <w:rPr>
          <w:lang w:val="fr-FR"/>
        </w:rPr>
        <w:t>’</w:t>
      </w:r>
      <w:r w:rsidRPr="003A2D14">
        <w:rPr>
          <w:lang w:val="fr-FR"/>
        </w:rPr>
        <w:t>expert de l</w:t>
      </w:r>
      <w:r w:rsidR="006B6352">
        <w:rPr>
          <w:lang w:val="fr-FR"/>
        </w:rPr>
        <w:t>’</w:t>
      </w:r>
      <w:r w:rsidRPr="003A2D14">
        <w:rPr>
          <w:lang w:val="fr-FR"/>
        </w:rPr>
        <w:t>Union internationale des transports publics s</w:t>
      </w:r>
      <w:r w:rsidR="006B6352">
        <w:rPr>
          <w:lang w:val="fr-FR"/>
        </w:rPr>
        <w:t>’</w:t>
      </w:r>
      <w:r w:rsidRPr="003A2D14">
        <w:rPr>
          <w:lang w:val="fr-FR"/>
        </w:rPr>
        <w:t>est félicité de toutes ces initiatives, mais a rappelé au Groupe de travail la nécessité d</w:t>
      </w:r>
      <w:r w:rsidR="006B6352">
        <w:rPr>
          <w:lang w:val="fr-FR"/>
        </w:rPr>
        <w:t>’</w:t>
      </w:r>
      <w:r w:rsidRPr="003A2D14">
        <w:rPr>
          <w:lang w:val="fr-FR"/>
        </w:rPr>
        <w:t>éviter des restrictions relatives à la conception et de limiter ces dispositions à certains véhicules de la catégorie M</w:t>
      </w:r>
      <w:r w:rsidRPr="003A2D14">
        <w:rPr>
          <w:vertAlign w:val="subscript"/>
          <w:lang w:val="fr-FR"/>
        </w:rPr>
        <w:t>3</w:t>
      </w:r>
      <w:r w:rsidRPr="003A2D14">
        <w:rPr>
          <w:lang w:val="fr-FR"/>
        </w:rPr>
        <w:t xml:space="preserve"> seulement. L</w:t>
      </w:r>
      <w:r w:rsidR="006B6352">
        <w:rPr>
          <w:lang w:val="fr-FR"/>
        </w:rPr>
        <w:t>’</w:t>
      </w:r>
      <w:r w:rsidRPr="003A2D14">
        <w:rPr>
          <w:lang w:val="fr-FR"/>
        </w:rPr>
        <w:t>expert du Royaume-Uni s</w:t>
      </w:r>
      <w:r w:rsidR="006B6352">
        <w:rPr>
          <w:lang w:val="fr-FR"/>
        </w:rPr>
        <w:t>’</w:t>
      </w:r>
      <w:r w:rsidRPr="003A2D14">
        <w:rPr>
          <w:lang w:val="fr-FR"/>
        </w:rPr>
        <w:t>est joint à cette préoccupation. Plusieurs experts ont estimé que tous les aspects relatifs à l</w:t>
      </w:r>
      <w:r w:rsidR="006B6352">
        <w:rPr>
          <w:lang w:val="fr-FR"/>
        </w:rPr>
        <w:t>’</w:t>
      </w:r>
      <w:r w:rsidRPr="003A2D14">
        <w:rPr>
          <w:lang w:val="fr-FR"/>
        </w:rPr>
        <w:t>environnement et la santé (tels que les conditions d</w:t>
      </w:r>
      <w:r w:rsidR="006B6352">
        <w:rPr>
          <w:lang w:val="fr-FR"/>
        </w:rPr>
        <w:t>’</w:t>
      </w:r>
      <w:r w:rsidRPr="003A2D14">
        <w:rPr>
          <w:lang w:val="fr-FR"/>
        </w:rPr>
        <w:t>hygiène, les spécifications colorimétriques et les questions de visibilité et de contraste) devaient être réglementés au niveau national ou régional. L</w:t>
      </w:r>
      <w:r w:rsidR="006B6352">
        <w:rPr>
          <w:lang w:val="fr-FR"/>
        </w:rPr>
        <w:t>’</w:t>
      </w:r>
      <w:r w:rsidRPr="003A2D14">
        <w:rPr>
          <w:lang w:val="fr-FR"/>
        </w:rPr>
        <w:t>expert de la Belgique aurait préféré que ces dispositions, si elles étaient nécessaires, ne soient énoncées qu</w:t>
      </w:r>
      <w:r w:rsidR="006B6352">
        <w:rPr>
          <w:lang w:val="fr-FR"/>
        </w:rPr>
        <w:t>’</w:t>
      </w:r>
      <w:r w:rsidRPr="003A2D14">
        <w:rPr>
          <w:lang w:val="fr-FR"/>
        </w:rPr>
        <w:t>à titre de prescriptions facultatives.</w:t>
      </w:r>
    </w:p>
    <w:p w:rsidR="003A2D14" w:rsidRPr="003A2D14" w:rsidRDefault="003A2D14" w:rsidP="009F5F9A">
      <w:pPr>
        <w:pStyle w:val="ParNoG"/>
        <w:tabs>
          <w:tab w:val="clear" w:pos="1701"/>
        </w:tabs>
        <w:rPr>
          <w:lang w:val="fr-FR"/>
        </w:rPr>
      </w:pPr>
      <w:r w:rsidRPr="003A2D14">
        <w:rPr>
          <w:lang w:val="fr-FR"/>
        </w:rPr>
        <w:t>Le Groupe de travail a pris note des observations de l</w:t>
      </w:r>
      <w:r w:rsidR="006B6352">
        <w:rPr>
          <w:lang w:val="fr-FR"/>
        </w:rPr>
        <w:t>’</w:t>
      </w:r>
      <w:r w:rsidRPr="003A2D14">
        <w:rPr>
          <w:lang w:val="fr-FR"/>
        </w:rPr>
        <w:t>IRU selon lesquelles les nouvelles modifications proposées par l</w:t>
      </w:r>
      <w:r w:rsidR="006B6352">
        <w:rPr>
          <w:lang w:val="fr-FR"/>
        </w:rPr>
        <w:t>’</w:t>
      </w:r>
      <w:r w:rsidRPr="003A2D14">
        <w:rPr>
          <w:lang w:val="fr-FR"/>
        </w:rPr>
        <w:t>Allemagne risquaient d</w:t>
      </w:r>
      <w:r w:rsidR="006B6352">
        <w:rPr>
          <w:lang w:val="fr-FR"/>
        </w:rPr>
        <w:t>’</w:t>
      </w:r>
      <w:r w:rsidRPr="003A2D14">
        <w:rPr>
          <w:lang w:val="fr-FR"/>
        </w:rPr>
        <w:t>alourdir les contraintes imposées aux transporteurs routiers sans améliorer la sécurité routière (document GRSG-111-16). Les experts du CLCCR et de l</w:t>
      </w:r>
      <w:r w:rsidR="006B6352">
        <w:rPr>
          <w:lang w:val="fr-FR"/>
        </w:rPr>
        <w:t>’</w:t>
      </w:r>
      <w:r w:rsidRPr="003A2D14">
        <w:rPr>
          <w:lang w:val="fr-FR"/>
        </w:rPr>
        <w:t>OICA ont dit partager ces préoccupations. Le Président a invité tous les experts à faire part de leurs observations par écrit à l</w:t>
      </w:r>
      <w:r w:rsidR="006B6352">
        <w:rPr>
          <w:lang w:val="fr-FR"/>
        </w:rPr>
        <w:t>’</w:t>
      </w:r>
      <w:r w:rsidRPr="003A2D14">
        <w:rPr>
          <w:lang w:val="fr-FR"/>
        </w:rPr>
        <w:t>expert de l</w:t>
      </w:r>
      <w:r w:rsidR="006B6352">
        <w:rPr>
          <w:lang w:val="fr-FR"/>
        </w:rPr>
        <w:t>’</w:t>
      </w:r>
      <w:r w:rsidRPr="003A2D14">
        <w:rPr>
          <w:lang w:val="fr-FR"/>
        </w:rPr>
        <w:t>Allemagne. Le Groupe de travail a décidé de reprendre à sa session suivante, prévue en avril 2017, l</w:t>
      </w:r>
      <w:r w:rsidR="006B6352">
        <w:rPr>
          <w:lang w:val="fr-FR"/>
        </w:rPr>
        <w:t>’</w:t>
      </w:r>
      <w:r w:rsidRPr="003A2D14">
        <w:rPr>
          <w:lang w:val="fr-FR"/>
        </w:rPr>
        <w:t>examen du document ECE/TRANS/WP.29/GRSG/2016/20 tel que repris</w:t>
      </w:r>
      <w:r w:rsidR="002A750C">
        <w:rPr>
          <w:lang w:val="fr-FR"/>
        </w:rPr>
        <w:t xml:space="preserve"> dans le document informel GRSG</w:t>
      </w:r>
      <w:r w:rsidRPr="003A2D14">
        <w:rPr>
          <w:lang w:val="fr-FR"/>
        </w:rPr>
        <w:t>-111-35, sur la base d</w:t>
      </w:r>
      <w:r w:rsidR="006B6352">
        <w:rPr>
          <w:lang w:val="fr-FR"/>
        </w:rPr>
        <w:t>’</w:t>
      </w:r>
      <w:r w:rsidRPr="003A2D14">
        <w:rPr>
          <w:lang w:val="fr-FR"/>
        </w:rPr>
        <w:t>un document révisé qui serait soumis par l</w:t>
      </w:r>
      <w:r w:rsidR="006B6352">
        <w:rPr>
          <w:lang w:val="fr-FR"/>
        </w:rPr>
        <w:t>’</w:t>
      </w:r>
      <w:r w:rsidRPr="003A2D14">
        <w:rPr>
          <w:lang w:val="fr-FR"/>
        </w:rPr>
        <w:t>Allemagne.</w:t>
      </w:r>
    </w:p>
    <w:p w:rsidR="003A2D14" w:rsidRPr="003A2D14" w:rsidRDefault="003A2D14" w:rsidP="009F5F9A">
      <w:pPr>
        <w:pStyle w:val="ParNoG"/>
        <w:tabs>
          <w:tab w:val="clear" w:pos="1701"/>
        </w:tabs>
        <w:rPr>
          <w:lang w:val="fr-FR"/>
        </w:rPr>
      </w:pPr>
      <w:r w:rsidRPr="003A2D14">
        <w:rPr>
          <w:lang w:val="fr-FR"/>
        </w:rPr>
        <w:t>L</w:t>
      </w:r>
      <w:r w:rsidR="006B6352">
        <w:rPr>
          <w:lang w:val="fr-FR"/>
        </w:rPr>
        <w:t>’</w:t>
      </w:r>
      <w:r w:rsidRPr="003A2D14">
        <w:rPr>
          <w:lang w:val="fr-FR"/>
        </w:rPr>
        <w:t>expert de l</w:t>
      </w:r>
      <w:r w:rsidR="006B6352">
        <w:rPr>
          <w:lang w:val="fr-FR"/>
        </w:rPr>
        <w:t>’</w:t>
      </w:r>
      <w:r w:rsidRPr="003A2D14">
        <w:rPr>
          <w:lang w:val="fr-FR"/>
        </w:rPr>
        <w:t>OICA a présenté le document GRSG-111-08, dans lequel sont corrigées les références de certains paragraphes du Règlement. Le Groupe de travail a adopté les amendements ci-après et a demandé au secrétariat de les soumettre au Forum mondial et au Comité d</w:t>
      </w:r>
      <w:r w:rsidR="006B6352">
        <w:rPr>
          <w:lang w:val="fr-FR"/>
        </w:rPr>
        <w:t>’</w:t>
      </w:r>
      <w:r w:rsidRPr="003A2D14">
        <w:rPr>
          <w:lang w:val="fr-FR"/>
        </w:rPr>
        <w:t>administration pour examen à leurs sessions de mars 2017, en tant que projet de rectificatif aux séries 06 et 07 d</w:t>
      </w:r>
      <w:r w:rsidR="006B6352">
        <w:rPr>
          <w:lang w:val="fr-FR"/>
        </w:rPr>
        <w:t>’</w:t>
      </w:r>
      <w:r w:rsidRPr="003A2D14">
        <w:rPr>
          <w:lang w:val="fr-FR"/>
        </w:rPr>
        <w:t>amendements au Règlement n</w:t>
      </w:r>
      <w:r w:rsidRPr="003A2D14">
        <w:rPr>
          <w:vertAlign w:val="superscript"/>
          <w:lang w:val="fr-FR"/>
        </w:rPr>
        <w:t>o</w:t>
      </w:r>
      <w:r w:rsidRPr="003A2D14">
        <w:rPr>
          <w:lang w:val="fr-FR"/>
        </w:rPr>
        <w:t> 107.</w:t>
      </w:r>
    </w:p>
    <w:p w:rsidR="003A2D14" w:rsidRPr="00433EDF" w:rsidRDefault="003A031C" w:rsidP="003A2D14">
      <w:pPr>
        <w:pStyle w:val="SingleTxtG"/>
        <w:rPr>
          <w:lang w:val="fr-FR"/>
        </w:rPr>
      </w:pPr>
      <w:r>
        <w:rPr>
          <w:i/>
          <w:iCs/>
          <w:lang w:val="fr-FR"/>
        </w:rPr>
        <w:t>Annexe </w:t>
      </w:r>
      <w:r w:rsidR="003A2D14" w:rsidRPr="003A2D14">
        <w:rPr>
          <w:i/>
          <w:iCs/>
          <w:lang w:val="fr-FR"/>
        </w:rPr>
        <w:t>3, paragraphe 7.7.9.1</w:t>
      </w:r>
      <w:r w:rsidR="003A2D14" w:rsidRPr="003A031C">
        <w:t xml:space="preserve">, </w:t>
      </w:r>
      <w:r w:rsidR="003A2D14" w:rsidRPr="003A2D14">
        <w:rPr>
          <w:lang w:val="fr-FR"/>
        </w:rPr>
        <w:t xml:space="preserve">remplacer le renvoi au paragraphe 7.6.11.4 par un renvoi au </w:t>
      </w:r>
      <w:r w:rsidR="003A2D14" w:rsidRPr="00433EDF">
        <w:rPr>
          <w:lang w:val="fr-FR"/>
        </w:rPr>
        <w:t xml:space="preserve">paragraphe </w:t>
      </w:r>
      <w:r w:rsidR="003A2D14" w:rsidRPr="00433EDF">
        <w:rPr>
          <w:b/>
          <w:lang w:val="fr-FR"/>
        </w:rPr>
        <w:t>7.6.11.8</w:t>
      </w:r>
      <w:r w:rsidR="003A2D14" w:rsidRPr="00433EDF">
        <w:rPr>
          <w:lang w:val="fr-FR"/>
        </w:rPr>
        <w:t>.</w:t>
      </w:r>
    </w:p>
    <w:p w:rsidR="003A2D14" w:rsidRPr="003A2D14" w:rsidRDefault="003A031C" w:rsidP="003A2D14">
      <w:pPr>
        <w:pStyle w:val="SingleTxtG"/>
        <w:rPr>
          <w:b/>
          <w:lang w:val="fr-FR"/>
        </w:rPr>
      </w:pPr>
      <w:r w:rsidRPr="00433EDF">
        <w:rPr>
          <w:i/>
          <w:lang w:val="fr-FR"/>
        </w:rPr>
        <w:t>Annexe </w:t>
      </w:r>
      <w:r w:rsidR="003A2D14" w:rsidRPr="00433EDF">
        <w:rPr>
          <w:i/>
          <w:lang w:val="fr-FR"/>
        </w:rPr>
        <w:t>8, paragraphes 3.7.3, 3.7.4, et 3.8.4.1.6</w:t>
      </w:r>
      <w:r w:rsidR="003A2D14" w:rsidRPr="00433EDF">
        <w:rPr>
          <w:lang w:val="fr-FR"/>
        </w:rPr>
        <w:t xml:space="preserve">, remplacer les renvois au paragraphe 7.6.11.4 par un renvoi au paragraphe </w:t>
      </w:r>
      <w:r w:rsidR="003A2D14" w:rsidRPr="00433EDF">
        <w:rPr>
          <w:b/>
          <w:lang w:val="fr-FR"/>
        </w:rPr>
        <w:t>7.6.11.8</w:t>
      </w:r>
      <w:r w:rsidR="003A2D14" w:rsidRPr="00433EDF">
        <w:rPr>
          <w:lang w:val="fr-FR"/>
        </w:rPr>
        <w:t>.</w:t>
      </w:r>
    </w:p>
    <w:p w:rsidR="003A2D14" w:rsidRPr="003A2D14" w:rsidRDefault="003A2D14" w:rsidP="009F5F9A">
      <w:pPr>
        <w:pStyle w:val="ParNoG"/>
        <w:tabs>
          <w:tab w:val="clear" w:pos="1701"/>
        </w:tabs>
        <w:rPr>
          <w:lang w:val="fr-FR"/>
        </w:rPr>
      </w:pPr>
      <w:r w:rsidRPr="003A2D14">
        <w:rPr>
          <w:lang w:val="fr-FR"/>
        </w:rPr>
        <w:t>L</w:t>
      </w:r>
      <w:r w:rsidR="006B6352">
        <w:rPr>
          <w:lang w:val="fr-FR"/>
        </w:rPr>
        <w:t>’</w:t>
      </w:r>
      <w:r w:rsidRPr="003A2D14">
        <w:rPr>
          <w:lang w:val="fr-FR"/>
        </w:rPr>
        <w:t>expert de l</w:t>
      </w:r>
      <w:r w:rsidR="006B6352">
        <w:rPr>
          <w:lang w:val="fr-FR"/>
        </w:rPr>
        <w:t>’</w:t>
      </w:r>
      <w:r w:rsidRPr="003A2D14">
        <w:rPr>
          <w:lang w:val="fr-FR"/>
        </w:rPr>
        <w:t>OICA a présenté le document GRSG-111-09 visant à harmoniser les dispositions du Règlement n</w:t>
      </w:r>
      <w:r w:rsidRPr="003A2D14">
        <w:rPr>
          <w:vertAlign w:val="superscript"/>
          <w:lang w:val="fr-FR"/>
        </w:rPr>
        <w:t>o</w:t>
      </w:r>
      <w:r w:rsidRPr="003A2D14">
        <w:rPr>
          <w:lang w:val="fr-FR"/>
        </w:rPr>
        <w:t> 107 avec celles du règlement n</w:t>
      </w:r>
      <w:r w:rsidRPr="003A2D14">
        <w:rPr>
          <w:vertAlign w:val="superscript"/>
          <w:lang w:val="fr-FR"/>
        </w:rPr>
        <w:t>o</w:t>
      </w:r>
      <w:r w:rsidRPr="003A2D14">
        <w:rPr>
          <w:lang w:val="fr-FR"/>
        </w:rPr>
        <w:t> 1230/2012 de l</w:t>
      </w:r>
      <w:r w:rsidR="006B6352">
        <w:rPr>
          <w:lang w:val="fr-FR"/>
        </w:rPr>
        <w:t>’</w:t>
      </w:r>
      <w:r w:rsidRPr="003A2D14">
        <w:rPr>
          <w:lang w:val="fr-FR"/>
        </w:rPr>
        <w:t>Union européenne relatif aux masses et dimensions dans la définition de la « masse en ordre de marche ». L</w:t>
      </w:r>
      <w:r w:rsidR="006B6352">
        <w:rPr>
          <w:lang w:val="fr-FR"/>
        </w:rPr>
        <w:t>’</w:t>
      </w:r>
      <w:r w:rsidRPr="003A2D14">
        <w:rPr>
          <w:lang w:val="fr-FR"/>
        </w:rPr>
        <w:t>expert de la France a également suggéré de modifier l</w:t>
      </w:r>
      <w:r w:rsidR="006B6352">
        <w:rPr>
          <w:lang w:val="fr-FR"/>
        </w:rPr>
        <w:t>’</w:t>
      </w:r>
      <w:r w:rsidR="003A031C">
        <w:rPr>
          <w:lang w:val="fr-FR"/>
        </w:rPr>
        <w:t>annexe </w:t>
      </w:r>
      <w:r w:rsidRPr="003A2D14">
        <w:rPr>
          <w:lang w:val="fr-FR"/>
        </w:rPr>
        <w:t>11. Le Groupe de travail a accueilli favorablement la proposition et a décidé de reprendre l</w:t>
      </w:r>
      <w:r w:rsidR="006B6352">
        <w:rPr>
          <w:lang w:val="fr-FR"/>
        </w:rPr>
        <w:t>’</w:t>
      </w:r>
      <w:r w:rsidRPr="003A2D14">
        <w:rPr>
          <w:lang w:val="fr-FR"/>
        </w:rPr>
        <w:t>examen de cette question à sa session suivante sur la base d</w:t>
      </w:r>
      <w:r w:rsidR="006B6352">
        <w:rPr>
          <w:lang w:val="fr-FR"/>
        </w:rPr>
        <w:t>’</w:t>
      </w:r>
      <w:r w:rsidRPr="003A2D14">
        <w:rPr>
          <w:lang w:val="fr-FR"/>
        </w:rPr>
        <w:t>une proposition révisée que soumettrait l</w:t>
      </w:r>
      <w:r w:rsidR="006B6352">
        <w:rPr>
          <w:lang w:val="fr-FR"/>
        </w:rPr>
        <w:t>’</w:t>
      </w:r>
      <w:r w:rsidRPr="003A2D14">
        <w:rPr>
          <w:lang w:val="fr-FR"/>
        </w:rPr>
        <w:t>OICA.</w:t>
      </w:r>
    </w:p>
    <w:p w:rsidR="003A2D14" w:rsidRPr="003A2D14" w:rsidRDefault="003A2D14" w:rsidP="003A031C">
      <w:pPr>
        <w:pStyle w:val="HChG"/>
        <w:rPr>
          <w:lang w:val="fr-FR"/>
        </w:rPr>
      </w:pPr>
      <w:r w:rsidRPr="003A2D14">
        <w:rPr>
          <w:lang w:val="fr-FR"/>
        </w:rPr>
        <w:tab/>
        <w:t>IV.</w:t>
      </w:r>
      <w:r w:rsidRPr="003A2D14">
        <w:rPr>
          <w:lang w:val="fr-FR"/>
        </w:rPr>
        <w:tab/>
        <w:t>Règlement n</w:t>
      </w:r>
      <w:r w:rsidRPr="003A2D14">
        <w:rPr>
          <w:vertAlign w:val="superscript"/>
          <w:lang w:val="fr-FR"/>
        </w:rPr>
        <w:t>o</w:t>
      </w:r>
      <w:r w:rsidRPr="003A2D14">
        <w:rPr>
          <w:lang w:val="fr-FR"/>
        </w:rPr>
        <w:t xml:space="preserve"> 39 </w:t>
      </w:r>
      <w:r w:rsidR="003A031C">
        <w:rPr>
          <w:lang w:val="fr-FR"/>
        </w:rPr>
        <w:t xml:space="preserve">(Indicateur de vitesse) </w:t>
      </w:r>
      <w:r w:rsidR="003A031C">
        <w:rPr>
          <w:lang w:val="fr-FR"/>
        </w:rPr>
        <w:br/>
        <w:t>(point </w:t>
      </w:r>
      <w:r w:rsidRPr="003A2D14">
        <w:rPr>
          <w:lang w:val="fr-FR"/>
        </w:rPr>
        <w:t>3 de l</w:t>
      </w:r>
      <w:r w:rsidR="006B6352">
        <w:rPr>
          <w:lang w:val="fr-FR"/>
        </w:rPr>
        <w:t>’</w:t>
      </w:r>
      <w:r w:rsidRPr="003A2D14">
        <w:rPr>
          <w:lang w:val="fr-FR"/>
        </w:rPr>
        <w:t>ordre du jour)</w:t>
      </w:r>
    </w:p>
    <w:p w:rsidR="003A2D14" w:rsidRPr="003A2D14" w:rsidRDefault="003A2D14" w:rsidP="003A031C">
      <w:pPr>
        <w:pStyle w:val="SingleTxtG"/>
        <w:ind w:left="2268" w:hanging="1134"/>
        <w:jc w:val="left"/>
        <w:rPr>
          <w:lang w:val="fr-FR"/>
        </w:rPr>
      </w:pPr>
      <w:r w:rsidRPr="003A2D14">
        <w:rPr>
          <w:i/>
          <w:lang w:val="fr-FR"/>
        </w:rPr>
        <w:t>Documents </w:t>
      </w:r>
      <w:r w:rsidRPr="002A750C">
        <w:t>:</w:t>
      </w:r>
      <w:r w:rsidRPr="002A750C">
        <w:tab/>
      </w:r>
      <w:r w:rsidRPr="003A2D14">
        <w:rPr>
          <w:lang w:val="fr-FR"/>
        </w:rPr>
        <w:t xml:space="preserve">ECE/TRANS/WP.29/GRSG/2015/16 et Corr.1, ECE/TRANS/WP.29/GRSG/2016/25 ; </w:t>
      </w:r>
      <w:r w:rsidRPr="003A2D14">
        <w:rPr>
          <w:lang w:val="fr-FR"/>
        </w:rPr>
        <w:br/>
        <w:t>documents informels GRSG-109-13 et GRSG-111-10</w:t>
      </w:r>
      <w:r w:rsidR="003A031C">
        <w:rPr>
          <w:lang w:val="fr-FR"/>
        </w:rPr>
        <w:t>.</w:t>
      </w:r>
    </w:p>
    <w:p w:rsidR="003A2D14" w:rsidRPr="003A2D14" w:rsidRDefault="003A2D14" w:rsidP="009F5F9A">
      <w:pPr>
        <w:pStyle w:val="ParNoG"/>
        <w:tabs>
          <w:tab w:val="clear" w:pos="1701"/>
        </w:tabs>
        <w:rPr>
          <w:lang w:val="fr-FR"/>
        </w:rPr>
      </w:pPr>
      <w:r w:rsidRPr="003A2D14">
        <w:rPr>
          <w:lang w:val="fr-FR"/>
        </w:rPr>
        <w:t>L</w:t>
      </w:r>
      <w:r w:rsidR="006B6352">
        <w:rPr>
          <w:lang w:val="fr-FR"/>
        </w:rPr>
        <w:t>’</w:t>
      </w:r>
      <w:r w:rsidRPr="003A2D14">
        <w:rPr>
          <w:lang w:val="fr-FR"/>
        </w:rPr>
        <w:t>expert de la Commission européenne a présenté le document ECE/TRANS/WP.29/GRSG/2016/25, dans lequel il est proposé d</w:t>
      </w:r>
      <w:r w:rsidR="006B6352">
        <w:rPr>
          <w:lang w:val="fr-FR"/>
        </w:rPr>
        <w:t>’</w:t>
      </w:r>
      <w:r w:rsidRPr="003A2D14">
        <w:rPr>
          <w:lang w:val="fr-FR"/>
        </w:rPr>
        <w:t>adapter les dispositions du Règlement au progrès technique et de préciser les spécifications relatives à l</w:t>
      </w:r>
      <w:r w:rsidR="006B6352">
        <w:rPr>
          <w:lang w:val="fr-FR"/>
        </w:rPr>
        <w:t>’</w:t>
      </w:r>
      <w:r w:rsidRPr="003A2D14">
        <w:rPr>
          <w:lang w:val="fr-FR"/>
        </w:rPr>
        <w:t>affichage numérique des indicateurs de vitesse. L</w:t>
      </w:r>
      <w:r w:rsidR="006B6352">
        <w:rPr>
          <w:lang w:val="fr-FR"/>
        </w:rPr>
        <w:t>’</w:t>
      </w:r>
      <w:r w:rsidRPr="003A2D14">
        <w:rPr>
          <w:lang w:val="fr-FR"/>
        </w:rPr>
        <w:t>expert de l</w:t>
      </w:r>
      <w:r w:rsidR="006B6352">
        <w:rPr>
          <w:lang w:val="fr-FR"/>
        </w:rPr>
        <w:t>’</w:t>
      </w:r>
      <w:r w:rsidRPr="003A2D14">
        <w:rPr>
          <w:lang w:val="fr-FR"/>
        </w:rPr>
        <w:t>OICA a présenté le document GRSG</w:t>
      </w:r>
      <w:r w:rsidR="003A031C">
        <w:rPr>
          <w:lang w:val="fr-FR"/>
        </w:rPr>
        <w:noBreakHyphen/>
      </w:r>
      <w:r w:rsidRPr="003A2D14">
        <w:rPr>
          <w:lang w:val="fr-FR"/>
        </w:rPr>
        <w:t>111-10 visant à corriger une référe</w:t>
      </w:r>
      <w:r w:rsidR="003A031C">
        <w:rPr>
          <w:lang w:val="fr-FR"/>
        </w:rPr>
        <w:t>nce dans la note de bas de page 2 au paragraphe </w:t>
      </w:r>
      <w:r w:rsidRPr="003A2D14">
        <w:rPr>
          <w:lang w:val="fr-FR"/>
        </w:rPr>
        <w:t>2.5 du Règlement.</w:t>
      </w:r>
    </w:p>
    <w:p w:rsidR="003A2D14" w:rsidRPr="003A2D14" w:rsidRDefault="003A2D14" w:rsidP="009F5F9A">
      <w:pPr>
        <w:pStyle w:val="ParNoG"/>
        <w:tabs>
          <w:tab w:val="clear" w:pos="1701"/>
        </w:tabs>
        <w:rPr>
          <w:lang w:val="fr-FR"/>
        </w:rPr>
      </w:pPr>
      <w:r w:rsidRPr="003A2D14">
        <w:rPr>
          <w:lang w:val="fr-FR"/>
        </w:rPr>
        <w:t>Le Groupe de travail a adopté le document ECE/TRANS/WP.29/GRSG/2016/25 tel qu</w:t>
      </w:r>
      <w:r w:rsidR="006B6352">
        <w:rPr>
          <w:lang w:val="fr-FR"/>
        </w:rPr>
        <w:t>’</w:t>
      </w:r>
      <w:r w:rsidRPr="003A2D14">
        <w:rPr>
          <w:lang w:val="fr-FR"/>
        </w:rPr>
        <w:t>amendé ci-dessous et a chargé le secrétariat de le soumettre au Forum mondial et au Comité d</w:t>
      </w:r>
      <w:r w:rsidR="006B6352">
        <w:rPr>
          <w:lang w:val="fr-FR"/>
        </w:rPr>
        <w:t>’</w:t>
      </w:r>
      <w:r w:rsidRPr="003A2D14">
        <w:rPr>
          <w:lang w:val="fr-FR"/>
        </w:rPr>
        <w:t>administration aux fins d</w:t>
      </w:r>
      <w:r w:rsidR="006B6352">
        <w:rPr>
          <w:lang w:val="fr-FR"/>
        </w:rPr>
        <w:t>’</w:t>
      </w:r>
      <w:r w:rsidRPr="003A2D14">
        <w:rPr>
          <w:lang w:val="fr-FR"/>
        </w:rPr>
        <w:t>examen à leurs sessions de mars 2017, en tant que projet de complément 1 à la série 01 d</w:t>
      </w:r>
      <w:r w:rsidR="006B6352">
        <w:rPr>
          <w:lang w:val="fr-FR"/>
        </w:rPr>
        <w:t>’</w:t>
      </w:r>
      <w:r w:rsidRPr="003A2D14">
        <w:rPr>
          <w:lang w:val="fr-FR"/>
        </w:rPr>
        <w:t>amendements au Règlement n</w:t>
      </w:r>
      <w:r w:rsidRPr="003A2D14">
        <w:rPr>
          <w:vertAlign w:val="superscript"/>
          <w:lang w:val="fr-FR"/>
        </w:rPr>
        <w:t>o</w:t>
      </w:r>
      <w:r w:rsidRPr="003A2D14">
        <w:rPr>
          <w:lang w:val="fr-FR"/>
        </w:rPr>
        <w:t> 39.</w:t>
      </w:r>
    </w:p>
    <w:p w:rsidR="003A2D14" w:rsidRPr="003A2D14" w:rsidRDefault="003A031C" w:rsidP="003A2D14">
      <w:pPr>
        <w:pStyle w:val="SingleTxtG"/>
        <w:rPr>
          <w:lang w:val="fr-FR"/>
        </w:rPr>
      </w:pPr>
      <w:r>
        <w:rPr>
          <w:i/>
          <w:iCs/>
          <w:lang w:val="fr-FR"/>
        </w:rPr>
        <w:t>Paragraphe </w:t>
      </w:r>
      <w:r w:rsidR="003A2D14" w:rsidRPr="003A2D14">
        <w:rPr>
          <w:i/>
          <w:iCs/>
          <w:lang w:val="fr-FR"/>
        </w:rPr>
        <w:t>2.5, note de bas de page 2</w:t>
      </w:r>
      <w:r w:rsidR="003A2D14" w:rsidRPr="003A2D14">
        <w:rPr>
          <w:lang w:val="fr-FR"/>
        </w:rPr>
        <w:t>, remplacer le renvoi au paragraphe 5.3 par un renvoi</w:t>
      </w:r>
      <w:r>
        <w:rPr>
          <w:lang w:val="fr-FR"/>
        </w:rPr>
        <w:t xml:space="preserve"> au paragraphe </w:t>
      </w:r>
      <w:r w:rsidR="003A2D14" w:rsidRPr="003A2D14">
        <w:rPr>
          <w:b/>
          <w:lang w:val="fr-FR"/>
        </w:rPr>
        <w:t>5.4</w:t>
      </w:r>
      <w:r w:rsidR="003A2D14" w:rsidRPr="003A2D14">
        <w:rPr>
          <w:lang w:val="fr-FR"/>
        </w:rPr>
        <w:t>.</w:t>
      </w:r>
    </w:p>
    <w:p w:rsidR="003A2D14" w:rsidRPr="003A2D14" w:rsidRDefault="003A2D14" w:rsidP="009F5F9A">
      <w:pPr>
        <w:pStyle w:val="ParNoG"/>
        <w:tabs>
          <w:tab w:val="clear" w:pos="1701"/>
        </w:tabs>
        <w:rPr>
          <w:lang w:val="fr-FR"/>
        </w:rPr>
      </w:pPr>
      <w:r w:rsidRPr="003A2D14">
        <w:rPr>
          <w:lang w:val="fr-FR"/>
        </w:rPr>
        <w:t>Rappelant l</w:t>
      </w:r>
      <w:r w:rsidR="006B6352">
        <w:rPr>
          <w:lang w:val="fr-FR"/>
        </w:rPr>
        <w:t>’</w:t>
      </w:r>
      <w:r w:rsidRPr="003A2D14">
        <w:rPr>
          <w:lang w:val="fr-FR"/>
        </w:rPr>
        <w:t>objectif du document ECE/TRANS/WP.29/GRSG/2015/16, le Président a proposé de reprendre l</w:t>
      </w:r>
      <w:r w:rsidR="006B6352">
        <w:rPr>
          <w:lang w:val="fr-FR"/>
        </w:rPr>
        <w:t>’</w:t>
      </w:r>
      <w:r w:rsidRPr="003A2D14">
        <w:rPr>
          <w:lang w:val="fr-FR"/>
        </w:rPr>
        <w:t>examen de cette question à une session ultérieure du Groupe de travail sur la base d</w:t>
      </w:r>
      <w:r w:rsidR="006B6352">
        <w:rPr>
          <w:lang w:val="fr-FR"/>
        </w:rPr>
        <w:t>’</w:t>
      </w:r>
      <w:r w:rsidRPr="003A2D14">
        <w:rPr>
          <w:lang w:val="fr-FR"/>
        </w:rPr>
        <w:t>un nouveau document, si le texte en était disponible.</w:t>
      </w:r>
    </w:p>
    <w:p w:rsidR="003A2D14" w:rsidRPr="003A2D14" w:rsidRDefault="003A2D14" w:rsidP="003A031C">
      <w:pPr>
        <w:pStyle w:val="HChG"/>
        <w:rPr>
          <w:lang w:val="fr-FR"/>
        </w:rPr>
      </w:pPr>
      <w:r w:rsidRPr="003A2D14">
        <w:rPr>
          <w:lang w:val="fr-FR"/>
        </w:rPr>
        <w:tab/>
        <w:t>V.</w:t>
      </w:r>
      <w:r w:rsidRPr="003A2D14">
        <w:rPr>
          <w:lang w:val="fr-FR"/>
        </w:rPr>
        <w:tab/>
        <w:t>Règlement n</w:t>
      </w:r>
      <w:r w:rsidRPr="003A2D14">
        <w:rPr>
          <w:vertAlign w:val="superscript"/>
          <w:lang w:val="fr-FR"/>
        </w:rPr>
        <w:t>o</w:t>
      </w:r>
      <w:r w:rsidR="003A031C">
        <w:rPr>
          <w:lang w:val="fr-FR"/>
        </w:rPr>
        <w:t> </w:t>
      </w:r>
      <w:r w:rsidRPr="003A2D14">
        <w:rPr>
          <w:lang w:val="fr-FR"/>
        </w:rPr>
        <w:t>43</w:t>
      </w:r>
      <w:r w:rsidR="003A031C">
        <w:rPr>
          <w:lang w:val="fr-FR"/>
        </w:rPr>
        <w:t xml:space="preserve"> (Vitrages de sécurité) </w:t>
      </w:r>
      <w:r w:rsidR="003A031C">
        <w:rPr>
          <w:lang w:val="fr-FR"/>
        </w:rPr>
        <w:br/>
        <w:t>(point </w:t>
      </w:r>
      <w:r w:rsidRPr="003A2D14">
        <w:rPr>
          <w:lang w:val="fr-FR"/>
        </w:rPr>
        <w:t>4 de l</w:t>
      </w:r>
      <w:r w:rsidR="006B6352">
        <w:rPr>
          <w:lang w:val="fr-FR"/>
        </w:rPr>
        <w:t>’</w:t>
      </w:r>
      <w:r w:rsidRPr="003A2D14">
        <w:rPr>
          <w:lang w:val="fr-FR"/>
        </w:rPr>
        <w:t>ordre du jour)</w:t>
      </w:r>
    </w:p>
    <w:p w:rsidR="003A2D14" w:rsidRPr="003A2D14" w:rsidRDefault="003A2D14" w:rsidP="003A031C">
      <w:pPr>
        <w:pStyle w:val="SingleTxtG"/>
        <w:ind w:left="2268" w:hanging="1134"/>
        <w:jc w:val="left"/>
        <w:rPr>
          <w:lang w:val="fr-FR"/>
        </w:rPr>
      </w:pPr>
      <w:r w:rsidRPr="003A2D14">
        <w:rPr>
          <w:i/>
          <w:lang w:val="fr-FR"/>
        </w:rPr>
        <w:t>Documents </w:t>
      </w:r>
      <w:r w:rsidRPr="002A750C">
        <w:t>:</w:t>
      </w:r>
      <w:r w:rsidR="003A031C" w:rsidRPr="002A750C">
        <w:tab/>
      </w:r>
      <w:r w:rsidR="003A031C">
        <w:rPr>
          <w:lang w:val="fr-FR"/>
        </w:rPr>
        <w:t>ECE/TRANS/WP.29/GRSG/2015/22 ;</w:t>
      </w:r>
      <w:r w:rsidRPr="003A2D14">
        <w:rPr>
          <w:lang w:val="fr-FR"/>
        </w:rPr>
        <w:t xml:space="preserve"> ECE/TRANS/WP.29/GRSG/2016/21 ; </w:t>
      </w:r>
      <w:r w:rsidRPr="003A2D14">
        <w:rPr>
          <w:lang w:val="fr-FR"/>
        </w:rPr>
        <w:br/>
        <w:t>documents informels GRSG-111-05, GRSG-111-11 et GRSG-111-12</w:t>
      </w:r>
      <w:r w:rsidR="002A750C">
        <w:rPr>
          <w:lang w:val="fr-FR"/>
        </w:rPr>
        <w:t>.</w:t>
      </w:r>
    </w:p>
    <w:p w:rsidR="003A2D14" w:rsidRPr="003A2D14" w:rsidRDefault="003A2D14" w:rsidP="009F5F9A">
      <w:pPr>
        <w:pStyle w:val="ParNoG"/>
        <w:tabs>
          <w:tab w:val="clear" w:pos="1701"/>
        </w:tabs>
        <w:rPr>
          <w:lang w:val="fr-FR"/>
        </w:rPr>
      </w:pPr>
      <w:r w:rsidRPr="003A2D14">
        <w:rPr>
          <w:lang w:val="fr-FR"/>
        </w:rPr>
        <w:t>L</w:t>
      </w:r>
      <w:r w:rsidR="006B6352">
        <w:rPr>
          <w:lang w:val="fr-FR"/>
        </w:rPr>
        <w:t>’</w:t>
      </w:r>
      <w:r w:rsidRPr="003A2D14">
        <w:rPr>
          <w:lang w:val="fr-FR"/>
        </w:rPr>
        <w:t>expert de la Hongrie a présenté le document ECE/TRANS/WP.29/GRSG/2015/22 visant à éclaircir les prescriptions relatives à la machine d</w:t>
      </w:r>
      <w:r w:rsidR="006B6352">
        <w:rPr>
          <w:lang w:val="fr-FR"/>
        </w:rPr>
        <w:t>’</w:t>
      </w:r>
      <w:r w:rsidRPr="003A2D14">
        <w:rPr>
          <w:lang w:val="fr-FR"/>
        </w:rPr>
        <w:t>essai d</w:t>
      </w:r>
      <w:r w:rsidR="006B6352">
        <w:rPr>
          <w:lang w:val="fr-FR"/>
        </w:rPr>
        <w:t>’</w:t>
      </w:r>
      <w:r w:rsidRPr="003A2D14">
        <w:rPr>
          <w:lang w:val="fr-FR"/>
        </w:rPr>
        <w:t>abrasion. L</w:t>
      </w:r>
      <w:r w:rsidR="006B6352">
        <w:rPr>
          <w:lang w:val="fr-FR"/>
        </w:rPr>
        <w:t>’</w:t>
      </w:r>
      <w:r w:rsidRPr="003A2D14">
        <w:rPr>
          <w:lang w:val="fr-FR"/>
        </w:rPr>
        <w:t>expert de la Pologne suggère de remplacer la figure 4 à l</w:t>
      </w:r>
      <w:r w:rsidR="006B6352">
        <w:rPr>
          <w:lang w:val="fr-FR"/>
        </w:rPr>
        <w:t>’</w:t>
      </w:r>
      <w:r w:rsidRPr="003A2D14">
        <w:rPr>
          <w:lang w:val="fr-FR"/>
        </w:rPr>
        <w:t>annexe 3 par un diagramme comprenant les dimensions (documents GRSG-111-05). L</w:t>
      </w:r>
      <w:r w:rsidR="006B6352">
        <w:rPr>
          <w:lang w:val="fr-FR"/>
        </w:rPr>
        <w:t>’</w:t>
      </w:r>
      <w:r w:rsidRPr="003A2D14">
        <w:rPr>
          <w:lang w:val="fr-FR"/>
        </w:rPr>
        <w:t>expert de l</w:t>
      </w:r>
      <w:r w:rsidR="006B6352">
        <w:rPr>
          <w:lang w:val="fr-FR"/>
        </w:rPr>
        <w:t>’</w:t>
      </w:r>
      <w:r w:rsidRPr="003A2D14">
        <w:rPr>
          <w:lang w:val="fr-FR"/>
        </w:rPr>
        <w:t>Allemagne a informé le Groupe de travail que la norme ISO correspondante serait publiée prochainement. Il a proposé d</w:t>
      </w:r>
      <w:r w:rsidR="006B6352">
        <w:rPr>
          <w:lang w:val="fr-FR"/>
        </w:rPr>
        <w:t>’</w:t>
      </w:r>
      <w:r w:rsidRPr="003A2D14">
        <w:rPr>
          <w:lang w:val="fr-FR"/>
        </w:rPr>
        <w:t>actualiser le document de manière à harmoniser pleinement les dispositions du Règlement avec celles de la norme ISO. Le Groupe de travail s</w:t>
      </w:r>
      <w:r w:rsidR="006B6352">
        <w:rPr>
          <w:lang w:val="fr-FR"/>
        </w:rPr>
        <w:t>’</w:t>
      </w:r>
      <w:r w:rsidRPr="003A2D14">
        <w:rPr>
          <w:lang w:val="fr-FR"/>
        </w:rPr>
        <w:t>est félicité de cette offre et a convenu de reporter l</w:t>
      </w:r>
      <w:r w:rsidR="006B6352">
        <w:rPr>
          <w:lang w:val="fr-FR"/>
        </w:rPr>
        <w:t>’</w:t>
      </w:r>
      <w:r w:rsidRPr="003A2D14">
        <w:rPr>
          <w:lang w:val="fr-FR"/>
        </w:rPr>
        <w:t>adoption des amendements au Règlement n</w:t>
      </w:r>
      <w:r w:rsidRPr="003A2D14">
        <w:rPr>
          <w:vertAlign w:val="superscript"/>
          <w:lang w:val="fr-FR"/>
        </w:rPr>
        <w:t>o</w:t>
      </w:r>
      <w:r w:rsidRPr="003A2D14">
        <w:rPr>
          <w:lang w:val="fr-FR"/>
        </w:rPr>
        <w:t xml:space="preserve"> 43 à sa session suivante, prévue en avril 2017, dans l</w:t>
      </w:r>
      <w:r w:rsidR="006B6352">
        <w:rPr>
          <w:lang w:val="fr-FR"/>
        </w:rPr>
        <w:t>’</w:t>
      </w:r>
      <w:r w:rsidRPr="003A2D14">
        <w:rPr>
          <w:lang w:val="fr-FR"/>
        </w:rPr>
        <w:t>attente de la soumission par l</w:t>
      </w:r>
      <w:r w:rsidR="006B6352">
        <w:rPr>
          <w:lang w:val="fr-FR"/>
        </w:rPr>
        <w:t>’</w:t>
      </w:r>
      <w:r w:rsidRPr="003A2D14">
        <w:rPr>
          <w:lang w:val="fr-FR"/>
        </w:rPr>
        <w:t>Allemagne d</w:t>
      </w:r>
      <w:r w:rsidR="006B6352">
        <w:rPr>
          <w:lang w:val="fr-FR"/>
        </w:rPr>
        <w:t>’</w:t>
      </w:r>
      <w:r w:rsidRPr="003A2D14">
        <w:rPr>
          <w:lang w:val="fr-FR"/>
        </w:rPr>
        <w:t>un document officiel révisé.</w:t>
      </w:r>
    </w:p>
    <w:p w:rsidR="003A2D14" w:rsidRPr="003A2D14" w:rsidRDefault="003A2D14" w:rsidP="009F5F9A">
      <w:pPr>
        <w:pStyle w:val="ParNoG"/>
        <w:tabs>
          <w:tab w:val="clear" w:pos="1701"/>
        </w:tabs>
        <w:rPr>
          <w:lang w:val="fr-FR"/>
        </w:rPr>
      </w:pPr>
      <w:r w:rsidRPr="003A2D14">
        <w:rPr>
          <w:lang w:val="fr-FR"/>
        </w:rPr>
        <w:t>L</w:t>
      </w:r>
      <w:r w:rsidR="006B6352">
        <w:rPr>
          <w:lang w:val="fr-FR"/>
        </w:rPr>
        <w:t>’</w:t>
      </w:r>
      <w:r w:rsidRPr="003A2D14">
        <w:rPr>
          <w:lang w:val="fr-FR"/>
        </w:rPr>
        <w:t>expert de l</w:t>
      </w:r>
      <w:r w:rsidR="006B6352">
        <w:rPr>
          <w:lang w:val="fr-FR"/>
        </w:rPr>
        <w:t>’</w:t>
      </w:r>
      <w:r w:rsidRPr="003A2D14">
        <w:rPr>
          <w:lang w:val="fr-FR"/>
        </w:rPr>
        <w:t>Allemagne a présenté le document ECE/TRANS/WP.29/GRSG/</w:t>
      </w:r>
      <w:r w:rsidR="002A750C">
        <w:rPr>
          <w:lang w:val="fr-FR"/>
        </w:rPr>
        <w:br/>
      </w:r>
      <w:r w:rsidRPr="003A2D14">
        <w:rPr>
          <w:lang w:val="fr-FR"/>
        </w:rPr>
        <w:t>2016/21 visant à harmoniser les prescriptions applicables aux vitrages en plastique autres que les pare-brise avec celles qui portent sur les pare-brise en plastique, y compris les modifications apportées concernant les vitrages en plastique rigide, les vitrages en plastique souple ainsi que les vitrages multiples en plastique rigide. L</w:t>
      </w:r>
      <w:r w:rsidR="006B6352">
        <w:rPr>
          <w:lang w:val="fr-FR"/>
        </w:rPr>
        <w:t>’</w:t>
      </w:r>
      <w:r w:rsidRPr="003A2D14">
        <w:rPr>
          <w:lang w:val="fr-FR"/>
        </w:rPr>
        <w:t>expert de l</w:t>
      </w:r>
      <w:r w:rsidR="006B6352">
        <w:rPr>
          <w:lang w:val="fr-FR"/>
        </w:rPr>
        <w:t>’</w:t>
      </w:r>
      <w:r w:rsidRPr="003A2D14">
        <w:rPr>
          <w:lang w:val="fr-FR"/>
        </w:rPr>
        <w:t>OICA a présenté le document GRSG-111-11 qui améliore le texte de la proposition. Le Groupe de travail a appuyé la proposition dans son principe, mais a convenu de la nécessité de revoir la définition des différents types de vitrages, en particulier leur classification selon leurs caractéristiques principales et secondaires. L</w:t>
      </w:r>
      <w:r w:rsidR="006B6352">
        <w:rPr>
          <w:lang w:val="fr-FR"/>
        </w:rPr>
        <w:t>’</w:t>
      </w:r>
      <w:r w:rsidRPr="003A2D14">
        <w:rPr>
          <w:lang w:val="fr-FR"/>
        </w:rPr>
        <w:t>expert de la CLEPA a proposé de mo</w:t>
      </w:r>
      <w:r w:rsidR="003A031C">
        <w:rPr>
          <w:lang w:val="fr-FR"/>
        </w:rPr>
        <w:t>difier la figure </w:t>
      </w:r>
      <w:r w:rsidRPr="003A2D14">
        <w:rPr>
          <w:lang w:val="fr-FR"/>
        </w:rPr>
        <w:t>2a de l</w:t>
      </w:r>
      <w:r w:rsidR="006B6352">
        <w:rPr>
          <w:lang w:val="fr-FR"/>
        </w:rPr>
        <w:t>’</w:t>
      </w:r>
      <w:r w:rsidRPr="003A2D14">
        <w:rPr>
          <w:lang w:val="fr-FR"/>
        </w:rPr>
        <w:t>annexe</w:t>
      </w:r>
      <w:r w:rsidR="003A031C">
        <w:rPr>
          <w:lang w:val="fr-FR"/>
        </w:rPr>
        <w:t> </w:t>
      </w:r>
      <w:r w:rsidRPr="003A2D14">
        <w:rPr>
          <w:lang w:val="fr-FR"/>
        </w:rPr>
        <w:t>18 afin de préciser les limites latérales de la zone susceptible d</w:t>
      </w:r>
      <w:r w:rsidR="006B6352">
        <w:rPr>
          <w:lang w:val="fr-FR"/>
        </w:rPr>
        <w:t>’</w:t>
      </w:r>
      <w:r w:rsidRPr="003A2D14">
        <w:rPr>
          <w:lang w:val="fr-FR"/>
        </w:rPr>
        <w:t>être occultée par un masque opaque. Le Groupe de travail a pris note de diverses préoccupations et a décidé d</w:t>
      </w:r>
      <w:r w:rsidR="006B6352">
        <w:rPr>
          <w:lang w:val="fr-FR"/>
        </w:rPr>
        <w:t>’</w:t>
      </w:r>
      <w:r w:rsidRPr="003A2D14">
        <w:rPr>
          <w:lang w:val="fr-FR"/>
        </w:rPr>
        <w:t>éviter une réduction supplémentaire de cette zone.</w:t>
      </w:r>
    </w:p>
    <w:p w:rsidR="003A2D14" w:rsidRPr="003A2D14" w:rsidRDefault="003A2D14" w:rsidP="009F5F9A">
      <w:pPr>
        <w:pStyle w:val="ParNoG"/>
        <w:tabs>
          <w:tab w:val="clear" w:pos="1701"/>
        </w:tabs>
        <w:rPr>
          <w:lang w:val="fr-FR"/>
        </w:rPr>
      </w:pPr>
      <w:r w:rsidRPr="003A2D14">
        <w:rPr>
          <w:lang w:val="fr-FR"/>
        </w:rPr>
        <w:t>À l</w:t>
      </w:r>
      <w:r w:rsidR="006B6352">
        <w:rPr>
          <w:lang w:val="fr-FR"/>
        </w:rPr>
        <w:t>’</w:t>
      </w:r>
      <w:r w:rsidRPr="003A2D14">
        <w:rPr>
          <w:lang w:val="fr-FR"/>
        </w:rPr>
        <w:t>issue du débat, le Groupe de travail a adopté le document ECE/TRANS/WP.29/GRSG/2016/21 tel que reproduit à l</w:t>
      </w:r>
      <w:r w:rsidR="006B6352">
        <w:rPr>
          <w:lang w:val="fr-FR"/>
        </w:rPr>
        <w:t>’</w:t>
      </w:r>
      <w:r w:rsidR="003A031C">
        <w:rPr>
          <w:lang w:val="fr-FR"/>
        </w:rPr>
        <w:t>annexe </w:t>
      </w:r>
      <w:r w:rsidRPr="003A2D14">
        <w:rPr>
          <w:lang w:val="fr-FR"/>
        </w:rPr>
        <w:t>II du présent rapport. Il a été demandé au secrétariat de le soumettre au Forum mondial et au Comité d</w:t>
      </w:r>
      <w:r w:rsidR="006B6352">
        <w:rPr>
          <w:lang w:val="fr-FR"/>
        </w:rPr>
        <w:t>’</w:t>
      </w:r>
      <w:r w:rsidRPr="003A2D14">
        <w:rPr>
          <w:lang w:val="fr-FR"/>
        </w:rPr>
        <w:t>administration pour examen à leurs sessions de mars 2017, en tant que projet de complément 5 à la série 01 d</w:t>
      </w:r>
      <w:r w:rsidR="006B6352">
        <w:rPr>
          <w:lang w:val="fr-FR"/>
        </w:rPr>
        <w:t>’</w:t>
      </w:r>
      <w:r w:rsidRPr="003A2D14">
        <w:rPr>
          <w:lang w:val="fr-FR"/>
        </w:rPr>
        <w:t>amendements au Règlement n</w:t>
      </w:r>
      <w:r w:rsidRPr="003A2D14">
        <w:rPr>
          <w:vertAlign w:val="superscript"/>
          <w:lang w:val="fr-FR"/>
        </w:rPr>
        <w:t>o</w:t>
      </w:r>
      <w:r w:rsidR="003A031C">
        <w:rPr>
          <w:lang w:val="fr-FR"/>
        </w:rPr>
        <w:t> </w:t>
      </w:r>
      <w:r w:rsidRPr="003A2D14">
        <w:rPr>
          <w:lang w:val="fr-FR"/>
        </w:rPr>
        <w:t>43.</w:t>
      </w:r>
    </w:p>
    <w:p w:rsidR="003A2D14" w:rsidRPr="003A2D14" w:rsidRDefault="003A2D14" w:rsidP="009F5F9A">
      <w:pPr>
        <w:pStyle w:val="ParNoG"/>
        <w:tabs>
          <w:tab w:val="clear" w:pos="1701"/>
        </w:tabs>
        <w:rPr>
          <w:lang w:val="fr-FR"/>
        </w:rPr>
      </w:pPr>
      <w:r w:rsidRPr="003A2D14">
        <w:rPr>
          <w:lang w:val="fr-FR"/>
        </w:rPr>
        <w:t>Le Groupe de travail a approuvé la proposition du Président visant à créer une équipe spéciale qui serait chargée d</w:t>
      </w:r>
      <w:r w:rsidR="006B6352">
        <w:rPr>
          <w:lang w:val="fr-FR"/>
        </w:rPr>
        <w:t>’</w:t>
      </w:r>
      <w:r w:rsidRPr="003A2D14">
        <w:rPr>
          <w:lang w:val="fr-FR"/>
        </w:rPr>
        <w:t>élaborer une proposition concrète concernant l</w:t>
      </w:r>
      <w:r w:rsidR="006B6352">
        <w:rPr>
          <w:lang w:val="fr-FR"/>
        </w:rPr>
        <w:t>’</w:t>
      </w:r>
      <w:r w:rsidRPr="003A2D14">
        <w:rPr>
          <w:lang w:val="fr-FR"/>
        </w:rPr>
        <w:t>harmonisation des versions française et anglaise du Règlement et à préciser la définition des types ainsi que de la zone susceptible d</w:t>
      </w:r>
      <w:r w:rsidR="006B6352">
        <w:rPr>
          <w:lang w:val="fr-FR"/>
        </w:rPr>
        <w:t>’</w:t>
      </w:r>
      <w:r w:rsidRPr="003A2D14">
        <w:rPr>
          <w:lang w:val="fr-FR"/>
        </w:rPr>
        <w:t>être occultée par un masque opaque, et a décidé de reprendre l</w:t>
      </w:r>
      <w:r w:rsidR="006B6352">
        <w:rPr>
          <w:lang w:val="fr-FR"/>
        </w:rPr>
        <w:t>’</w:t>
      </w:r>
      <w:r w:rsidRPr="003A2D14">
        <w:rPr>
          <w:lang w:val="fr-FR"/>
        </w:rPr>
        <w:t>examen de cette question à sa session suivante, prévue en avril 2017.</w:t>
      </w:r>
    </w:p>
    <w:p w:rsidR="003A2D14" w:rsidRPr="003A2D14" w:rsidRDefault="003A2D14" w:rsidP="003A031C">
      <w:pPr>
        <w:pStyle w:val="HChG"/>
        <w:rPr>
          <w:lang w:val="fr-FR"/>
        </w:rPr>
      </w:pPr>
      <w:r w:rsidRPr="003A2D14">
        <w:rPr>
          <w:lang w:val="fr-FR"/>
        </w:rPr>
        <w:tab/>
        <w:t>VI.</w:t>
      </w:r>
      <w:r w:rsidRPr="003A2D14">
        <w:rPr>
          <w:lang w:val="fr-FR"/>
        </w:rPr>
        <w:tab/>
        <w:t>Règlement n</w:t>
      </w:r>
      <w:r w:rsidRPr="003A2D14">
        <w:rPr>
          <w:vertAlign w:val="superscript"/>
          <w:lang w:val="fr-FR"/>
        </w:rPr>
        <w:t>o</w:t>
      </w:r>
      <w:r w:rsidR="003A031C">
        <w:rPr>
          <w:lang w:val="fr-FR"/>
        </w:rPr>
        <w:t> </w:t>
      </w:r>
      <w:r w:rsidRPr="003A2D14">
        <w:rPr>
          <w:lang w:val="fr-FR"/>
        </w:rPr>
        <w:t>46 (Dispositi</w:t>
      </w:r>
      <w:r w:rsidR="003A031C">
        <w:rPr>
          <w:lang w:val="fr-FR"/>
        </w:rPr>
        <w:t xml:space="preserve">fs de vision indirecte) </w:t>
      </w:r>
      <w:r w:rsidR="003A031C">
        <w:rPr>
          <w:lang w:val="fr-FR"/>
        </w:rPr>
        <w:br/>
        <w:t>(point </w:t>
      </w:r>
      <w:r w:rsidRPr="003A2D14">
        <w:rPr>
          <w:lang w:val="fr-FR"/>
        </w:rPr>
        <w:t>5 de l</w:t>
      </w:r>
      <w:r w:rsidR="006B6352">
        <w:rPr>
          <w:lang w:val="fr-FR"/>
        </w:rPr>
        <w:t>’</w:t>
      </w:r>
      <w:r w:rsidRPr="003A2D14">
        <w:rPr>
          <w:lang w:val="fr-FR"/>
        </w:rPr>
        <w:t>ordre du jour)</w:t>
      </w:r>
    </w:p>
    <w:p w:rsidR="003A2D14" w:rsidRPr="003A2D14" w:rsidRDefault="003A2D14" w:rsidP="003A031C">
      <w:pPr>
        <w:pStyle w:val="SingleTxtG"/>
        <w:keepNext/>
        <w:keepLines/>
        <w:ind w:left="2268" w:hanging="1134"/>
        <w:jc w:val="left"/>
        <w:rPr>
          <w:lang w:val="fr-FR"/>
        </w:rPr>
      </w:pPr>
      <w:r w:rsidRPr="003A2D14">
        <w:rPr>
          <w:i/>
          <w:lang w:val="fr-FR"/>
        </w:rPr>
        <w:t>Documents </w:t>
      </w:r>
      <w:r w:rsidRPr="002A750C">
        <w:t>:</w:t>
      </w:r>
      <w:r w:rsidR="003A031C" w:rsidRPr="002A750C">
        <w:tab/>
      </w:r>
      <w:r w:rsidR="003A031C">
        <w:rPr>
          <w:lang w:val="fr-FR"/>
        </w:rPr>
        <w:t>d</w:t>
      </w:r>
      <w:r w:rsidR="00C435EE">
        <w:rPr>
          <w:lang w:val="fr-FR"/>
        </w:rPr>
        <w:t>ocuments informels GRSG-110-12 ;</w:t>
      </w:r>
      <w:r w:rsidRPr="003A2D14">
        <w:rPr>
          <w:lang w:val="fr-FR"/>
        </w:rPr>
        <w:t xml:space="preserve"> </w:t>
      </w:r>
      <w:r w:rsidR="00A659B9">
        <w:rPr>
          <w:lang w:val="fr-FR"/>
        </w:rPr>
        <w:br/>
      </w:r>
      <w:r w:rsidRPr="003A2D14">
        <w:rPr>
          <w:lang w:val="fr-FR"/>
        </w:rPr>
        <w:t>GRSG-111-22, GRSG-111-23, GRSG-111-27 et GRSG-111-29</w:t>
      </w:r>
      <w:r w:rsidR="00C435EE">
        <w:rPr>
          <w:lang w:val="fr-FR"/>
        </w:rPr>
        <w:t>.</w:t>
      </w:r>
    </w:p>
    <w:p w:rsidR="003A2D14" w:rsidRPr="003A2D14" w:rsidRDefault="003A2D14" w:rsidP="009F5F9A">
      <w:pPr>
        <w:pStyle w:val="ParNoG"/>
        <w:tabs>
          <w:tab w:val="clear" w:pos="1701"/>
        </w:tabs>
        <w:rPr>
          <w:lang w:val="fr-FR"/>
        </w:rPr>
      </w:pPr>
      <w:r w:rsidRPr="003A2D14">
        <w:rPr>
          <w:lang w:val="fr-FR"/>
        </w:rPr>
        <w:t>Au nom de l</w:t>
      </w:r>
      <w:r w:rsidR="006B6352">
        <w:rPr>
          <w:lang w:val="fr-FR"/>
        </w:rPr>
        <w:t>’</w:t>
      </w:r>
      <w:r w:rsidRPr="003A2D14">
        <w:rPr>
          <w:lang w:val="fr-FR"/>
        </w:rPr>
        <w:t xml:space="preserve">Équipe spéciale du Règlement </w:t>
      </w:r>
      <w:r w:rsidR="00C435EE" w:rsidRPr="00C435EE">
        <w:rPr>
          <w:rFonts w:eastAsia="MS Mincho"/>
          <w:szCs w:val="22"/>
          <w:lang w:val="fr-FR"/>
        </w:rPr>
        <w:t>n</w:t>
      </w:r>
      <w:r w:rsidR="00C435EE" w:rsidRPr="00C435EE">
        <w:rPr>
          <w:rFonts w:eastAsia="MS Mincho"/>
          <w:szCs w:val="22"/>
          <w:vertAlign w:val="superscript"/>
          <w:lang w:val="fr-FR"/>
        </w:rPr>
        <w:t>o</w:t>
      </w:r>
      <w:r w:rsidR="00C435EE">
        <w:rPr>
          <w:rFonts w:eastAsia="MS Mincho"/>
          <w:szCs w:val="22"/>
          <w:lang w:val="fr-FR"/>
        </w:rPr>
        <w:t> </w:t>
      </w:r>
      <w:r w:rsidRPr="003A2D14">
        <w:rPr>
          <w:lang w:val="fr-FR"/>
        </w:rPr>
        <w:t>46, l</w:t>
      </w:r>
      <w:r w:rsidR="006B6352">
        <w:rPr>
          <w:lang w:val="fr-FR"/>
        </w:rPr>
        <w:t>’</w:t>
      </w:r>
      <w:r w:rsidRPr="003A2D14">
        <w:rPr>
          <w:lang w:val="fr-FR"/>
        </w:rPr>
        <w:t>expert du Japon a rendu compte des progrès réalisés par l</w:t>
      </w:r>
      <w:r w:rsidR="006B6352">
        <w:rPr>
          <w:lang w:val="fr-FR"/>
        </w:rPr>
        <w:t>’</w:t>
      </w:r>
      <w:r w:rsidRPr="003A2D14">
        <w:rPr>
          <w:lang w:val="fr-FR"/>
        </w:rPr>
        <w:t xml:space="preserve">Équipe lors de </w:t>
      </w:r>
      <w:r w:rsidR="00C435EE">
        <w:rPr>
          <w:lang w:val="fr-FR"/>
        </w:rPr>
        <w:t>sa réunion à Paris les 26 et 27 </w:t>
      </w:r>
      <w:r w:rsidRPr="003A2D14">
        <w:rPr>
          <w:lang w:val="fr-FR"/>
        </w:rPr>
        <w:t>septembre 2016 (document GRSG-111-22). Il a présenté le document GRSG-111-23, qui annule et remplace le document GRSG-110-12 et dans lequel sont proposés des amendements au Règlement n</w:t>
      </w:r>
      <w:r w:rsidRPr="003A2D14">
        <w:rPr>
          <w:vertAlign w:val="superscript"/>
          <w:lang w:val="fr-FR"/>
        </w:rPr>
        <w:t>o</w:t>
      </w:r>
      <w:r w:rsidR="00C435EE">
        <w:rPr>
          <w:lang w:val="fr-FR"/>
        </w:rPr>
        <w:t> </w:t>
      </w:r>
      <w:r w:rsidRPr="003A2D14">
        <w:rPr>
          <w:lang w:val="fr-FR"/>
        </w:rPr>
        <w:t>46. Le Groupe de travail s</w:t>
      </w:r>
      <w:r w:rsidR="006B6352">
        <w:rPr>
          <w:lang w:val="fr-FR"/>
        </w:rPr>
        <w:t>’</w:t>
      </w:r>
      <w:r w:rsidRPr="003A2D14">
        <w:rPr>
          <w:lang w:val="fr-FR"/>
        </w:rPr>
        <w:t>est félicité de l</w:t>
      </w:r>
      <w:r w:rsidR="006B6352">
        <w:rPr>
          <w:lang w:val="fr-FR"/>
        </w:rPr>
        <w:t>’</w:t>
      </w:r>
      <w:r w:rsidRPr="003A2D14">
        <w:rPr>
          <w:lang w:val="fr-FR"/>
        </w:rPr>
        <w:t>important travail accompli par l</w:t>
      </w:r>
      <w:r w:rsidR="006B6352">
        <w:rPr>
          <w:lang w:val="fr-FR"/>
        </w:rPr>
        <w:t>’</w:t>
      </w:r>
      <w:r w:rsidRPr="003A2D14">
        <w:rPr>
          <w:lang w:val="fr-FR"/>
        </w:rPr>
        <w:t>Équipe spéciale sous la direction du Japon. Pour élargir la participation des autres Parties contractantes aux débats sur cette question, le Groupe de travail a décidé de créer un nouveau groupe de travail informel de la vision rapprochée et des systèmes de détection d</w:t>
      </w:r>
      <w:r w:rsidR="006B6352">
        <w:rPr>
          <w:lang w:val="fr-FR"/>
        </w:rPr>
        <w:t>’</w:t>
      </w:r>
      <w:r w:rsidRPr="003A2D14">
        <w:rPr>
          <w:lang w:val="fr-FR"/>
        </w:rPr>
        <w:t>obstacle. Il a pris note d</w:t>
      </w:r>
      <w:r w:rsidR="006B6352">
        <w:rPr>
          <w:lang w:val="fr-FR"/>
        </w:rPr>
        <w:t>’</w:t>
      </w:r>
      <w:r w:rsidRPr="003A2D14">
        <w:rPr>
          <w:lang w:val="fr-FR"/>
        </w:rPr>
        <w:t>un avant-projet de mandat et de règlement intérieur du groupe de travail informel (document GRSG-111-29) et a décidé de les adopter officiellement à sa session suivante.</w:t>
      </w:r>
    </w:p>
    <w:p w:rsidR="003A2D14" w:rsidRPr="003A2D14" w:rsidRDefault="003A2D14" w:rsidP="009F5F9A">
      <w:pPr>
        <w:pStyle w:val="ParNoG"/>
        <w:tabs>
          <w:tab w:val="clear" w:pos="1701"/>
        </w:tabs>
        <w:rPr>
          <w:lang w:val="fr-FR"/>
        </w:rPr>
      </w:pPr>
      <w:r w:rsidRPr="003A2D14">
        <w:rPr>
          <w:lang w:val="fr-FR"/>
        </w:rPr>
        <w:t>Le Président du Groupe de travail a annoncé son intention de demander au Forum mondial, à sa session de novembre 2016, son accord pour créer le groupe de travail informel mentionné ci-dessus. Le Groupe de travail a renvoyé les documents GRSG-111-23 et GRSG-111-29 pour examen approfondi au groupe de travail informel et a invité celui-ci à tenir compte de toutes les études publiées à l</w:t>
      </w:r>
      <w:r w:rsidR="006B6352">
        <w:rPr>
          <w:lang w:val="fr-FR"/>
        </w:rPr>
        <w:t>’</w:t>
      </w:r>
      <w:r w:rsidRPr="003A2D14">
        <w:rPr>
          <w:lang w:val="fr-FR"/>
        </w:rPr>
        <w:t>échelle mondiale sur cette question.</w:t>
      </w:r>
    </w:p>
    <w:p w:rsidR="003A2D14" w:rsidRPr="003A2D14" w:rsidRDefault="003A2D14" w:rsidP="009F5F9A">
      <w:pPr>
        <w:pStyle w:val="ParNoG"/>
        <w:tabs>
          <w:tab w:val="clear" w:pos="1701"/>
        </w:tabs>
        <w:rPr>
          <w:lang w:val="fr-FR"/>
        </w:rPr>
      </w:pPr>
      <w:r w:rsidRPr="003A2D14">
        <w:rPr>
          <w:lang w:val="fr-FR"/>
        </w:rPr>
        <w:t>L</w:t>
      </w:r>
      <w:r w:rsidR="006B6352">
        <w:rPr>
          <w:lang w:val="fr-FR"/>
        </w:rPr>
        <w:t>’</w:t>
      </w:r>
      <w:r w:rsidRPr="003A2D14">
        <w:rPr>
          <w:lang w:val="fr-FR"/>
        </w:rPr>
        <w:t>expert de l</w:t>
      </w:r>
      <w:r w:rsidR="006B6352">
        <w:rPr>
          <w:lang w:val="fr-FR"/>
        </w:rPr>
        <w:t>’</w:t>
      </w:r>
      <w:r w:rsidRPr="003A2D14">
        <w:rPr>
          <w:lang w:val="fr-FR"/>
        </w:rPr>
        <w:t>Allemagne a proposé de corriger les dispositions du paragraphe 16.1.3.1 relatives au facteur de grandissement (document GRSG-111-27). Le Groupe de travail a entériné la proposition dans son principe et a décidé de reprendre l</w:t>
      </w:r>
      <w:r w:rsidR="006B6352">
        <w:rPr>
          <w:lang w:val="fr-FR"/>
        </w:rPr>
        <w:t>’</w:t>
      </w:r>
      <w:r w:rsidRPr="003A2D14">
        <w:rPr>
          <w:lang w:val="fr-FR"/>
        </w:rPr>
        <w:t>examen de cette question à sa session suivante, prévue en avril 2017. À cette fin, il a été demandé au secrétariat de diffuser le document GRSG-111-27 sous une cote officielle.</w:t>
      </w:r>
    </w:p>
    <w:p w:rsidR="003A2D14" w:rsidRPr="003A2D14" w:rsidRDefault="003A2D14" w:rsidP="00C435EE">
      <w:pPr>
        <w:pStyle w:val="HChG"/>
        <w:rPr>
          <w:lang w:val="fr-FR"/>
        </w:rPr>
      </w:pPr>
      <w:r w:rsidRPr="003A2D14">
        <w:rPr>
          <w:lang w:val="fr-FR"/>
        </w:rPr>
        <w:tab/>
        <w:t>VII.</w:t>
      </w:r>
      <w:r w:rsidRPr="003A2D14">
        <w:rPr>
          <w:lang w:val="fr-FR"/>
        </w:rPr>
        <w:tab/>
        <w:t>Règlement n</w:t>
      </w:r>
      <w:r w:rsidRPr="003A2D14">
        <w:rPr>
          <w:vertAlign w:val="superscript"/>
          <w:lang w:val="fr-FR"/>
        </w:rPr>
        <w:t>o</w:t>
      </w:r>
      <w:r w:rsidRPr="003A2D14">
        <w:rPr>
          <w:lang w:val="fr-FR"/>
        </w:rPr>
        <w:t xml:space="preserve"> 66 (Résistance de la superstructure </w:t>
      </w:r>
      <w:r w:rsidR="00C435EE">
        <w:rPr>
          <w:lang w:val="fr-FR"/>
        </w:rPr>
        <w:br/>
        <w:t>(autobus)) (point </w:t>
      </w:r>
      <w:r w:rsidRPr="003A2D14">
        <w:rPr>
          <w:lang w:val="fr-FR"/>
        </w:rPr>
        <w:t>6 de l</w:t>
      </w:r>
      <w:r w:rsidR="006B6352">
        <w:rPr>
          <w:lang w:val="fr-FR"/>
        </w:rPr>
        <w:t>’</w:t>
      </w:r>
      <w:r w:rsidRPr="003A2D14">
        <w:rPr>
          <w:lang w:val="fr-FR"/>
        </w:rPr>
        <w:t>ordre du jour)</w:t>
      </w:r>
    </w:p>
    <w:p w:rsidR="003A2D14" w:rsidRPr="003A2D14" w:rsidRDefault="003A2D14" w:rsidP="00C435EE">
      <w:pPr>
        <w:pStyle w:val="SingleTxtG"/>
        <w:ind w:left="2268" w:hanging="1134"/>
        <w:rPr>
          <w:lang w:val="fr-FR"/>
        </w:rPr>
      </w:pPr>
      <w:r w:rsidRPr="003A2D14">
        <w:rPr>
          <w:i/>
          <w:lang w:val="fr-FR"/>
        </w:rPr>
        <w:t>Documents</w:t>
      </w:r>
      <w:r w:rsidRPr="00F15A18">
        <w:t> :</w:t>
      </w:r>
      <w:r w:rsidRPr="003A2D14">
        <w:rPr>
          <w:lang w:val="fr-FR"/>
        </w:rPr>
        <w:t xml:space="preserve"> </w:t>
      </w:r>
      <w:r w:rsidRPr="003A2D14">
        <w:rPr>
          <w:lang w:val="fr-FR"/>
        </w:rPr>
        <w:tab/>
        <w:t xml:space="preserve">ECE/TRANS/WP.29/GRSG/2016/11 ; </w:t>
      </w:r>
      <w:r w:rsidRPr="003A2D14">
        <w:rPr>
          <w:lang w:val="fr-FR"/>
        </w:rPr>
        <w:br/>
        <w:t>document informel GRSG-110-16</w:t>
      </w:r>
      <w:r w:rsidR="00C435EE">
        <w:rPr>
          <w:lang w:val="fr-FR"/>
        </w:rPr>
        <w:t>.</w:t>
      </w:r>
    </w:p>
    <w:p w:rsidR="003A2D14" w:rsidRPr="003A2D14" w:rsidRDefault="003A2D14" w:rsidP="009F5F9A">
      <w:pPr>
        <w:pStyle w:val="ParNoG"/>
        <w:tabs>
          <w:tab w:val="clear" w:pos="1701"/>
        </w:tabs>
        <w:rPr>
          <w:lang w:val="fr-FR"/>
        </w:rPr>
      </w:pPr>
      <w:r w:rsidRPr="003A2D14">
        <w:rPr>
          <w:lang w:val="fr-FR"/>
        </w:rPr>
        <w:t>L</w:t>
      </w:r>
      <w:r w:rsidR="006B6352">
        <w:rPr>
          <w:lang w:val="fr-FR"/>
        </w:rPr>
        <w:t>’</w:t>
      </w:r>
      <w:r w:rsidRPr="003A2D14">
        <w:rPr>
          <w:lang w:val="fr-FR"/>
        </w:rPr>
        <w:t>expert de l</w:t>
      </w:r>
      <w:r w:rsidR="006B6352">
        <w:rPr>
          <w:lang w:val="fr-FR"/>
        </w:rPr>
        <w:t>’</w:t>
      </w:r>
      <w:r w:rsidRPr="003A2D14">
        <w:rPr>
          <w:lang w:val="fr-FR"/>
        </w:rPr>
        <w:t>OICA a rappelé les documents ECE/TRANS/WP.29/GRSG/2016/11 et GRSG-110-16, dans lesquels il est proposé de modifier les dispositions du Règlement n</w:t>
      </w:r>
      <w:r w:rsidRPr="003A2D14">
        <w:rPr>
          <w:vertAlign w:val="superscript"/>
          <w:lang w:val="fr-FR"/>
        </w:rPr>
        <w:t>o</w:t>
      </w:r>
      <w:r w:rsidRPr="003A2D14">
        <w:rPr>
          <w:lang w:val="fr-FR"/>
        </w:rPr>
        <w:t> 66 en ce qui concerne l</w:t>
      </w:r>
      <w:r w:rsidR="006B6352">
        <w:rPr>
          <w:lang w:val="fr-FR"/>
        </w:rPr>
        <w:t>’</w:t>
      </w:r>
      <w:r w:rsidRPr="003A2D14">
        <w:rPr>
          <w:lang w:val="fr-FR"/>
        </w:rPr>
        <w:t>intrusion dans l</w:t>
      </w:r>
      <w:r w:rsidR="006B6352">
        <w:rPr>
          <w:lang w:val="fr-FR"/>
        </w:rPr>
        <w:t>’</w:t>
      </w:r>
      <w:r w:rsidRPr="003A2D14">
        <w:rPr>
          <w:lang w:val="fr-FR"/>
        </w:rPr>
        <w:t>espace de survie pendant l</w:t>
      </w:r>
      <w:r w:rsidR="006B6352">
        <w:rPr>
          <w:lang w:val="fr-FR"/>
        </w:rPr>
        <w:t>’</w:t>
      </w:r>
      <w:r w:rsidRPr="003A2D14">
        <w:rPr>
          <w:lang w:val="fr-FR"/>
        </w:rPr>
        <w:t>essai de basculement.</w:t>
      </w:r>
    </w:p>
    <w:p w:rsidR="003A2D14" w:rsidRPr="003A2D14" w:rsidRDefault="003A2D14" w:rsidP="009F5F9A">
      <w:pPr>
        <w:pStyle w:val="ParNoG"/>
        <w:tabs>
          <w:tab w:val="clear" w:pos="1701"/>
        </w:tabs>
        <w:rPr>
          <w:lang w:val="fr-FR"/>
        </w:rPr>
      </w:pPr>
      <w:r w:rsidRPr="003A2D14">
        <w:rPr>
          <w:lang w:val="fr-FR"/>
        </w:rPr>
        <w:t>Le Groupe de travail a pris note de plusieurs observations sur le projet d</w:t>
      </w:r>
      <w:r w:rsidR="006B6352">
        <w:rPr>
          <w:lang w:val="fr-FR"/>
        </w:rPr>
        <w:t>’</w:t>
      </w:r>
      <w:r w:rsidRPr="003A2D14">
        <w:rPr>
          <w:lang w:val="fr-FR"/>
        </w:rPr>
        <w:t>amendements et a convenu de la nécessité de revoir la définition de l</w:t>
      </w:r>
      <w:r w:rsidR="006B6352">
        <w:rPr>
          <w:lang w:val="fr-FR"/>
        </w:rPr>
        <w:t>’</w:t>
      </w:r>
      <w:r w:rsidRPr="003A2D14">
        <w:rPr>
          <w:lang w:val="fr-FR"/>
        </w:rPr>
        <w:t>expression « espace de survie ». Le Président a recommandé qu</w:t>
      </w:r>
      <w:r w:rsidR="006B6352">
        <w:rPr>
          <w:lang w:val="fr-FR"/>
        </w:rPr>
        <w:t>’</w:t>
      </w:r>
      <w:r w:rsidRPr="003A2D14">
        <w:rPr>
          <w:lang w:val="fr-FR"/>
        </w:rPr>
        <w:t>il soit procédé à un dernier examen d</w:t>
      </w:r>
      <w:r w:rsidR="006B6352">
        <w:rPr>
          <w:lang w:val="fr-FR"/>
        </w:rPr>
        <w:t>’</w:t>
      </w:r>
      <w:r w:rsidRPr="003A2D14">
        <w:rPr>
          <w:lang w:val="fr-FR"/>
        </w:rPr>
        <w:t>une version actualisée du texte à la session suivante du Groupe de travail. Il a invité les experts de la France, du Royaume-Uni et de l</w:t>
      </w:r>
      <w:r w:rsidR="006B6352">
        <w:rPr>
          <w:lang w:val="fr-FR"/>
        </w:rPr>
        <w:t>’</w:t>
      </w:r>
      <w:r w:rsidRPr="003A2D14">
        <w:rPr>
          <w:lang w:val="fr-FR"/>
        </w:rPr>
        <w:t>OICA à travailler à une proposition commune.</w:t>
      </w:r>
    </w:p>
    <w:p w:rsidR="003A2D14" w:rsidRPr="003A2D14" w:rsidRDefault="003A2D14" w:rsidP="00C435EE">
      <w:pPr>
        <w:pStyle w:val="HChG"/>
        <w:rPr>
          <w:lang w:val="fr-FR"/>
        </w:rPr>
      </w:pPr>
      <w:r w:rsidRPr="003A2D14">
        <w:rPr>
          <w:lang w:val="fr-FR"/>
        </w:rPr>
        <w:tab/>
        <w:t>VIII.</w:t>
      </w:r>
      <w:r w:rsidRPr="003A2D14">
        <w:rPr>
          <w:lang w:val="fr-FR"/>
        </w:rPr>
        <w:tab/>
        <w:t>Règlement n</w:t>
      </w:r>
      <w:r w:rsidRPr="003A2D14">
        <w:rPr>
          <w:vertAlign w:val="superscript"/>
          <w:lang w:val="fr-FR"/>
        </w:rPr>
        <w:t>o</w:t>
      </w:r>
      <w:r w:rsidRPr="003A2D14">
        <w:rPr>
          <w:lang w:val="fr-FR"/>
        </w:rPr>
        <w:t> 67 (Véhicules alimentés au G</w:t>
      </w:r>
      <w:r w:rsidR="00A659B9">
        <w:rPr>
          <w:lang w:val="fr-FR"/>
        </w:rPr>
        <w:t xml:space="preserve">PL) </w:t>
      </w:r>
      <w:r w:rsidR="00A659B9">
        <w:rPr>
          <w:lang w:val="fr-FR"/>
        </w:rPr>
        <w:br/>
        <w:t>(point </w:t>
      </w:r>
      <w:r w:rsidRPr="003A2D14">
        <w:rPr>
          <w:lang w:val="fr-FR"/>
        </w:rPr>
        <w:t>7 de l</w:t>
      </w:r>
      <w:r w:rsidR="006B6352">
        <w:rPr>
          <w:lang w:val="fr-FR"/>
        </w:rPr>
        <w:t>’</w:t>
      </w:r>
      <w:r w:rsidRPr="003A2D14">
        <w:rPr>
          <w:lang w:val="fr-FR"/>
        </w:rPr>
        <w:t>ordre du jour)</w:t>
      </w:r>
    </w:p>
    <w:p w:rsidR="003A2D14" w:rsidRPr="003A2D14" w:rsidRDefault="003A2D14" w:rsidP="00A659B9">
      <w:pPr>
        <w:pStyle w:val="SingleTxtG"/>
        <w:keepNext/>
        <w:keepLines/>
        <w:ind w:left="2268" w:hanging="1134"/>
        <w:rPr>
          <w:lang w:val="fr-FR"/>
        </w:rPr>
      </w:pPr>
      <w:r w:rsidRPr="003A2D14">
        <w:rPr>
          <w:i/>
          <w:lang w:val="fr-FR"/>
        </w:rPr>
        <w:t>Documents </w:t>
      </w:r>
      <w:r w:rsidRPr="00F15A18">
        <w:t xml:space="preserve">: </w:t>
      </w:r>
      <w:r w:rsidRPr="003A2D14">
        <w:rPr>
          <w:lang w:val="fr-FR"/>
        </w:rPr>
        <w:tab/>
        <w:t>ECE/TRANS/WP.29/GRSG/2016/7</w:t>
      </w:r>
      <w:r w:rsidR="00C435EE">
        <w:rPr>
          <w:lang w:val="fr-FR"/>
        </w:rPr>
        <w:t>,</w:t>
      </w:r>
      <w:r w:rsidRPr="003A2D14">
        <w:rPr>
          <w:lang w:val="fr-FR"/>
        </w:rPr>
        <w:t xml:space="preserve"> </w:t>
      </w:r>
      <w:r w:rsidR="00A659B9">
        <w:rPr>
          <w:lang w:val="fr-FR"/>
        </w:rPr>
        <w:br/>
      </w:r>
      <w:r w:rsidRPr="003A2D14">
        <w:rPr>
          <w:lang w:val="fr-FR"/>
        </w:rPr>
        <w:t>ECE/TRANS/WP.29/GRSG/2016/15 ;</w:t>
      </w:r>
      <w:r w:rsidRPr="003A2D14">
        <w:rPr>
          <w:lang w:val="fr-FR"/>
        </w:rPr>
        <w:br/>
        <w:t>documents informels GRSG-111-17 et GRSG-111-19-Rev.1</w:t>
      </w:r>
      <w:r w:rsidR="00C435EE">
        <w:rPr>
          <w:lang w:val="fr-FR"/>
        </w:rPr>
        <w:t>.</w:t>
      </w:r>
    </w:p>
    <w:p w:rsidR="003A2D14" w:rsidRPr="003A2D14" w:rsidRDefault="003A2D14" w:rsidP="009F5F9A">
      <w:pPr>
        <w:pStyle w:val="ParNoG"/>
        <w:tabs>
          <w:tab w:val="clear" w:pos="1701"/>
        </w:tabs>
        <w:rPr>
          <w:lang w:val="fr-FR"/>
        </w:rPr>
      </w:pPr>
      <w:r w:rsidRPr="003A2D14">
        <w:rPr>
          <w:lang w:val="fr-FR"/>
        </w:rPr>
        <w:t>L</w:t>
      </w:r>
      <w:r w:rsidR="006B6352">
        <w:rPr>
          <w:lang w:val="fr-FR"/>
        </w:rPr>
        <w:t>’</w:t>
      </w:r>
      <w:r w:rsidRPr="003A2D14">
        <w:rPr>
          <w:lang w:val="fr-FR"/>
        </w:rPr>
        <w:t>expert des Pays-Bas a présenté le document GRSG-111-19 remplaçant le document ECE/TRANS/WP.29/GRSG/2016/7 et modifiant les dispositions du Règlement</w:t>
      </w:r>
      <w:r w:rsidR="00C435EE">
        <w:rPr>
          <w:lang w:val="fr-FR"/>
        </w:rPr>
        <w:t> </w:t>
      </w:r>
      <w:r w:rsidRPr="003A2D14">
        <w:rPr>
          <w:lang w:val="fr-FR"/>
        </w:rPr>
        <w:t>n</w:t>
      </w:r>
      <w:r w:rsidRPr="003A2D14">
        <w:rPr>
          <w:vertAlign w:val="superscript"/>
          <w:lang w:val="fr-FR"/>
        </w:rPr>
        <w:t>o</w:t>
      </w:r>
      <w:r w:rsidRPr="003A2D14">
        <w:rPr>
          <w:lang w:val="fr-FR"/>
        </w:rPr>
        <w:t> 67 sur les véhicules alimentés au GPL afin de permettre l</w:t>
      </w:r>
      <w:r w:rsidR="006B6352">
        <w:rPr>
          <w:lang w:val="fr-FR"/>
        </w:rPr>
        <w:t>’</w:t>
      </w:r>
      <w:r w:rsidRPr="003A2D14">
        <w:rPr>
          <w:lang w:val="fr-FR"/>
        </w:rPr>
        <w:t>utilisation de flexibles de la classe 0/I avec des raccords faits de tuyaux rigides constitués d</w:t>
      </w:r>
      <w:r w:rsidR="006B6352">
        <w:rPr>
          <w:lang w:val="fr-FR"/>
        </w:rPr>
        <w:t>’</w:t>
      </w:r>
      <w:r w:rsidRPr="003A2D14">
        <w:rPr>
          <w:lang w:val="fr-FR"/>
        </w:rPr>
        <w:t>un matériau autre que sans soudure. Ce document a suscité diverses observations. Le Groupe de travail a pris note des réserves pour examen formulées par les experts de l</w:t>
      </w:r>
      <w:r w:rsidR="006B6352">
        <w:rPr>
          <w:lang w:val="fr-FR"/>
        </w:rPr>
        <w:t>’</w:t>
      </w:r>
      <w:r w:rsidRPr="003A2D14">
        <w:rPr>
          <w:lang w:val="fr-FR"/>
        </w:rPr>
        <w:t>Allemagne et de l</w:t>
      </w:r>
      <w:r w:rsidR="006B6352">
        <w:rPr>
          <w:lang w:val="fr-FR"/>
        </w:rPr>
        <w:t>’</w:t>
      </w:r>
      <w:r w:rsidRPr="003A2D14">
        <w:rPr>
          <w:lang w:val="fr-FR"/>
        </w:rPr>
        <w:t>Association européenne des gaz de pétrole liquéfiés. Le Groupe de travail a examiné la proposition telle qu</w:t>
      </w:r>
      <w:r w:rsidR="006B6352">
        <w:rPr>
          <w:lang w:val="fr-FR"/>
        </w:rPr>
        <w:t>’</w:t>
      </w:r>
      <w:r w:rsidRPr="003A2D14">
        <w:rPr>
          <w:lang w:val="fr-FR"/>
        </w:rPr>
        <w:t>énoncée dans le document GRSG-111-19-Rev.1 et a décidé de reprendre l</w:t>
      </w:r>
      <w:r w:rsidR="006B6352">
        <w:rPr>
          <w:lang w:val="fr-FR"/>
        </w:rPr>
        <w:t>’</w:t>
      </w:r>
      <w:r w:rsidRPr="003A2D14">
        <w:rPr>
          <w:lang w:val="fr-FR"/>
        </w:rPr>
        <w:t>examen de cette question à sa session suivante, prévue en avril 2017. Le</w:t>
      </w:r>
      <w:r w:rsidR="00C435EE">
        <w:rPr>
          <w:lang w:val="fr-FR"/>
        </w:rPr>
        <w:t> </w:t>
      </w:r>
      <w:r w:rsidRPr="003A2D14">
        <w:rPr>
          <w:lang w:val="fr-FR"/>
        </w:rPr>
        <w:t>secrétariat a été prié de diffuser le document informel GRSG-111-19-Rev.1 sous une cote officielle.</w:t>
      </w:r>
    </w:p>
    <w:p w:rsidR="003A2D14" w:rsidRPr="003A2D14" w:rsidRDefault="003A2D14" w:rsidP="009F5F9A">
      <w:pPr>
        <w:pStyle w:val="ParNoG"/>
        <w:tabs>
          <w:tab w:val="clear" w:pos="1701"/>
        </w:tabs>
        <w:rPr>
          <w:lang w:val="fr-FR"/>
        </w:rPr>
      </w:pPr>
      <w:r w:rsidRPr="003A2D14">
        <w:rPr>
          <w:lang w:val="fr-FR"/>
        </w:rPr>
        <w:t>L</w:t>
      </w:r>
      <w:r w:rsidR="006B6352">
        <w:rPr>
          <w:lang w:val="fr-FR"/>
        </w:rPr>
        <w:t>’</w:t>
      </w:r>
      <w:r w:rsidRPr="003A2D14">
        <w:rPr>
          <w:lang w:val="fr-FR"/>
        </w:rPr>
        <w:t>expert de l</w:t>
      </w:r>
      <w:r w:rsidR="006B6352">
        <w:rPr>
          <w:lang w:val="fr-FR"/>
        </w:rPr>
        <w:t>’</w:t>
      </w:r>
      <w:r w:rsidRPr="003A2D14">
        <w:rPr>
          <w:lang w:val="fr-FR"/>
        </w:rPr>
        <w:t>Association européenne des gaz de pétrole liquéfiés a présenté le document ECE/TRANS/WP.29/GRSG/2016/15, dans lequel il est proposé d</w:t>
      </w:r>
      <w:r w:rsidR="006B6352">
        <w:rPr>
          <w:lang w:val="fr-FR"/>
        </w:rPr>
        <w:t>’</w:t>
      </w:r>
      <w:r w:rsidRPr="003A2D14">
        <w:rPr>
          <w:lang w:val="fr-FR"/>
        </w:rPr>
        <w:t>ajouter de nouvelles dispositions en matière de sécurité dans le Règlement n</w:t>
      </w:r>
      <w:r w:rsidRPr="003A2D14">
        <w:rPr>
          <w:vertAlign w:val="superscript"/>
          <w:lang w:val="fr-FR"/>
        </w:rPr>
        <w:t>o</w:t>
      </w:r>
      <w:r w:rsidRPr="003A2D14">
        <w:rPr>
          <w:lang w:val="fr-FR"/>
        </w:rPr>
        <w:t> 67 en ce qui concerne les systèmes d</w:t>
      </w:r>
      <w:r w:rsidR="006B6352">
        <w:rPr>
          <w:lang w:val="fr-FR"/>
        </w:rPr>
        <w:t>’</w:t>
      </w:r>
      <w:r w:rsidRPr="003A2D14">
        <w:rPr>
          <w:lang w:val="fr-FR"/>
        </w:rPr>
        <w:t>alimentation en gaz de pétrole liquéfié (GPL) présentant des interconnexions hydrauliques avec le système d</w:t>
      </w:r>
      <w:r w:rsidR="006B6352">
        <w:rPr>
          <w:lang w:val="fr-FR"/>
        </w:rPr>
        <w:t>’</w:t>
      </w:r>
      <w:r w:rsidRPr="003A2D14">
        <w:rPr>
          <w:lang w:val="fr-FR"/>
        </w:rPr>
        <w:t>alimentation en essence ou en gazole par lesquelles pourraient se produire des mélanges de carburants. L</w:t>
      </w:r>
      <w:r w:rsidR="006B6352">
        <w:rPr>
          <w:lang w:val="fr-FR"/>
        </w:rPr>
        <w:t>’</w:t>
      </w:r>
      <w:r w:rsidRPr="003A2D14">
        <w:rPr>
          <w:lang w:val="fr-FR"/>
        </w:rPr>
        <w:t>expert de l</w:t>
      </w:r>
      <w:r w:rsidR="006B6352">
        <w:rPr>
          <w:lang w:val="fr-FR"/>
        </w:rPr>
        <w:t>’</w:t>
      </w:r>
      <w:r w:rsidRPr="003A2D14">
        <w:rPr>
          <w:lang w:val="fr-FR"/>
        </w:rPr>
        <w:t>Allemagne s</w:t>
      </w:r>
      <w:r w:rsidR="006B6352">
        <w:rPr>
          <w:lang w:val="fr-FR"/>
        </w:rPr>
        <w:t>’</w:t>
      </w:r>
      <w:r w:rsidRPr="003A2D14">
        <w:rPr>
          <w:lang w:val="fr-FR"/>
        </w:rPr>
        <w:t>est opposé à l</w:t>
      </w:r>
      <w:r w:rsidR="006B6352">
        <w:rPr>
          <w:lang w:val="fr-FR"/>
        </w:rPr>
        <w:t>’</w:t>
      </w:r>
      <w:r w:rsidRPr="003A2D14">
        <w:rPr>
          <w:lang w:val="fr-FR"/>
        </w:rPr>
        <w:t>adoption de la proposition, étant donné que des risques liés à la sécurité (surremplissage du réservoir) demeuraient, notamment parce qu</w:t>
      </w:r>
      <w:r w:rsidR="006B6352">
        <w:rPr>
          <w:lang w:val="fr-FR"/>
        </w:rPr>
        <w:t>’</w:t>
      </w:r>
      <w:r w:rsidRPr="003A2D14">
        <w:rPr>
          <w:lang w:val="fr-FR"/>
        </w:rPr>
        <w:t>un faible écoulement d</w:t>
      </w:r>
      <w:r w:rsidR="006B6352">
        <w:rPr>
          <w:lang w:val="fr-FR"/>
        </w:rPr>
        <w:t>’</w:t>
      </w:r>
      <w:r w:rsidRPr="003A2D14">
        <w:rPr>
          <w:lang w:val="fr-FR"/>
        </w:rPr>
        <w:t>essence dans le réservoir à GPL était encore possible. L</w:t>
      </w:r>
      <w:r w:rsidR="006B6352">
        <w:rPr>
          <w:lang w:val="fr-FR"/>
        </w:rPr>
        <w:t>’</w:t>
      </w:r>
      <w:r w:rsidRPr="003A2D14">
        <w:rPr>
          <w:lang w:val="fr-FR"/>
        </w:rPr>
        <w:t>expert du Royaume-Uni a souligné la nécessité de vérifier toutes les références à des paragraphes dans la proposition. Le Groupe de travail a décidé de procéder à un dernier examen de la proposition à sa session suivante, prévue en avril 2017, sur la base d</w:t>
      </w:r>
      <w:r w:rsidR="006B6352">
        <w:rPr>
          <w:lang w:val="fr-FR"/>
        </w:rPr>
        <w:t>’</w:t>
      </w:r>
      <w:r w:rsidRPr="003A2D14">
        <w:rPr>
          <w:lang w:val="fr-FR"/>
        </w:rPr>
        <w:t>un document révisé qui serait soumis par l</w:t>
      </w:r>
      <w:r w:rsidR="006B6352">
        <w:rPr>
          <w:lang w:val="fr-FR"/>
        </w:rPr>
        <w:t>’</w:t>
      </w:r>
      <w:r w:rsidRPr="003A2D14">
        <w:rPr>
          <w:lang w:val="fr-FR"/>
        </w:rPr>
        <w:t>AEGPL.</w:t>
      </w:r>
    </w:p>
    <w:p w:rsidR="003A2D14" w:rsidRPr="003A2D14" w:rsidRDefault="003A2D14" w:rsidP="009F5F9A">
      <w:pPr>
        <w:pStyle w:val="ParNoG"/>
        <w:tabs>
          <w:tab w:val="clear" w:pos="1701"/>
        </w:tabs>
        <w:rPr>
          <w:lang w:val="fr-FR"/>
        </w:rPr>
      </w:pPr>
      <w:r w:rsidRPr="003A2D14">
        <w:rPr>
          <w:lang w:val="fr-FR"/>
        </w:rPr>
        <w:t>L</w:t>
      </w:r>
      <w:r w:rsidR="006B6352">
        <w:rPr>
          <w:lang w:val="fr-FR"/>
        </w:rPr>
        <w:t>’</w:t>
      </w:r>
      <w:r w:rsidRPr="003A2D14">
        <w:rPr>
          <w:lang w:val="fr-FR"/>
        </w:rPr>
        <w:t>expert de la Pologne a présenté le document GRSG-111-17 visant à préciser les dispositions relatives à l</w:t>
      </w:r>
      <w:r w:rsidR="006B6352">
        <w:rPr>
          <w:lang w:val="fr-FR"/>
        </w:rPr>
        <w:t>’</w:t>
      </w:r>
      <w:r w:rsidRPr="003A2D14">
        <w:rPr>
          <w:lang w:val="fr-FR"/>
        </w:rPr>
        <w:t>homologation de type des accessoires fixés au réservoir. La proposition a reçu un soutien général et a suscité plusieurs observations. À la suite d</w:t>
      </w:r>
      <w:r w:rsidR="006B6352">
        <w:rPr>
          <w:lang w:val="fr-FR"/>
        </w:rPr>
        <w:t>’</w:t>
      </w:r>
      <w:r w:rsidRPr="003A2D14">
        <w:rPr>
          <w:lang w:val="fr-FR"/>
        </w:rPr>
        <w:t>une réserve pour étude formulée par les experts de l</w:t>
      </w:r>
      <w:r w:rsidR="006B6352">
        <w:rPr>
          <w:lang w:val="fr-FR"/>
        </w:rPr>
        <w:t>’</w:t>
      </w:r>
      <w:r w:rsidRPr="003A2D14">
        <w:rPr>
          <w:lang w:val="fr-FR"/>
        </w:rPr>
        <w:t>Allemagne et de la CLEPA, le Groupe de travail a décidé de reprendre l</w:t>
      </w:r>
      <w:r w:rsidR="006B6352">
        <w:rPr>
          <w:lang w:val="fr-FR"/>
        </w:rPr>
        <w:t>’</w:t>
      </w:r>
      <w:r w:rsidRPr="003A2D14">
        <w:rPr>
          <w:lang w:val="fr-FR"/>
        </w:rPr>
        <w:t>examen de cette proposition à sa session suivante, prévue en avril 2017, sur la base d</w:t>
      </w:r>
      <w:r w:rsidR="006B6352">
        <w:rPr>
          <w:lang w:val="fr-FR"/>
        </w:rPr>
        <w:t>’</w:t>
      </w:r>
      <w:r w:rsidRPr="003A2D14">
        <w:rPr>
          <w:lang w:val="fr-FR"/>
        </w:rPr>
        <w:t>un document révisé qui serait soumis par la Pologne. Le Président a invité tous les experts à faire part par écrit de leurs observations à l</w:t>
      </w:r>
      <w:r w:rsidR="006B6352">
        <w:rPr>
          <w:lang w:val="fr-FR"/>
        </w:rPr>
        <w:t>’</w:t>
      </w:r>
      <w:r w:rsidRPr="003A2D14">
        <w:rPr>
          <w:lang w:val="fr-FR"/>
        </w:rPr>
        <w:t>expert de la Pologne.</w:t>
      </w:r>
    </w:p>
    <w:p w:rsidR="003A2D14" w:rsidRPr="003A2D14" w:rsidRDefault="00C435EE" w:rsidP="00C435EE">
      <w:pPr>
        <w:pStyle w:val="HChG"/>
        <w:rPr>
          <w:lang w:val="fr-FR"/>
        </w:rPr>
      </w:pPr>
      <w:r>
        <w:rPr>
          <w:lang w:val="fr-FR"/>
        </w:rPr>
        <w:tab/>
        <w:t xml:space="preserve">IX. </w:t>
      </w:r>
      <w:r>
        <w:rPr>
          <w:lang w:val="fr-FR"/>
        </w:rPr>
        <w:tab/>
      </w:r>
      <w:r w:rsidR="003A2D14" w:rsidRPr="003A2D14">
        <w:rPr>
          <w:lang w:val="fr-FR"/>
        </w:rPr>
        <w:t>Règlement n</w:t>
      </w:r>
      <w:r w:rsidR="003A2D14" w:rsidRPr="003A2D14">
        <w:rPr>
          <w:vertAlign w:val="superscript"/>
          <w:lang w:val="fr-FR"/>
        </w:rPr>
        <w:t>o</w:t>
      </w:r>
      <w:r w:rsidR="003A2D14" w:rsidRPr="003A2D14">
        <w:rPr>
          <w:lang w:val="fr-FR"/>
        </w:rPr>
        <w:t xml:space="preserve"> 73 (Dispositifs </w:t>
      </w:r>
      <w:r>
        <w:rPr>
          <w:lang w:val="fr-FR"/>
        </w:rPr>
        <w:t xml:space="preserve">de protection latérale) </w:t>
      </w:r>
      <w:r>
        <w:rPr>
          <w:lang w:val="fr-FR"/>
        </w:rPr>
        <w:br/>
        <w:t>(point </w:t>
      </w:r>
      <w:r w:rsidR="003A2D14" w:rsidRPr="003A2D14">
        <w:rPr>
          <w:lang w:val="fr-FR"/>
        </w:rPr>
        <w:t>8 de l</w:t>
      </w:r>
      <w:r w:rsidR="006B6352">
        <w:rPr>
          <w:lang w:val="fr-FR"/>
        </w:rPr>
        <w:t>’</w:t>
      </w:r>
      <w:r w:rsidR="003A2D14" w:rsidRPr="003A2D14">
        <w:rPr>
          <w:lang w:val="fr-FR"/>
        </w:rPr>
        <w:t>ordre du jour)</w:t>
      </w:r>
    </w:p>
    <w:p w:rsidR="003A2D14" w:rsidRPr="003A2D14" w:rsidRDefault="003A2D14" w:rsidP="00C435EE">
      <w:pPr>
        <w:pStyle w:val="SingleTxtG"/>
        <w:ind w:left="2268" w:hanging="1134"/>
        <w:rPr>
          <w:lang w:val="fr-FR"/>
        </w:rPr>
      </w:pPr>
      <w:r w:rsidRPr="003A2D14">
        <w:rPr>
          <w:i/>
          <w:lang w:val="fr-FR"/>
        </w:rPr>
        <w:t>Documents </w:t>
      </w:r>
      <w:r w:rsidRPr="00F15A18">
        <w:t xml:space="preserve">: </w:t>
      </w:r>
      <w:r w:rsidRPr="003A2D14">
        <w:rPr>
          <w:lang w:val="fr-FR"/>
        </w:rPr>
        <w:tab/>
        <w:t xml:space="preserve">ECE/TRANS/WP.29/GRSG/2016/2, </w:t>
      </w:r>
      <w:r w:rsidR="00A659B9">
        <w:rPr>
          <w:lang w:val="fr-FR"/>
        </w:rPr>
        <w:br/>
      </w:r>
      <w:r w:rsidRPr="003A2D14">
        <w:rPr>
          <w:lang w:val="fr-FR"/>
        </w:rPr>
        <w:t>ECE/TRANS/WP.29/GRSG/2016/18 ;</w:t>
      </w:r>
      <w:r w:rsidRPr="003A2D14">
        <w:rPr>
          <w:lang w:val="fr-FR"/>
        </w:rPr>
        <w:br/>
        <w:t>document informel GRSG-110-20-Rev.1</w:t>
      </w:r>
      <w:r w:rsidR="00F15A18">
        <w:rPr>
          <w:lang w:val="fr-FR"/>
        </w:rPr>
        <w:t>.</w:t>
      </w:r>
    </w:p>
    <w:p w:rsidR="003A2D14" w:rsidRPr="003A2D14" w:rsidRDefault="003A2D14" w:rsidP="009F5F9A">
      <w:pPr>
        <w:pStyle w:val="ParNoG"/>
        <w:tabs>
          <w:tab w:val="clear" w:pos="1701"/>
        </w:tabs>
        <w:rPr>
          <w:lang w:val="fr-FR"/>
        </w:rPr>
      </w:pPr>
      <w:r w:rsidRPr="003A2D14">
        <w:rPr>
          <w:lang w:val="fr-FR"/>
        </w:rPr>
        <w:t>L</w:t>
      </w:r>
      <w:r w:rsidR="006B6352">
        <w:rPr>
          <w:lang w:val="fr-FR"/>
        </w:rPr>
        <w:t>’</w:t>
      </w:r>
      <w:r w:rsidRPr="003A2D14">
        <w:rPr>
          <w:lang w:val="fr-FR"/>
        </w:rPr>
        <w:t>expert du CLCCR a présenté le document ECE/TRANS/WP.29/GRSG/2016/18 portant modification du champ d</w:t>
      </w:r>
      <w:r w:rsidR="006B6352">
        <w:rPr>
          <w:lang w:val="fr-FR"/>
        </w:rPr>
        <w:t>’</w:t>
      </w:r>
      <w:r w:rsidRPr="003A2D14">
        <w:rPr>
          <w:lang w:val="fr-FR"/>
        </w:rPr>
        <w:t>application du Règlement de manière à garantir que le plus grand nombre possible de véhicules soient équipés de dispositifs de protection latérale, et a déclaré souhaiter insérer des dérogations pour certains produits de niche (document GRSG-110-20-Rev.1). L</w:t>
      </w:r>
      <w:r w:rsidR="006B6352">
        <w:rPr>
          <w:lang w:val="fr-FR"/>
        </w:rPr>
        <w:t>’</w:t>
      </w:r>
      <w:r w:rsidRPr="003A2D14">
        <w:rPr>
          <w:lang w:val="fr-FR"/>
        </w:rPr>
        <w:t>expert du Royaume-Uni a exprimé des préoccupations et a déclaré préférer conserver les amendements tels que proposés dans le document ECE/TRANS/WP.29/GRSG/2016/2, par lequel il est permis aux Parties contractantes de refuser ou d</w:t>
      </w:r>
      <w:r w:rsidR="006B6352">
        <w:rPr>
          <w:lang w:val="fr-FR"/>
        </w:rPr>
        <w:t>’</w:t>
      </w:r>
      <w:r w:rsidRPr="003A2D14">
        <w:rPr>
          <w:lang w:val="fr-FR"/>
        </w:rPr>
        <w:t>accepter lesdits dispositifs. Le Groupe de travail a pris note de diverses observations et de l</w:t>
      </w:r>
      <w:r w:rsidR="006B6352">
        <w:rPr>
          <w:lang w:val="fr-FR"/>
        </w:rPr>
        <w:t>’</w:t>
      </w:r>
      <w:r w:rsidRPr="003A2D14">
        <w:rPr>
          <w:lang w:val="fr-FR"/>
        </w:rPr>
        <w:t>appui général au document ECE/TRANS/WP.29/GRSG/2016/18.</w:t>
      </w:r>
    </w:p>
    <w:p w:rsidR="003A2D14" w:rsidRPr="003A2D14" w:rsidRDefault="003A2D14" w:rsidP="009F5F9A">
      <w:pPr>
        <w:pStyle w:val="ParNoG"/>
        <w:tabs>
          <w:tab w:val="clear" w:pos="1701"/>
        </w:tabs>
        <w:rPr>
          <w:lang w:val="fr-FR"/>
        </w:rPr>
      </w:pPr>
      <w:r w:rsidRPr="003A2D14">
        <w:rPr>
          <w:lang w:val="fr-FR"/>
        </w:rPr>
        <w:t>Enfin, le Groupe de travail a adopté le document ECE/TRANS/WP.29/GRSG/</w:t>
      </w:r>
      <w:r w:rsidR="00C435EE">
        <w:rPr>
          <w:lang w:val="fr-FR"/>
        </w:rPr>
        <w:br/>
      </w:r>
      <w:r w:rsidRPr="003A2D14">
        <w:rPr>
          <w:lang w:val="fr-FR"/>
        </w:rPr>
        <w:t>2016/18 et a chargé le secrétariat de le soumettre au Forum mondial et au Comité d</w:t>
      </w:r>
      <w:r w:rsidR="006B6352">
        <w:rPr>
          <w:lang w:val="fr-FR"/>
        </w:rPr>
        <w:t>’</w:t>
      </w:r>
      <w:r w:rsidRPr="003A2D14">
        <w:rPr>
          <w:lang w:val="fr-FR"/>
        </w:rPr>
        <w:t>administration aux fins d</w:t>
      </w:r>
      <w:r w:rsidR="006B6352">
        <w:rPr>
          <w:lang w:val="fr-FR"/>
        </w:rPr>
        <w:t>’</w:t>
      </w:r>
      <w:r w:rsidRPr="003A2D14">
        <w:rPr>
          <w:lang w:val="fr-FR"/>
        </w:rPr>
        <w:t>examen à leurs sessions de mars 2017, en tant que projet de complément 1 à la série 01 d</w:t>
      </w:r>
      <w:r w:rsidR="006B6352">
        <w:rPr>
          <w:lang w:val="fr-FR"/>
        </w:rPr>
        <w:t>’</w:t>
      </w:r>
      <w:r w:rsidRPr="003A2D14">
        <w:rPr>
          <w:lang w:val="fr-FR"/>
        </w:rPr>
        <w:t>amendements au Règlement n</w:t>
      </w:r>
      <w:r w:rsidRPr="003A2D14">
        <w:rPr>
          <w:vertAlign w:val="superscript"/>
          <w:lang w:val="fr-FR"/>
        </w:rPr>
        <w:t>o</w:t>
      </w:r>
      <w:r w:rsidRPr="003A2D14">
        <w:rPr>
          <w:lang w:val="fr-FR"/>
        </w:rPr>
        <w:t> 73.</w:t>
      </w:r>
    </w:p>
    <w:p w:rsidR="003A2D14" w:rsidRPr="003A2D14" w:rsidRDefault="003A2D14" w:rsidP="00C435EE">
      <w:pPr>
        <w:pStyle w:val="HChG"/>
        <w:rPr>
          <w:lang w:val="fr-FR"/>
        </w:rPr>
      </w:pPr>
      <w:r w:rsidRPr="003A2D14">
        <w:rPr>
          <w:lang w:val="fr-FR"/>
        </w:rPr>
        <w:tab/>
        <w:t>X.</w:t>
      </w:r>
      <w:r w:rsidRPr="003A2D14">
        <w:rPr>
          <w:lang w:val="fr-FR"/>
        </w:rPr>
        <w:tab/>
        <w:t>Règlement n</w:t>
      </w:r>
      <w:r w:rsidRPr="003A2D14">
        <w:rPr>
          <w:vertAlign w:val="superscript"/>
          <w:lang w:val="fr-FR"/>
        </w:rPr>
        <w:t>o</w:t>
      </w:r>
      <w:r w:rsidRPr="003A2D14">
        <w:rPr>
          <w:lang w:val="fr-FR"/>
        </w:rPr>
        <w:t> 110 (Véhicule</w:t>
      </w:r>
      <w:r w:rsidR="00C435EE">
        <w:rPr>
          <w:lang w:val="fr-FR"/>
        </w:rPr>
        <w:t xml:space="preserve">s alimentés au GNC/GNL) </w:t>
      </w:r>
      <w:r w:rsidR="00C435EE">
        <w:rPr>
          <w:lang w:val="fr-FR"/>
        </w:rPr>
        <w:br/>
        <w:t>(point </w:t>
      </w:r>
      <w:r w:rsidRPr="003A2D14">
        <w:rPr>
          <w:lang w:val="fr-FR"/>
        </w:rPr>
        <w:t>9 de l</w:t>
      </w:r>
      <w:r w:rsidR="006B6352">
        <w:rPr>
          <w:lang w:val="fr-FR"/>
        </w:rPr>
        <w:t>’</w:t>
      </w:r>
      <w:r w:rsidRPr="003A2D14">
        <w:rPr>
          <w:lang w:val="fr-FR"/>
        </w:rPr>
        <w:t>ordre du jour)</w:t>
      </w:r>
    </w:p>
    <w:p w:rsidR="003A2D14" w:rsidRPr="003A2D14" w:rsidRDefault="003A2D14" w:rsidP="00C435EE">
      <w:pPr>
        <w:pStyle w:val="SingleTxtG"/>
        <w:ind w:left="2268" w:hanging="1134"/>
        <w:jc w:val="left"/>
        <w:rPr>
          <w:lang w:val="fr-FR"/>
        </w:rPr>
      </w:pPr>
      <w:r w:rsidRPr="003A2D14">
        <w:rPr>
          <w:i/>
          <w:lang w:val="fr-FR"/>
        </w:rPr>
        <w:t>Documents </w:t>
      </w:r>
      <w:r w:rsidRPr="00F15A18">
        <w:t>:</w:t>
      </w:r>
      <w:r w:rsidRPr="003A2D14">
        <w:rPr>
          <w:lang w:val="fr-FR"/>
        </w:rPr>
        <w:tab/>
        <w:t xml:space="preserve">ECE/TRANS/WP.29/GRSG/2016/6, </w:t>
      </w:r>
      <w:r w:rsidR="00A659B9">
        <w:rPr>
          <w:lang w:val="fr-FR"/>
        </w:rPr>
        <w:br/>
      </w:r>
      <w:r w:rsidRPr="003A2D14">
        <w:rPr>
          <w:lang w:val="fr-FR"/>
        </w:rPr>
        <w:t xml:space="preserve">ECE/TRANS/WP.29/GRSG/2016/16, </w:t>
      </w:r>
      <w:r w:rsidR="00A659B9">
        <w:rPr>
          <w:lang w:val="fr-FR"/>
        </w:rPr>
        <w:br/>
      </w:r>
      <w:r w:rsidRPr="003A2D14">
        <w:rPr>
          <w:lang w:val="fr-FR"/>
        </w:rPr>
        <w:t>ECE/TRANS/WP.29/GRSG/2016/22 ;</w:t>
      </w:r>
      <w:r w:rsidRPr="003A2D14">
        <w:rPr>
          <w:lang w:val="fr-FR"/>
        </w:rPr>
        <w:br/>
        <w:t>docume</w:t>
      </w:r>
      <w:r w:rsidR="00A659B9">
        <w:rPr>
          <w:lang w:val="fr-FR"/>
        </w:rPr>
        <w:t xml:space="preserve">nts informels GRSG-111-02-Rev.1 ; </w:t>
      </w:r>
      <w:r w:rsidR="00A659B9">
        <w:rPr>
          <w:lang w:val="fr-FR"/>
        </w:rPr>
        <w:br/>
        <w:t>GRSG-111-03,</w:t>
      </w:r>
      <w:r w:rsidRPr="003A2D14">
        <w:rPr>
          <w:lang w:val="fr-FR"/>
        </w:rPr>
        <w:t xml:space="preserve"> GRSG-111-18, GRSG-111-20, </w:t>
      </w:r>
      <w:r w:rsidRPr="003A2D14">
        <w:rPr>
          <w:lang w:val="fr-FR"/>
        </w:rPr>
        <w:br/>
        <w:t>GRSG-111-25 et GRSG-111-31</w:t>
      </w:r>
      <w:r w:rsidR="00C435EE">
        <w:rPr>
          <w:lang w:val="fr-FR"/>
        </w:rPr>
        <w:t>.</w:t>
      </w:r>
    </w:p>
    <w:p w:rsidR="003A2D14" w:rsidRPr="003A2D14" w:rsidRDefault="003A2D14" w:rsidP="009F5F9A">
      <w:pPr>
        <w:pStyle w:val="ParNoG"/>
        <w:tabs>
          <w:tab w:val="clear" w:pos="1701"/>
        </w:tabs>
        <w:rPr>
          <w:lang w:val="fr-FR"/>
        </w:rPr>
      </w:pPr>
      <w:r w:rsidRPr="003A2D14">
        <w:rPr>
          <w:lang w:val="fr-FR"/>
        </w:rPr>
        <w:t>L</w:t>
      </w:r>
      <w:r w:rsidR="006B6352">
        <w:rPr>
          <w:lang w:val="fr-FR"/>
        </w:rPr>
        <w:t>’</w:t>
      </w:r>
      <w:r w:rsidRPr="003A2D14">
        <w:rPr>
          <w:lang w:val="fr-FR"/>
        </w:rPr>
        <w:t>expert de la France a proposé d</w:t>
      </w:r>
      <w:r w:rsidR="006B6352">
        <w:rPr>
          <w:lang w:val="fr-FR"/>
        </w:rPr>
        <w:t>’</w:t>
      </w:r>
      <w:r w:rsidRPr="003A2D14">
        <w:rPr>
          <w:lang w:val="fr-FR"/>
        </w:rPr>
        <w:t>intégrer de nouvelles dispositions relatives aux systèmes de réfrigération du compartiment de chargement raccordés au système d</w:t>
      </w:r>
      <w:r w:rsidR="006B6352">
        <w:rPr>
          <w:lang w:val="fr-FR"/>
        </w:rPr>
        <w:t>’</w:t>
      </w:r>
      <w:r w:rsidRPr="003A2D14">
        <w:rPr>
          <w:lang w:val="fr-FR"/>
        </w:rPr>
        <w:t xml:space="preserve">alimentation en gaz naturel comprimé (GNC) et/ou en gaz naturel liquéfié (GNL) (document </w:t>
      </w:r>
      <w:r w:rsidRPr="003A2D14">
        <w:t>ECE/TRANS/WP.29/GRSG/2016/16)</w:t>
      </w:r>
      <w:r w:rsidRPr="003A2D14">
        <w:rPr>
          <w:lang w:val="fr-FR"/>
        </w:rPr>
        <w:t>. L</w:t>
      </w:r>
      <w:r w:rsidR="006B6352">
        <w:rPr>
          <w:lang w:val="fr-FR"/>
        </w:rPr>
        <w:t>’</w:t>
      </w:r>
      <w:r w:rsidRPr="003A2D14">
        <w:rPr>
          <w:lang w:val="fr-FR"/>
        </w:rPr>
        <w:t>expert du Japon a fait part de ses préoccupations concernant les risques présentés par l</w:t>
      </w:r>
      <w:r w:rsidR="006B6352">
        <w:rPr>
          <w:lang w:val="fr-FR"/>
        </w:rPr>
        <w:t>’</w:t>
      </w:r>
      <w:r w:rsidRPr="003A2D14">
        <w:rPr>
          <w:lang w:val="fr-FR"/>
        </w:rPr>
        <w:t>augmentation du nombre de cycles de remplissage de bouteilles de GNC en raison de l</w:t>
      </w:r>
      <w:r w:rsidR="006B6352">
        <w:rPr>
          <w:lang w:val="fr-FR"/>
        </w:rPr>
        <w:t>’</w:t>
      </w:r>
      <w:r w:rsidRPr="003A2D14">
        <w:rPr>
          <w:lang w:val="fr-FR"/>
        </w:rPr>
        <w:t>accroissement de la fréquence de leur remplissage. Il a proposé de compléter les dispositions proposées par des conditions d</w:t>
      </w:r>
      <w:r w:rsidR="006B6352">
        <w:rPr>
          <w:lang w:val="fr-FR"/>
        </w:rPr>
        <w:t>’</w:t>
      </w:r>
      <w:r w:rsidRPr="003A2D14">
        <w:rPr>
          <w:lang w:val="fr-FR"/>
        </w:rPr>
        <w:t>essai complémentaires interdisant de dépasser un nombre maximal de cycles de remplissage des bouteilles pour GNC (document GRSG-111-18). Plusieurs experts ont estimé que le nombre de cycles de remplissage des bouteilles de GNC spécifié dans les prescriptions relatives aux essais du Règlement n</w:t>
      </w:r>
      <w:r w:rsidRPr="003A2D14">
        <w:rPr>
          <w:vertAlign w:val="superscript"/>
          <w:lang w:val="fr-FR"/>
        </w:rPr>
        <w:t>o</w:t>
      </w:r>
      <w:r w:rsidRPr="003A2D14">
        <w:rPr>
          <w:lang w:val="fr-FR"/>
        </w:rPr>
        <w:t> 110 suffisait pour traiter le problème de l</w:t>
      </w:r>
      <w:r w:rsidR="006B6352">
        <w:rPr>
          <w:lang w:val="fr-FR"/>
        </w:rPr>
        <w:t>’</w:t>
      </w:r>
      <w:r w:rsidRPr="003A2D14">
        <w:rPr>
          <w:lang w:val="fr-FR"/>
        </w:rPr>
        <w:t>augmentation de la fréquence des remplissages. Le Groupe de travail n</w:t>
      </w:r>
      <w:r w:rsidR="006B6352">
        <w:rPr>
          <w:lang w:val="fr-FR"/>
        </w:rPr>
        <w:t>’</w:t>
      </w:r>
      <w:r w:rsidRPr="003A2D14">
        <w:rPr>
          <w:lang w:val="fr-FR"/>
        </w:rPr>
        <w:t>a pas appuyé la proposition de conditions d</w:t>
      </w:r>
      <w:r w:rsidR="006B6352">
        <w:rPr>
          <w:lang w:val="fr-FR"/>
        </w:rPr>
        <w:t>’</w:t>
      </w:r>
      <w:r w:rsidRPr="003A2D14">
        <w:rPr>
          <w:lang w:val="fr-FR"/>
        </w:rPr>
        <w:t>essai supplémentaires formulée par le Japon.</w:t>
      </w:r>
    </w:p>
    <w:p w:rsidR="003A2D14" w:rsidRPr="003A2D14" w:rsidRDefault="003A2D14" w:rsidP="009F5F9A">
      <w:pPr>
        <w:pStyle w:val="ParNoG"/>
        <w:tabs>
          <w:tab w:val="clear" w:pos="1701"/>
        </w:tabs>
        <w:rPr>
          <w:lang w:val="fr-FR"/>
        </w:rPr>
      </w:pPr>
      <w:r w:rsidRPr="003A2D14">
        <w:rPr>
          <w:lang w:val="fr-FR"/>
        </w:rPr>
        <w:t>Le Groupe de travail a adopté le document ECE/TRANS/WP.29/GRSG/2016/16 tel qu</w:t>
      </w:r>
      <w:r w:rsidR="006B6352">
        <w:rPr>
          <w:lang w:val="fr-FR"/>
        </w:rPr>
        <w:t>’</w:t>
      </w:r>
      <w:r w:rsidRPr="003A2D14">
        <w:rPr>
          <w:lang w:val="fr-FR"/>
        </w:rPr>
        <w:t>amendé ci-dessous et a chargé le secrétariat de le soumettre au Forum mondial et au Comité d</w:t>
      </w:r>
      <w:r w:rsidR="006B6352">
        <w:rPr>
          <w:lang w:val="fr-FR"/>
        </w:rPr>
        <w:t>’</w:t>
      </w:r>
      <w:r w:rsidRPr="003A2D14">
        <w:rPr>
          <w:lang w:val="fr-FR"/>
        </w:rPr>
        <w:t>administration aux fins d</w:t>
      </w:r>
      <w:r w:rsidR="006B6352">
        <w:rPr>
          <w:lang w:val="fr-FR"/>
        </w:rPr>
        <w:t>’</w:t>
      </w:r>
      <w:r w:rsidRPr="003A2D14">
        <w:rPr>
          <w:lang w:val="fr-FR"/>
        </w:rPr>
        <w:t>examen à leurs sessions de mars 2017, en tant que projet de complément 6 à la série 01 d</w:t>
      </w:r>
      <w:r w:rsidR="006B6352">
        <w:rPr>
          <w:lang w:val="fr-FR"/>
        </w:rPr>
        <w:t>’</w:t>
      </w:r>
      <w:r w:rsidRPr="003A2D14">
        <w:rPr>
          <w:lang w:val="fr-FR"/>
        </w:rPr>
        <w:t>amendements au Règlement n</w:t>
      </w:r>
      <w:r w:rsidRPr="003A2D14">
        <w:rPr>
          <w:vertAlign w:val="superscript"/>
          <w:lang w:val="fr-FR"/>
        </w:rPr>
        <w:t>o</w:t>
      </w:r>
      <w:r w:rsidRPr="003A2D14">
        <w:rPr>
          <w:lang w:val="fr-FR"/>
        </w:rPr>
        <w:t> 110.</w:t>
      </w:r>
    </w:p>
    <w:p w:rsidR="003A2D14" w:rsidRPr="003A2D14" w:rsidRDefault="00C435EE" w:rsidP="003A2D14">
      <w:pPr>
        <w:pStyle w:val="SingleTxtG"/>
        <w:rPr>
          <w:lang w:val="fr-FR"/>
        </w:rPr>
      </w:pPr>
      <w:r>
        <w:rPr>
          <w:i/>
          <w:lang w:val="fr-FR"/>
        </w:rPr>
        <w:t>Paragraphe </w:t>
      </w:r>
      <w:r w:rsidR="003A2D14" w:rsidRPr="003A2D14">
        <w:rPr>
          <w:i/>
          <w:lang w:val="fr-FR"/>
        </w:rPr>
        <w:t xml:space="preserve">18.1.7.1, </w:t>
      </w:r>
      <w:r w:rsidR="003A2D14" w:rsidRPr="003A2D14">
        <w:rPr>
          <w:lang w:val="fr-FR"/>
        </w:rPr>
        <w:t xml:space="preserve">remplacer « compartiment des marchandises » par « compartiment </w:t>
      </w:r>
      <w:r w:rsidR="003A2D14" w:rsidRPr="003A2D14">
        <w:rPr>
          <w:b/>
          <w:lang w:val="fr-FR"/>
        </w:rPr>
        <w:t>de chargement</w:t>
      </w:r>
      <w:r w:rsidR="003A2D14" w:rsidRPr="003A2D14">
        <w:rPr>
          <w:lang w:val="fr-FR"/>
        </w:rPr>
        <w:t> ».</w:t>
      </w:r>
    </w:p>
    <w:p w:rsidR="003A2D14" w:rsidRPr="003A2D14" w:rsidRDefault="00C435EE" w:rsidP="003A2D14">
      <w:pPr>
        <w:pStyle w:val="SingleTxtG"/>
        <w:rPr>
          <w:lang w:val="fr-FR"/>
        </w:rPr>
      </w:pPr>
      <w:r>
        <w:rPr>
          <w:i/>
          <w:lang w:val="fr-FR"/>
        </w:rPr>
        <w:t>Paragraphe 18.5.1.3, alinéas </w:t>
      </w:r>
      <w:r w:rsidR="003A2D14" w:rsidRPr="003A2D14">
        <w:rPr>
          <w:i/>
          <w:lang w:val="fr-FR"/>
        </w:rPr>
        <w:t>b) et</w:t>
      </w:r>
      <w:r>
        <w:rPr>
          <w:i/>
          <w:lang w:val="fr-FR"/>
        </w:rPr>
        <w:t> </w:t>
      </w:r>
      <w:r w:rsidR="003A2D14" w:rsidRPr="003A2D14">
        <w:rPr>
          <w:i/>
          <w:lang w:val="fr-FR"/>
        </w:rPr>
        <w:t>c)</w:t>
      </w:r>
      <w:r w:rsidR="003A2D14" w:rsidRPr="00F15A18">
        <w:t>,</w:t>
      </w:r>
      <w:r w:rsidR="003A2D14" w:rsidRPr="003A2D14">
        <w:rPr>
          <w:i/>
          <w:lang w:val="fr-FR"/>
        </w:rPr>
        <w:t xml:space="preserve"> </w:t>
      </w:r>
      <w:r w:rsidR="003A2D14" w:rsidRPr="003A2D14">
        <w:rPr>
          <w:lang w:val="fr-FR"/>
        </w:rPr>
        <w:t xml:space="preserve">remplacer « compartiment des marchandises » par « compartiment </w:t>
      </w:r>
      <w:r w:rsidR="003A2D14" w:rsidRPr="003A2D14">
        <w:rPr>
          <w:b/>
          <w:lang w:val="fr-FR"/>
        </w:rPr>
        <w:t>de chargement </w:t>
      </w:r>
      <w:r w:rsidR="003A2D14" w:rsidRPr="003A2D14">
        <w:rPr>
          <w:lang w:val="fr-FR"/>
        </w:rPr>
        <w:t xml:space="preserve">» et « contrôle électronique » par « contrôle électronique </w:t>
      </w:r>
      <w:r w:rsidR="003A2D14" w:rsidRPr="003A2D14">
        <w:rPr>
          <w:b/>
          <w:lang w:val="fr-FR"/>
        </w:rPr>
        <w:t>GNC/GNL </w:t>
      </w:r>
      <w:r w:rsidR="003A2D14" w:rsidRPr="003A2D14">
        <w:rPr>
          <w:lang w:val="fr-FR"/>
        </w:rPr>
        <w:t>» (deux fois).</w:t>
      </w:r>
    </w:p>
    <w:p w:rsidR="003A2D14" w:rsidRPr="003A2D14" w:rsidRDefault="003A2D14" w:rsidP="009F5F9A">
      <w:pPr>
        <w:pStyle w:val="ParNoG"/>
        <w:tabs>
          <w:tab w:val="clear" w:pos="1701"/>
        </w:tabs>
        <w:rPr>
          <w:lang w:val="fr-FR"/>
        </w:rPr>
      </w:pPr>
      <w:r w:rsidRPr="003A2D14">
        <w:rPr>
          <w:lang w:val="fr-FR"/>
        </w:rPr>
        <w:t xml:space="preserve">À sa session précédente, le Groupe de travail avait débattu de la nécessité de mettre à jour la référence à </w:t>
      </w:r>
      <w:r w:rsidR="00C435EE">
        <w:rPr>
          <w:lang w:val="fr-FR"/>
        </w:rPr>
        <w:t>la norme ISO dans le paragraphe </w:t>
      </w:r>
      <w:r w:rsidRPr="003A2D14">
        <w:rPr>
          <w:lang w:val="fr-FR"/>
        </w:rPr>
        <w:t>2.2 de l</w:t>
      </w:r>
      <w:r w:rsidR="006B6352">
        <w:rPr>
          <w:lang w:val="fr-FR"/>
        </w:rPr>
        <w:t>’</w:t>
      </w:r>
      <w:r w:rsidRPr="003A2D14">
        <w:rPr>
          <w:lang w:val="fr-FR"/>
        </w:rPr>
        <w:t>annexe</w:t>
      </w:r>
      <w:r w:rsidR="00C435EE">
        <w:rPr>
          <w:lang w:val="fr-FR"/>
        </w:rPr>
        <w:t> </w:t>
      </w:r>
      <w:r w:rsidRPr="003A2D14">
        <w:rPr>
          <w:lang w:val="fr-FR"/>
        </w:rPr>
        <w:t>4J. L</w:t>
      </w:r>
      <w:r w:rsidR="006B6352">
        <w:rPr>
          <w:lang w:val="fr-FR"/>
        </w:rPr>
        <w:t>’</w:t>
      </w:r>
      <w:r w:rsidRPr="003A2D14">
        <w:rPr>
          <w:lang w:val="fr-FR"/>
        </w:rPr>
        <w:t>expert des Pays-Bas s</w:t>
      </w:r>
      <w:r w:rsidR="006B6352">
        <w:rPr>
          <w:lang w:val="fr-FR"/>
        </w:rPr>
        <w:t>’</w:t>
      </w:r>
      <w:r w:rsidRPr="003A2D14">
        <w:rPr>
          <w:lang w:val="fr-FR"/>
        </w:rPr>
        <w:t>est offert pour soumettre une proposition concrète d</w:t>
      </w:r>
      <w:r w:rsidR="006B6352">
        <w:rPr>
          <w:lang w:val="fr-FR"/>
        </w:rPr>
        <w:t>’</w:t>
      </w:r>
      <w:r w:rsidRPr="003A2D14">
        <w:rPr>
          <w:lang w:val="fr-FR"/>
        </w:rPr>
        <w:t>amendements au Groupe de travail pour examen à sa session suivante.</w:t>
      </w:r>
    </w:p>
    <w:p w:rsidR="003A2D14" w:rsidRPr="003A2D14" w:rsidRDefault="003A2D14" w:rsidP="009F5F9A">
      <w:pPr>
        <w:pStyle w:val="ParNoG"/>
        <w:tabs>
          <w:tab w:val="clear" w:pos="1701"/>
        </w:tabs>
        <w:rPr>
          <w:lang w:val="fr-FR"/>
        </w:rPr>
      </w:pPr>
      <w:r w:rsidRPr="003A2D14">
        <w:rPr>
          <w:lang w:val="fr-FR"/>
        </w:rPr>
        <w:t>L</w:t>
      </w:r>
      <w:r w:rsidR="006B6352">
        <w:rPr>
          <w:lang w:val="fr-FR"/>
        </w:rPr>
        <w:t>’</w:t>
      </w:r>
      <w:r w:rsidRPr="003A2D14">
        <w:rPr>
          <w:lang w:val="fr-FR"/>
        </w:rPr>
        <w:t>expert de l</w:t>
      </w:r>
      <w:r w:rsidR="006B6352">
        <w:rPr>
          <w:lang w:val="fr-FR"/>
        </w:rPr>
        <w:t>’</w:t>
      </w:r>
      <w:r w:rsidRPr="003A2D14">
        <w:rPr>
          <w:lang w:val="fr-FR"/>
        </w:rPr>
        <w:t>ISO a présenté un aperçu des activités de son organisation au sujet des aspects particuliers aux combustibles gazeux (document GRSG-111-25). Il a présenté le document GRSG-111-02, dans lequel sont justifiés tous les amendements au Règlement n</w:t>
      </w:r>
      <w:r w:rsidRPr="003A2D14">
        <w:rPr>
          <w:vertAlign w:val="superscript"/>
          <w:lang w:val="fr-FR"/>
        </w:rPr>
        <w:t>o</w:t>
      </w:r>
      <w:r w:rsidRPr="003A2D14">
        <w:rPr>
          <w:lang w:val="fr-FR"/>
        </w:rPr>
        <w:t> 110 proposés dans le document ECE/TRANS/WP.29/GRSG/2016/22, qui annule et remplace le document ECE/TRANS/WP.29/GRSG/2016/6. Le Groupe de travail a accueilli avec satisfaction le document GRSG-111-03 énumérant les copies de toutes les normes ISO référencées dans le Règlement n</w:t>
      </w:r>
      <w:r w:rsidRPr="003A2D14">
        <w:rPr>
          <w:vertAlign w:val="superscript"/>
          <w:lang w:val="fr-FR"/>
        </w:rPr>
        <w:t>o</w:t>
      </w:r>
      <w:r w:rsidRPr="003A2D14">
        <w:rPr>
          <w:lang w:val="fr-FR"/>
        </w:rPr>
        <w:t> 110 sur les véhicules alimentés au GNC/GNL. Plusieurs experts ont fait part de leur préoccupation concernant les renvois dynamiques à des normes internationales et ont exprimé leur préférence pour des renvois statiques, principalement à des fins juridiques. Le Groupe de travail a examiné le document et convenu de la nécessité d</w:t>
      </w:r>
      <w:r w:rsidR="006B6352">
        <w:rPr>
          <w:lang w:val="fr-FR"/>
        </w:rPr>
        <w:t>’</w:t>
      </w:r>
      <w:r w:rsidRPr="003A2D14">
        <w:rPr>
          <w:lang w:val="fr-FR"/>
        </w:rPr>
        <w:t>adopter la proposition en tant que nouvelle série 03 d</w:t>
      </w:r>
      <w:r w:rsidR="006B6352">
        <w:rPr>
          <w:lang w:val="fr-FR"/>
        </w:rPr>
        <w:t>’</w:t>
      </w:r>
      <w:r w:rsidRPr="003A2D14">
        <w:rPr>
          <w:lang w:val="fr-FR"/>
        </w:rPr>
        <w:t>amendements et d</w:t>
      </w:r>
      <w:r w:rsidR="006B6352">
        <w:rPr>
          <w:lang w:val="fr-FR"/>
        </w:rPr>
        <w:t>’</w:t>
      </w:r>
      <w:r w:rsidRPr="003A2D14">
        <w:rPr>
          <w:lang w:val="fr-FR"/>
        </w:rPr>
        <w:t>insérer des dispositions transitoires qui entreraient en vigueur au 1</w:t>
      </w:r>
      <w:r w:rsidRPr="003A2D14">
        <w:rPr>
          <w:vertAlign w:val="superscript"/>
          <w:lang w:val="fr-FR"/>
        </w:rPr>
        <w:t>er</w:t>
      </w:r>
      <w:r w:rsidRPr="003A2D14">
        <w:rPr>
          <w:lang w:val="fr-FR"/>
        </w:rPr>
        <w:t> septembre. L</w:t>
      </w:r>
      <w:r w:rsidR="006B6352">
        <w:rPr>
          <w:lang w:val="fr-FR"/>
        </w:rPr>
        <w:t>’</w:t>
      </w:r>
      <w:r w:rsidRPr="003A2D14">
        <w:rPr>
          <w:lang w:val="fr-FR"/>
        </w:rPr>
        <w:t>expert de la France a demandé des renseignements plus détaillés sur chacun des amendements proposés, en particulier leur niveau de rigueur et leur incidence sur les services techniques. L</w:t>
      </w:r>
      <w:r w:rsidR="006B6352">
        <w:rPr>
          <w:lang w:val="fr-FR"/>
        </w:rPr>
        <w:t>’</w:t>
      </w:r>
      <w:r w:rsidRPr="003A2D14">
        <w:rPr>
          <w:lang w:val="fr-FR"/>
        </w:rPr>
        <w:t>expert de la CLEPA a souligné la nécessité d</w:t>
      </w:r>
      <w:r w:rsidR="006B6352">
        <w:rPr>
          <w:lang w:val="fr-FR"/>
        </w:rPr>
        <w:t>’</w:t>
      </w:r>
      <w:r w:rsidRPr="003A2D14">
        <w:rPr>
          <w:lang w:val="fr-FR"/>
        </w:rPr>
        <w:t>insérer des dispositions transitoires pour les homologations de type existantes et de laisser suffisamment de temps aux fournisseurs pour moderniser leurs modèles.</w:t>
      </w:r>
    </w:p>
    <w:p w:rsidR="003A2D14" w:rsidRPr="003A2D14" w:rsidRDefault="003A2D14" w:rsidP="009F5F9A">
      <w:pPr>
        <w:pStyle w:val="ParNoG"/>
        <w:tabs>
          <w:tab w:val="clear" w:pos="1701"/>
        </w:tabs>
        <w:rPr>
          <w:lang w:val="fr-FR"/>
        </w:rPr>
      </w:pPr>
      <w:r w:rsidRPr="003A2D14">
        <w:rPr>
          <w:lang w:val="fr-FR"/>
        </w:rPr>
        <w:t>À la suite de réserves pour étude formulées par les experts de l</w:t>
      </w:r>
      <w:r w:rsidR="006B6352">
        <w:rPr>
          <w:lang w:val="fr-FR"/>
        </w:rPr>
        <w:t>’</w:t>
      </w:r>
      <w:r w:rsidRPr="003A2D14">
        <w:rPr>
          <w:lang w:val="fr-FR"/>
        </w:rPr>
        <w:t>Allemagne, de la France et de la CLEPA, le Groupe de travail a décidé de reprendre l</w:t>
      </w:r>
      <w:r w:rsidR="006B6352">
        <w:rPr>
          <w:lang w:val="fr-FR"/>
        </w:rPr>
        <w:t>’</w:t>
      </w:r>
      <w:r w:rsidRPr="003A2D14">
        <w:rPr>
          <w:lang w:val="fr-FR"/>
        </w:rPr>
        <w:t>examen de cette proposition à sa session suivante, prévue en avril 2017, sur la base d</w:t>
      </w:r>
      <w:r w:rsidR="006B6352">
        <w:rPr>
          <w:lang w:val="fr-FR"/>
        </w:rPr>
        <w:t>’</w:t>
      </w:r>
      <w:r w:rsidRPr="003A2D14">
        <w:rPr>
          <w:lang w:val="fr-FR"/>
        </w:rPr>
        <w:t>un document révisé qui serait soumis par l</w:t>
      </w:r>
      <w:r w:rsidR="006B6352">
        <w:rPr>
          <w:lang w:val="fr-FR"/>
        </w:rPr>
        <w:t>’</w:t>
      </w:r>
      <w:r w:rsidRPr="003A2D14">
        <w:rPr>
          <w:lang w:val="fr-FR"/>
        </w:rPr>
        <w:t>ISO. Le Président a invité tous les experts à faire part aux experts de l</w:t>
      </w:r>
      <w:r w:rsidR="006B6352">
        <w:rPr>
          <w:lang w:val="fr-FR"/>
        </w:rPr>
        <w:t>’</w:t>
      </w:r>
      <w:r w:rsidRPr="003A2D14">
        <w:rPr>
          <w:lang w:val="fr-FR"/>
        </w:rPr>
        <w:t>ISO ou de NGV Global, en temps utile et par écrit, de leurs observations sur le document GRSG-111-02-Rev.1.</w:t>
      </w:r>
    </w:p>
    <w:p w:rsidR="003A2D14" w:rsidRPr="003A2D14" w:rsidRDefault="003A2D14" w:rsidP="009F5F9A">
      <w:pPr>
        <w:pStyle w:val="ParNoG"/>
        <w:tabs>
          <w:tab w:val="clear" w:pos="1701"/>
        </w:tabs>
        <w:rPr>
          <w:lang w:val="fr-FR"/>
        </w:rPr>
      </w:pPr>
      <w:r w:rsidRPr="003A2D14">
        <w:rPr>
          <w:lang w:val="fr-FR"/>
        </w:rPr>
        <w:t>L</w:t>
      </w:r>
      <w:r w:rsidR="006B6352">
        <w:rPr>
          <w:lang w:val="fr-FR"/>
        </w:rPr>
        <w:t>’</w:t>
      </w:r>
      <w:r w:rsidRPr="003A2D14">
        <w:rPr>
          <w:lang w:val="fr-FR"/>
        </w:rPr>
        <w:t>expert des Pays-Bas a présenté le document GRSG-111-20, qui vise à corriger une erreur dans les définitions relatives à la vanne manuelle. Le Groupe de travail a pris note du soutien général et a décidé de reprendre l</w:t>
      </w:r>
      <w:r w:rsidR="006B6352">
        <w:rPr>
          <w:lang w:val="fr-FR"/>
        </w:rPr>
        <w:t>’</w:t>
      </w:r>
      <w:r w:rsidRPr="003A2D14">
        <w:rPr>
          <w:lang w:val="fr-FR"/>
        </w:rPr>
        <w:t>examen de cette question à sa session suivante, prévue en avril 2017. Le secrétariat a été prié de diffuser le document informel GRSG-111-20 sous une cote officielle.</w:t>
      </w:r>
    </w:p>
    <w:p w:rsidR="003A2D14" w:rsidRPr="003A2D14" w:rsidRDefault="003A2D14" w:rsidP="009F5F9A">
      <w:pPr>
        <w:pStyle w:val="ParNoG"/>
        <w:tabs>
          <w:tab w:val="clear" w:pos="1701"/>
        </w:tabs>
        <w:rPr>
          <w:lang w:val="fr-FR"/>
        </w:rPr>
      </w:pPr>
      <w:r w:rsidRPr="003A2D14">
        <w:rPr>
          <w:lang w:val="fr-FR"/>
        </w:rPr>
        <w:t>Le Groupe de travail a pris note du document GRSG-111-31, soumis par le Comité technique international de prévention et d</w:t>
      </w:r>
      <w:r w:rsidR="006B6352">
        <w:rPr>
          <w:lang w:val="fr-FR"/>
        </w:rPr>
        <w:t>’</w:t>
      </w:r>
      <w:r w:rsidRPr="003A2D14">
        <w:rPr>
          <w:lang w:val="fr-FR"/>
        </w:rPr>
        <w:t>extinction du feu (CTIF), sur la nécessité de prendre en compte, lors de l</w:t>
      </w:r>
      <w:r w:rsidR="006B6352">
        <w:rPr>
          <w:lang w:val="fr-FR"/>
        </w:rPr>
        <w:t>’</w:t>
      </w:r>
      <w:r w:rsidRPr="003A2D14">
        <w:rPr>
          <w:lang w:val="fr-FR"/>
        </w:rPr>
        <w:t>élaboration des règlements de l</w:t>
      </w:r>
      <w:r w:rsidR="006B6352">
        <w:rPr>
          <w:lang w:val="fr-FR"/>
        </w:rPr>
        <w:t>’</w:t>
      </w:r>
      <w:r w:rsidRPr="003A2D14">
        <w:rPr>
          <w:lang w:val="fr-FR"/>
        </w:rPr>
        <w:t>ONU, des mesures à prendre et des gestes à effectuer par les sauveteurs ainsi que des risques courus par ceux-ci, notamment en ce qui concernait la détermination des systèmes de propulsion et de stockage de l</w:t>
      </w:r>
      <w:r w:rsidR="006B6352">
        <w:rPr>
          <w:lang w:val="fr-FR"/>
        </w:rPr>
        <w:t>’</w:t>
      </w:r>
      <w:r w:rsidRPr="003A2D14">
        <w:rPr>
          <w:lang w:val="fr-FR"/>
        </w:rPr>
        <w:t>énergie des véhicules. Le Président a invité les experts intéressés à envoyer leurs observations aux auteurs de l</w:t>
      </w:r>
      <w:r w:rsidR="006B6352">
        <w:rPr>
          <w:lang w:val="fr-FR"/>
        </w:rPr>
        <w:t>’</w:t>
      </w:r>
      <w:r w:rsidRPr="003A2D14">
        <w:rPr>
          <w:lang w:val="fr-FR"/>
        </w:rPr>
        <w:t>exposé (voir leurs adresses électroniques à la dernière page).</w:t>
      </w:r>
    </w:p>
    <w:p w:rsidR="003A2D14" w:rsidRPr="003A2D14" w:rsidRDefault="003A2D14" w:rsidP="00A659B9">
      <w:pPr>
        <w:pStyle w:val="HChG"/>
        <w:rPr>
          <w:lang w:val="fr-FR"/>
        </w:rPr>
      </w:pPr>
      <w:r w:rsidRPr="003A2D14">
        <w:rPr>
          <w:lang w:val="fr-FR"/>
        </w:rPr>
        <w:tab/>
        <w:t>XI.</w:t>
      </w:r>
      <w:r w:rsidRPr="003A2D14">
        <w:rPr>
          <w:lang w:val="fr-FR"/>
        </w:rPr>
        <w:tab/>
        <w:t>Règlement n</w:t>
      </w:r>
      <w:r w:rsidRPr="003A2D14">
        <w:rPr>
          <w:vertAlign w:val="superscript"/>
          <w:lang w:val="fr-FR"/>
        </w:rPr>
        <w:t>o</w:t>
      </w:r>
      <w:r w:rsidRPr="003A2D14">
        <w:rPr>
          <w:lang w:val="fr-FR"/>
        </w:rPr>
        <w:t> 116 (Dispositifs antivol et systèmes d</w:t>
      </w:r>
      <w:r w:rsidR="006B6352">
        <w:rPr>
          <w:lang w:val="fr-FR"/>
        </w:rPr>
        <w:t>’</w:t>
      </w:r>
      <w:r w:rsidR="00A659B9">
        <w:rPr>
          <w:lang w:val="fr-FR"/>
        </w:rPr>
        <w:t>alarme) (point </w:t>
      </w:r>
      <w:r w:rsidRPr="003A2D14">
        <w:rPr>
          <w:lang w:val="fr-FR"/>
        </w:rPr>
        <w:t>10 de l</w:t>
      </w:r>
      <w:r w:rsidR="006B6352">
        <w:rPr>
          <w:lang w:val="fr-FR"/>
        </w:rPr>
        <w:t>’</w:t>
      </w:r>
      <w:r w:rsidRPr="003A2D14">
        <w:rPr>
          <w:lang w:val="fr-FR"/>
        </w:rPr>
        <w:t>ordre du jour)</w:t>
      </w:r>
    </w:p>
    <w:p w:rsidR="003A2D14" w:rsidRPr="003A2D14" w:rsidRDefault="003A2D14" w:rsidP="003A2D14">
      <w:pPr>
        <w:pStyle w:val="SingleTxtG"/>
        <w:rPr>
          <w:lang w:val="fr-FR"/>
        </w:rPr>
      </w:pPr>
      <w:r w:rsidRPr="003A2D14">
        <w:rPr>
          <w:i/>
          <w:lang w:val="fr-FR"/>
        </w:rPr>
        <w:t>Document </w:t>
      </w:r>
      <w:r w:rsidRPr="00F15A18">
        <w:t>:</w:t>
      </w:r>
      <w:r w:rsidRPr="003A2D14">
        <w:rPr>
          <w:lang w:val="fr-FR"/>
        </w:rPr>
        <w:tab/>
        <w:t>ECE/TRANS/WP.29/GRSG/2015/7</w:t>
      </w:r>
      <w:r w:rsidR="00A659B9">
        <w:rPr>
          <w:lang w:val="fr-FR"/>
        </w:rPr>
        <w:t>.</w:t>
      </w:r>
    </w:p>
    <w:p w:rsidR="003A2D14" w:rsidRPr="003A2D14" w:rsidRDefault="003A2D14" w:rsidP="009F5F9A">
      <w:pPr>
        <w:pStyle w:val="ParNoG"/>
        <w:tabs>
          <w:tab w:val="clear" w:pos="1701"/>
        </w:tabs>
        <w:rPr>
          <w:lang w:val="fr-FR"/>
        </w:rPr>
      </w:pPr>
      <w:r w:rsidRPr="003A2D14">
        <w:rPr>
          <w:lang w:val="fr-FR"/>
        </w:rPr>
        <w:t>L</w:t>
      </w:r>
      <w:r w:rsidR="006B6352">
        <w:rPr>
          <w:lang w:val="fr-FR"/>
        </w:rPr>
        <w:t>’</w:t>
      </w:r>
      <w:r w:rsidRPr="003A2D14">
        <w:rPr>
          <w:lang w:val="fr-FR"/>
        </w:rPr>
        <w:t>expert de l</w:t>
      </w:r>
      <w:r w:rsidR="006B6352">
        <w:rPr>
          <w:lang w:val="fr-FR"/>
        </w:rPr>
        <w:t>’</w:t>
      </w:r>
      <w:r w:rsidRPr="003A2D14">
        <w:rPr>
          <w:lang w:val="fr-FR"/>
        </w:rPr>
        <w:t>OICA a retiré le document ECE/TRANS/WP.29/GRSG/2015/7.</w:t>
      </w:r>
    </w:p>
    <w:p w:rsidR="003A2D14" w:rsidRPr="003A2D14" w:rsidRDefault="003A2D14" w:rsidP="009F5F9A">
      <w:pPr>
        <w:pStyle w:val="ParNoG"/>
        <w:tabs>
          <w:tab w:val="clear" w:pos="1701"/>
        </w:tabs>
        <w:rPr>
          <w:lang w:val="fr-FR"/>
        </w:rPr>
      </w:pPr>
      <w:r w:rsidRPr="003A2D14">
        <w:rPr>
          <w:lang w:val="fr-FR"/>
        </w:rPr>
        <w:t>Rappelant sa décision prise à sa session précédente (voir le rapport ECE/TRANS/WP.29/GRSG/89, par. 51), le Groupe de travail a décidé de reprendre l</w:t>
      </w:r>
      <w:r w:rsidR="006B6352">
        <w:rPr>
          <w:lang w:val="fr-FR"/>
        </w:rPr>
        <w:t>’</w:t>
      </w:r>
      <w:r w:rsidRPr="003A2D14">
        <w:rPr>
          <w:lang w:val="fr-FR"/>
        </w:rPr>
        <w:t>examen de ce point à sa session suivante, prévue en avril 2017, sur la base de propositions concrètes de l</w:t>
      </w:r>
      <w:r w:rsidR="006B6352">
        <w:rPr>
          <w:lang w:val="fr-FR"/>
        </w:rPr>
        <w:t>’</w:t>
      </w:r>
      <w:r w:rsidRPr="003A2D14">
        <w:rPr>
          <w:lang w:val="fr-FR"/>
        </w:rPr>
        <w:t>Équipe spéciale en ce qui concerne le fractionnement des dispositions du Règlement n</w:t>
      </w:r>
      <w:r w:rsidRPr="003A2D14">
        <w:rPr>
          <w:vertAlign w:val="superscript"/>
          <w:lang w:val="fr-FR"/>
        </w:rPr>
        <w:t>o</w:t>
      </w:r>
      <w:r w:rsidR="00A659B9">
        <w:rPr>
          <w:lang w:val="fr-FR"/>
        </w:rPr>
        <w:t> 116 (voir par. </w:t>
      </w:r>
      <w:r w:rsidRPr="003A2D14">
        <w:rPr>
          <w:lang w:val="fr-FR"/>
        </w:rPr>
        <w:t>50 ci-dessous).</w:t>
      </w:r>
    </w:p>
    <w:p w:rsidR="003A2D14" w:rsidRPr="003A2D14" w:rsidRDefault="003A2D14" w:rsidP="00A659B9">
      <w:pPr>
        <w:pStyle w:val="HChG"/>
        <w:rPr>
          <w:lang w:val="fr-FR"/>
        </w:rPr>
      </w:pPr>
      <w:r w:rsidRPr="003A2D14">
        <w:rPr>
          <w:lang w:val="fr-FR"/>
        </w:rPr>
        <w:tab/>
        <w:t>XII.</w:t>
      </w:r>
      <w:r w:rsidRPr="003A2D14">
        <w:rPr>
          <w:lang w:val="fr-FR"/>
        </w:rPr>
        <w:tab/>
        <w:t>Règlement n</w:t>
      </w:r>
      <w:r w:rsidRPr="003A2D14">
        <w:rPr>
          <w:vertAlign w:val="superscript"/>
          <w:lang w:val="fr-FR"/>
        </w:rPr>
        <w:t>o</w:t>
      </w:r>
      <w:r w:rsidR="00A659B9">
        <w:rPr>
          <w:lang w:val="fr-FR"/>
        </w:rPr>
        <w:t xml:space="preserve"> 18 (Résistance au feu) </w:t>
      </w:r>
      <w:r w:rsidR="00A659B9">
        <w:rPr>
          <w:lang w:val="fr-FR"/>
        </w:rPr>
        <w:br/>
        <w:t>(point </w:t>
      </w:r>
      <w:r w:rsidRPr="003A2D14">
        <w:rPr>
          <w:lang w:val="fr-FR"/>
        </w:rPr>
        <w:t>11 de l</w:t>
      </w:r>
      <w:r w:rsidR="006B6352">
        <w:rPr>
          <w:lang w:val="fr-FR"/>
        </w:rPr>
        <w:t>’</w:t>
      </w:r>
      <w:r w:rsidRPr="003A2D14">
        <w:rPr>
          <w:lang w:val="fr-FR"/>
        </w:rPr>
        <w:t>ordre du jour)</w:t>
      </w:r>
    </w:p>
    <w:p w:rsidR="003A2D14" w:rsidRPr="003A2D14" w:rsidRDefault="003A2D14" w:rsidP="00A659B9">
      <w:pPr>
        <w:pStyle w:val="SingleTxtG"/>
        <w:keepNext/>
        <w:keepLines/>
        <w:ind w:left="2268" w:hanging="1134"/>
        <w:rPr>
          <w:lang w:val="fr-FR"/>
        </w:rPr>
      </w:pPr>
      <w:r w:rsidRPr="003A2D14">
        <w:rPr>
          <w:i/>
          <w:lang w:val="fr-FR"/>
        </w:rPr>
        <w:t>Documents </w:t>
      </w:r>
      <w:r w:rsidRPr="00F15A18">
        <w:t>:</w:t>
      </w:r>
      <w:r w:rsidRPr="003A2D14">
        <w:rPr>
          <w:lang w:val="fr-FR"/>
        </w:rPr>
        <w:tab/>
        <w:t xml:space="preserve">ECE/TRANS/WP.29/GRSG/2016/3, </w:t>
      </w:r>
      <w:r w:rsidR="00A659B9">
        <w:rPr>
          <w:lang w:val="fr-FR"/>
        </w:rPr>
        <w:br/>
      </w:r>
      <w:r w:rsidRPr="003A2D14">
        <w:rPr>
          <w:lang w:val="fr-FR"/>
        </w:rPr>
        <w:t xml:space="preserve">ECE/TRANS/WP.29/GRSG/2016/23, </w:t>
      </w:r>
      <w:r w:rsidR="00A659B9">
        <w:rPr>
          <w:lang w:val="fr-FR"/>
        </w:rPr>
        <w:br/>
      </w:r>
      <w:r w:rsidRPr="003A2D14">
        <w:rPr>
          <w:lang w:val="fr-FR"/>
        </w:rPr>
        <w:t>ECE/TRANS/WP.29/GRSG/2016/24 ;</w:t>
      </w:r>
      <w:r w:rsidRPr="003A2D14">
        <w:rPr>
          <w:lang w:val="fr-FR"/>
        </w:rPr>
        <w:br/>
        <w:t>documents informels GRSG-110-02 et GRSG-111-30-Rev.1</w:t>
      </w:r>
    </w:p>
    <w:p w:rsidR="003A2D14" w:rsidRPr="003A2D14" w:rsidRDefault="003A2D14" w:rsidP="009F5F9A">
      <w:pPr>
        <w:pStyle w:val="ParNoG"/>
        <w:tabs>
          <w:tab w:val="clear" w:pos="1701"/>
        </w:tabs>
        <w:rPr>
          <w:lang w:val="fr-FR"/>
        </w:rPr>
      </w:pPr>
      <w:r w:rsidRPr="003A2D14">
        <w:rPr>
          <w:lang w:val="fr-FR"/>
        </w:rPr>
        <w:t>L</w:t>
      </w:r>
      <w:r w:rsidR="006B6352">
        <w:rPr>
          <w:lang w:val="fr-FR"/>
        </w:rPr>
        <w:t>’</w:t>
      </w:r>
      <w:r w:rsidRPr="003A2D14">
        <w:rPr>
          <w:lang w:val="fr-FR"/>
        </w:rPr>
        <w:t>expert de l</w:t>
      </w:r>
      <w:r w:rsidR="006B6352">
        <w:rPr>
          <w:lang w:val="fr-FR"/>
        </w:rPr>
        <w:t>’</w:t>
      </w:r>
      <w:r w:rsidRPr="003A2D14">
        <w:rPr>
          <w:lang w:val="fr-FR"/>
        </w:rPr>
        <w:t>Allemagne a présenté le document ECE/TRANS/WP.29/GRSG/</w:t>
      </w:r>
      <w:r w:rsidR="00A659B9">
        <w:rPr>
          <w:lang w:val="fr-FR"/>
        </w:rPr>
        <w:br/>
      </w:r>
      <w:r w:rsidRPr="003A2D14">
        <w:rPr>
          <w:lang w:val="fr-FR"/>
        </w:rPr>
        <w:t>2016/23, visant à simplifier les procédures administratives qui n</w:t>
      </w:r>
      <w:r w:rsidR="006B6352">
        <w:rPr>
          <w:lang w:val="fr-FR"/>
        </w:rPr>
        <w:t>’</w:t>
      </w:r>
      <w:r w:rsidRPr="003A2D14">
        <w:rPr>
          <w:lang w:val="fr-FR"/>
        </w:rPr>
        <w:t>améliorent pas le niveau de sécurité. Le Groupe de travail a adopté la proposition et chargé le secrétariat de la soumettre au Forum mondial et au Comité d</w:t>
      </w:r>
      <w:r w:rsidR="006B6352">
        <w:rPr>
          <w:lang w:val="fr-FR"/>
        </w:rPr>
        <w:t>’</w:t>
      </w:r>
      <w:r w:rsidRPr="003A2D14">
        <w:rPr>
          <w:lang w:val="fr-FR"/>
        </w:rPr>
        <w:t>administration aux fins d</w:t>
      </w:r>
      <w:r w:rsidR="006B6352">
        <w:rPr>
          <w:lang w:val="fr-FR"/>
        </w:rPr>
        <w:t>’</w:t>
      </w:r>
      <w:r w:rsidRPr="003A2D14">
        <w:rPr>
          <w:lang w:val="fr-FR"/>
        </w:rPr>
        <w:t>examen à leurs sessions de mars 2017, en tant que projet de complément 3 à la série 02 d</w:t>
      </w:r>
      <w:r w:rsidR="006B6352">
        <w:rPr>
          <w:lang w:val="fr-FR"/>
        </w:rPr>
        <w:t>’</w:t>
      </w:r>
      <w:r w:rsidRPr="003A2D14">
        <w:rPr>
          <w:lang w:val="fr-FR"/>
        </w:rPr>
        <w:t>amendements au Règlement n</w:t>
      </w:r>
      <w:r w:rsidRPr="003A2D14">
        <w:rPr>
          <w:vertAlign w:val="superscript"/>
          <w:lang w:val="fr-FR"/>
        </w:rPr>
        <w:t>o</w:t>
      </w:r>
      <w:r w:rsidRPr="003A2D14">
        <w:rPr>
          <w:lang w:val="fr-FR"/>
        </w:rPr>
        <w:t> 118.</w:t>
      </w:r>
    </w:p>
    <w:p w:rsidR="003A2D14" w:rsidRPr="003A2D14" w:rsidRDefault="003A2D14" w:rsidP="009F5F9A">
      <w:pPr>
        <w:pStyle w:val="ParNoG"/>
        <w:tabs>
          <w:tab w:val="clear" w:pos="1701"/>
        </w:tabs>
        <w:rPr>
          <w:lang w:val="fr-FR"/>
        </w:rPr>
      </w:pPr>
      <w:r w:rsidRPr="003A2D14">
        <w:rPr>
          <w:lang w:val="fr-FR"/>
        </w:rPr>
        <w:t>L</w:t>
      </w:r>
      <w:r w:rsidR="006B6352">
        <w:rPr>
          <w:lang w:val="fr-FR"/>
        </w:rPr>
        <w:t>’</w:t>
      </w:r>
      <w:r w:rsidRPr="003A2D14">
        <w:rPr>
          <w:lang w:val="fr-FR"/>
        </w:rPr>
        <w:t>expert de l</w:t>
      </w:r>
      <w:r w:rsidR="006B6352">
        <w:rPr>
          <w:lang w:val="fr-FR"/>
        </w:rPr>
        <w:t>’</w:t>
      </w:r>
      <w:r w:rsidRPr="003A2D14">
        <w:rPr>
          <w:lang w:val="fr-FR"/>
        </w:rPr>
        <w:t>Allemagne a présenté les prescriptions d</w:t>
      </w:r>
      <w:r w:rsidR="006B6352">
        <w:rPr>
          <w:lang w:val="fr-FR"/>
        </w:rPr>
        <w:t>’</w:t>
      </w:r>
      <w:r w:rsidRPr="003A2D14">
        <w:rPr>
          <w:lang w:val="fr-FR"/>
        </w:rPr>
        <w:t>essai actualisées applicables aux manchons et gaines des câbles électriques (document ECE/TRANS/WP.29/GRSG/2016/24, qui annule et remplace le document ECE/TRANS/WP.29/GRSG/2016/3). L</w:t>
      </w:r>
      <w:r w:rsidR="006B6352">
        <w:rPr>
          <w:lang w:val="fr-FR"/>
        </w:rPr>
        <w:t>’</w:t>
      </w:r>
      <w:r w:rsidRPr="003A2D14">
        <w:rPr>
          <w:lang w:val="fr-FR"/>
        </w:rPr>
        <w:t>expert de l</w:t>
      </w:r>
      <w:r w:rsidR="006B6352">
        <w:rPr>
          <w:lang w:val="fr-FR"/>
        </w:rPr>
        <w:t>’</w:t>
      </w:r>
      <w:r w:rsidRPr="003A2D14">
        <w:rPr>
          <w:lang w:val="fr-FR"/>
        </w:rPr>
        <w:t>OICA a appuyé les principes sous-tendant cette proposition, mais a souligné la nécessité de dispositions transitoires donnant un délai suffisant à l</w:t>
      </w:r>
      <w:r w:rsidR="006B6352">
        <w:rPr>
          <w:lang w:val="fr-FR"/>
        </w:rPr>
        <w:t>’</w:t>
      </w:r>
      <w:r w:rsidRPr="003A2D14">
        <w:rPr>
          <w:lang w:val="fr-FR"/>
        </w:rPr>
        <w:t>industrie automobile. Le Groupe de travail a modifié la proposition tel qu</w:t>
      </w:r>
      <w:r w:rsidR="006B6352">
        <w:rPr>
          <w:lang w:val="fr-FR"/>
        </w:rPr>
        <w:t>’</w:t>
      </w:r>
      <w:r w:rsidRPr="003A2D14">
        <w:rPr>
          <w:lang w:val="fr-FR"/>
        </w:rPr>
        <w:t>indiqué dans le document GRSG-111-30-Rev.1. Il a pris note de la préférence des experts de la CLCCR et de l</w:t>
      </w:r>
      <w:r w:rsidR="006B6352">
        <w:rPr>
          <w:lang w:val="fr-FR"/>
        </w:rPr>
        <w:t>’</w:t>
      </w:r>
      <w:r w:rsidRPr="003A2D14">
        <w:rPr>
          <w:lang w:val="fr-FR"/>
        </w:rPr>
        <w:t>OICA pour l</w:t>
      </w:r>
      <w:r w:rsidR="006B6352">
        <w:rPr>
          <w:lang w:val="fr-FR"/>
        </w:rPr>
        <w:t>’</w:t>
      </w:r>
      <w:r w:rsidRPr="003A2D14">
        <w:rPr>
          <w:lang w:val="fr-FR"/>
        </w:rPr>
        <w:t>ajout d</w:t>
      </w:r>
      <w:r w:rsidR="006B6352">
        <w:rPr>
          <w:lang w:val="fr-FR"/>
        </w:rPr>
        <w:t>’</w:t>
      </w:r>
      <w:r w:rsidRPr="003A2D14">
        <w:rPr>
          <w:lang w:val="fr-FR"/>
        </w:rPr>
        <w:t>une année supplémentaire à la date spécifiée au paragraphe 12.13, soit 2021 au lieu de 2020 pour toutes les immatriculations.</w:t>
      </w:r>
    </w:p>
    <w:p w:rsidR="003A2D14" w:rsidRPr="003A2D14" w:rsidRDefault="003A2D14" w:rsidP="009F5F9A">
      <w:pPr>
        <w:pStyle w:val="ParNoG"/>
        <w:tabs>
          <w:tab w:val="clear" w:pos="1701"/>
        </w:tabs>
        <w:rPr>
          <w:lang w:val="fr-FR"/>
        </w:rPr>
      </w:pPr>
      <w:r w:rsidRPr="003A2D14">
        <w:rPr>
          <w:lang w:val="fr-FR"/>
        </w:rPr>
        <w:t>Le Groupe de travail a adopté le document ECE/TRANS/WP.29/GRSG/2016/24 tel que reproduit à l</w:t>
      </w:r>
      <w:r w:rsidR="006B6352">
        <w:rPr>
          <w:lang w:val="fr-FR"/>
        </w:rPr>
        <w:t>’</w:t>
      </w:r>
      <w:r w:rsidR="00A659B9">
        <w:rPr>
          <w:lang w:val="fr-FR"/>
        </w:rPr>
        <w:t>annexe </w:t>
      </w:r>
      <w:r w:rsidRPr="003A2D14">
        <w:rPr>
          <w:lang w:val="fr-FR"/>
        </w:rPr>
        <w:t>III du présent rapport et a chargé le secrétariat de le soumettre au Forum mondial et au Comité d</w:t>
      </w:r>
      <w:r w:rsidR="006B6352">
        <w:rPr>
          <w:lang w:val="fr-FR"/>
        </w:rPr>
        <w:t>’</w:t>
      </w:r>
      <w:r w:rsidRPr="003A2D14">
        <w:rPr>
          <w:lang w:val="fr-FR"/>
        </w:rPr>
        <w:t>administration pour examen à leurs sessions de mars 2017, en tant que projet de série 03 d</w:t>
      </w:r>
      <w:r w:rsidR="006B6352">
        <w:rPr>
          <w:lang w:val="fr-FR"/>
        </w:rPr>
        <w:t>’</w:t>
      </w:r>
      <w:r w:rsidRPr="003A2D14">
        <w:rPr>
          <w:lang w:val="fr-FR"/>
        </w:rPr>
        <w:t>amendements au Règlement n</w:t>
      </w:r>
      <w:r w:rsidRPr="003A2D14">
        <w:rPr>
          <w:vertAlign w:val="superscript"/>
          <w:lang w:val="fr-FR"/>
        </w:rPr>
        <w:t>o</w:t>
      </w:r>
      <w:r w:rsidRPr="003A2D14">
        <w:rPr>
          <w:lang w:val="fr-FR"/>
        </w:rPr>
        <w:t> 118.</w:t>
      </w:r>
    </w:p>
    <w:p w:rsidR="003A2D14" w:rsidRPr="003A2D14" w:rsidRDefault="003A2D14" w:rsidP="00A659B9">
      <w:pPr>
        <w:pStyle w:val="HChG"/>
        <w:rPr>
          <w:lang w:val="fr-FR"/>
        </w:rPr>
      </w:pPr>
      <w:r w:rsidRPr="003A2D14">
        <w:rPr>
          <w:lang w:val="fr-FR"/>
        </w:rPr>
        <w:tab/>
        <w:t>XIII.</w:t>
      </w:r>
      <w:r w:rsidRPr="003A2D14">
        <w:rPr>
          <w:lang w:val="fr-FR"/>
        </w:rPr>
        <w:tab/>
        <w:t>Règlement n</w:t>
      </w:r>
      <w:r w:rsidRPr="003A2D14">
        <w:rPr>
          <w:vertAlign w:val="superscript"/>
          <w:lang w:val="fr-FR"/>
        </w:rPr>
        <w:t>o</w:t>
      </w:r>
      <w:r w:rsidRPr="003A2D14">
        <w:rPr>
          <w:lang w:val="fr-FR"/>
        </w:rPr>
        <w:t xml:space="preserve"> 121 (Identification des commandes, </w:t>
      </w:r>
      <w:r w:rsidR="00A659B9">
        <w:rPr>
          <w:lang w:val="fr-FR"/>
        </w:rPr>
        <w:br/>
      </w:r>
      <w:r w:rsidRPr="003A2D14">
        <w:rPr>
          <w:lang w:val="fr-FR"/>
        </w:rPr>
        <w:t>des témoins</w:t>
      </w:r>
      <w:r w:rsidR="00A659B9">
        <w:rPr>
          <w:lang w:val="fr-FR"/>
        </w:rPr>
        <w:t xml:space="preserve"> et des indicateurs) </w:t>
      </w:r>
      <w:r w:rsidR="00A659B9">
        <w:rPr>
          <w:lang w:val="fr-FR"/>
        </w:rPr>
        <w:br/>
        <w:t>(point </w:t>
      </w:r>
      <w:r w:rsidRPr="003A2D14">
        <w:rPr>
          <w:lang w:val="fr-FR"/>
        </w:rPr>
        <w:t>12 de l</w:t>
      </w:r>
      <w:r w:rsidR="006B6352">
        <w:rPr>
          <w:lang w:val="fr-FR"/>
        </w:rPr>
        <w:t>’</w:t>
      </w:r>
      <w:r w:rsidRPr="003A2D14">
        <w:rPr>
          <w:lang w:val="fr-FR"/>
        </w:rPr>
        <w:t>ordre du jour)</w:t>
      </w:r>
    </w:p>
    <w:p w:rsidR="003A2D14" w:rsidRPr="003A2D14" w:rsidRDefault="003A2D14" w:rsidP="00A659B9">
      <w:pPr>
        <w:pStyle w:val="SingleTxtG"/>
        <w:ind w:left="2268" w:hanging="1134"/>
        <w:rPr>
          <w:lang w:val="fr-FR"/>
        </w:rPr>
      </w:pPr>
      <w:r w:rsidRPr="003A2D14">
        <w:rPr>
          <w:i/>
          <w:lang w:val="fr-FR"/>
        </w:rPr>
        <w:t>Documents </w:t>
      </w:r>
      <w:r w:rsidRPr="00F15A18">
        <w:t>:</w:t>
      </w:r>
      <w:r w:rsidRPr="003A2D14">
        <w:rPr>
          <w:lang w:val="fr-FR"/>
        </w:rPr>
        <w:tab/>
        <w:t xml:space="preserve">ECE/TRANS/WP.29/GRSG/2016/17, </w:t>
      </w:r>
      <w:r w:rsidR="00A659B9">
        <w:rPr>
          <w:lang w:val="fr-FR"/>
        </w:rPr>
        <w:br/>
      </w:r>
      <w:r w:rsidRPr="003A2D14">
        <w:rPr>
          <w:lang w:val="fr-FR"/>
        </w:rPr>
        <w:t>ECE/TRANS/WP.29/GRSG/2016/26 ;</w:t>
      </w:r>
      <w:r w:rsidRPr="003A2D14">
        <w:rPr>
          <w:lang w:val="fr-FR"/>
        </w:rPr>
        <w:br/>
        <w:t>documents informels GRSG-111-14 et GRSG-111-37</w:t>
      </w:r>
      <w:r w:rsidR="00A659B9">
        <w:rPr>
          <w:lang w:val="fr-FR"/>
        </w:rPr>
        <w:t>.</w:t>
      </w:r>
    </w:p>
    <w:p w:rsidR="003A2D14" w:rsidRPr="003A2D14" w:rsidRDefault="003A2D14" w:rsidP="009F5F9A">
      <w:pPr>
        <w:pStyle w:val="ParNoG"/>
        <w:tabs>
          <w:tab w:val="clear" w:pos="1701"/>
        </w:tabs>
        <w:rPr>
          <w:lang w:val="fr-FR"/>
        </w:rPr>
      </w:pPr>
      <w:r w:rsidRPr="003A2D14">
        <w:rPr>
          <w:lang w:val="fr-FR"/>
        </w:rPr>
        <w:t>L</w:t>
      </w:r>
      <w:r w:rsidR="006B6352">
        <w:rPr>
          <w:lang w:val="fr-FR"/>
        </w:rPr>
        <w:t>’</w:t>
      </w:r>
      <w:r w:rsidRPr="003A2D14">
        <w:rPr>
          <w:lang w:val="fr-FR"/>
        </w:rPr>
        <w:t>expert de la Fédération de Russie a rappelé que l</w:t>
      </w:r>
      <w:r w:rsidR="006B6352">
        <w:rPr>
          <w:lang w:val="fr-FR"/>
        </w:rPr>
        <w:t>’</w:t>
      </w:r>
      <w:r w:rsidRPr="003A2D14">
        <w:rPr>
          <w:lang w:val="fr-FR"/>
        </w:rPr>
        <w:t>objet du document ECE/TRANS/WP.29/GRSG/2016/17 était d</w:t>
      </w:r>
      <w:r w:rsidR="006B6352">
        <w:rPr>
          <w:lang w:val="fr-FR"/>
        </w:rPr>
        <w:t>’</w:t>
      </w:r>
      <w:r w:rsidRPr="003A2D14">
        <w:rPr>
          <w:lang w:val="fr-FR"/>
        </w:rPr>
        <w:t>insérer dans le Règlement n</w:t>
      </w:r>
      <w:r w:rsidRPr="003A2D14">
        <w:rPr>
          <w:vertAlign w:val="superscript"/>
          <w:lang w:val="fr-FR"/>
        </w:rPr>
        <w:t>o</w:t>
      </w:r>
      <w:r w:rsidRPr="003A2D14">
        <w:rPr>
          <w:lang w:val="fr-FR"/>
        </w:rPr>
        <w:t> 121 un nouveau symbole pour la commande d</w:t>
      </w:r>
      <w:r w:rsidR="006B6352">
        <w:rPr>
          <w:lang w:val="fr-FR"/>
        </w:rPr>
        <w:t>’</w:t>
      </w:r>
      <w:r w:rsidRPr="003A2D14">
        <w:rPr>
          <w:lang w:val="fr-FR"/>
        </w:rPr>
        <w:t>appel d</w:t>
      </w:r>
      <w:r w:rsidR="006B6352">
        <w:rPr>
          <w:lang w:val="fr-FR"/>
        </w:rPr>
        <w:t>’</w:t>
      </w:r>
      <w:r w:rsidRPr="003A2D14">
        <w:rPr>
          <w:lang w:val="fr-FR"/>
        </w:rPr>
        <w:t>urgence et son témoin. Le Groupe de travail a pris note de la modification d</w:t>
      </w:r>
      <w:r w:rsidR="006B6352">
        <w:rPr>
          <w:lang w:val="fr-FR"/>
        </w:rPr>
        <w:t>’</w:t>
      </w:r>
      <w:r w:rsidRPr="003A2D14">
        <w:rPr>
          <w:lang w:val="fr-FR"/>
        </w:rPr>
        <w:t>ordre rédactionnel à la note de bas de page n° 21 (remplacer « reoriented » par « re-orientated ») et a décidé de la soumettre au Forum mondial parallèlement au nouveau projet de Règlement sur les systèmes automatiques d</w:t>
      </w:r>
      <w:r w:rsidR="006B6352">
        <w:rPr>
          <w:lang w:val="fr-FR"/>
        </w:rPr>
        <w:t>’</w:t>
      </w:r>
      <w:r w:rsidRPr="003A2D14">
        <w:rPr>
          <w:lang w:val="fr-FR"/>
        </w:rPr>
        <w:t>appel d</w:t>
      </w:r>
      <w:r w:rsidR="006B6352">
        <w:rPr>
          <w:lang w:val="fr-FR"/>
        </w:rPr>
        <w:t>’</w:t>
      </w:r>
      <w:r w:rsidR="00A659B9">
        <w:rPr>
          <w:lang w:val="fr-FR"/>
        </w:rPr>
        <w:t>urgence (par. </w:t>
      </w:r>
      <w:r w:rsidRPr="003A2D14">
        <w:rPr>
          <w:lang w:val="fr-FR"/>
        </w:rPr>
        <w:t>44 à 48 ci-dessous).</w:t>
      </w:r>
    </w:p>
    <w:p w:rsidR="003A2D14" w:rsidRPr="003A2D14" w:rsidRDefault="003A2D14" w:rsidP="009F5F9A">
      <w:pPr>
        <w:pStyle w:val="ParNoG"/>
        <w:tabs>
          <w:tab w:val="clear" w:pos="1701"/>
        </w:tabs>
        <w:rPr>
          <w:lang w:val="fr-FR"/>
        </w:rPr>
      </w:pPr>
      <w:r w:rsidRPr="003A2D14">
        <w:rPr>
          <w:lang w:val="fr-FR"/>
        </w:rPr>
        <w:t>L</w:t>
      </w:r>
      <w:r w:rsidR="006B6352">
        <w:rPr>
          <w:lang w:val="fr-FR"/>
        </w:rPr>
        <w:t>’</w:t>
      </w:r>
      <w:r w:rsidRPr="003A2D14">
        <w:rPr>
          <w:lang w:val="fr-FR"/>
        </w:rPr>
        <w:t>expert de l</w:t>
      </w:r>
      <w:r w:rsidR="006B6352">
        <w:rPr>
          <w:lang w:val="fr-FR"/>
        </w:rPr>
        <w:t>’</w:t>
      </w:r>
      <w:r w:rsidRPr="003A2D14">
        <w:rPr>
          <w:lang w:val="fr-FR"/>
        </w:rPr>
        <w:t>OICA a présenté au Groupe de travail le document GRSG-111-37 (qui annule et remplace le document ECE/TRANS/WP.29/GRSG/2016/26) visant à harmoniser les dispositions du Règlement n</w:t>
      </w:r>
      <w:r w:rsidRPr="003A2D14">
        <w:rPr>
          <w:vertAlign w:val="superscript"/>
          <w:lang w:val="fr-FR"/>
        </w:rPr>
        <w:t>o</w:t>
      </w:r>
      <w:r w:rsidRPr="003A2D14">
        <w:t> </w:t>
      </w:r>
      <w:r w:rsidRPr="003A2D14">
        <w:rPr>
          <w:lang w:val="fr-FR"/>
        </w:rPr>
        <w:t>121 avec celles de la série 07 d</w:t>
      </w:r>
      <w:r w:rsidR="006B6352">
        <w:rPr>
          <w:lang w:val="fr-FR"/>
        </w:rPr>
        <w:t>’</w:t>
      </w:r>
      <w:r w:rsidRPr="003A2D14">
        <w:rPr>
          <w:lang w:val="fr-FR"/>
        </w:rPr>
        <w:t>amendements au Règlement n</w:t>
      </w:r>
      <w:r w:rsidRPr="003A2D14">
        <w:rPr>
          <w:vertAlign w:val="superscript"/>
          <w:lang w:val="fr-FR"/>
        </w:rPr>
        <w:t>o</w:t>
      </w:r>
      <w:r w:rsidRPr="003A2D14">
        <w:rPr>
          <w:lang w:val="fr-FR"/>
        </w:rPr>
        <w:t> 16 sur les ceintures de sécurité.</w:t>
      </w:r>
    </w:p>
    <w:p w:rsidR="003A2D14" w:rsidRPr="003A2D14" w:rsidRDefault="003A2D14" w:rsidP="009F5F9A">
      <w:pPr>
        <w:pStyle w:val="ParNoG"/>
        <w:tabs>
          <w:tab w:val="clear" w:pos="1701"/>
        </w:tabs>
        <w:rPr>
          <w:lang w:val="fr-FR"/>
        </w:rPr>
      </w:pPr>
      <w:r w:rsidRPr="003A2D14">
        <w:rPr>
          <w:lang w:val="fr-FR"/>
        </w:rPr>
        <w:t>L</w:t>
      </w:r>
      <w:r w:rsidR="006B6352">
        <w:rPr>
          <w:lang w:val="fr-FR"/>
        </w:rPr>
        <w:t>’</w:t>
      </w:r>
      <w:r w:rsidRPr="003A2D14">
        <w:rPr>
          <w:lang w:val="fr-FR"/>
        </w:rPr>
        <w:t>expert de l</w:t>
      </w:r>
      <w:r w:rsidR="006B6352">
        <w:rPr>
          <w:lang w:val="fr-FR"/>
        </w:rPr>
        <w:t>’</w:t>
      </w:r>
      <w:r w:rsidRPr="003A2D14">
        <w:rPr>
          <w:lang w:val="fr-FR"/>
        </w:rPr>
        <w:t>OICA a proposé d</w:t>
      </w:r>
      <w:r w:rsidR="006B6352">
        <w:rPr>
          <w:lang w:val="fr-FR"/>
        </w:rPr>
        <w:t>’</w:t>
      </w:r>
      <w:r w:rsidRPr="003A2D14">
        <w:rPr>
          <w:lang w:val="fr-FR"/>
        </w:rPr>
        <w:t>harmoniser le texte du point n</w:t>
      </w:r>
      <w:r w:rsidRPr="003A2D14">
        <w:rPr>
          <w:vertAlign w:val="superscript"/>
          <w:lang w:val="fr-FR"/>
        </w:rPr>
        <w:t>o</w:t>
      </w:r>
      <w:r w:rsidRPr="003A2D14">
        <w:rPr>
          <w:lang w:val="fr-FR"/>
        </w:rPr>
        <w:t> 31 avec celui de la norme ISO 2575 (document GRSG-111-14). Le Groupe de travail a globalement appuyé la proposition. Toutefois, l</w:t>
      </w:r>
      <w:r w:rsidR="006B6352">
        <w:rPr>
          <w:lang w:val="fr-FR"/>
        </w:rPr>
        <w:t>’</w:t>
      </w:r>
      <w:r w:rsidRPr="003A2D14">
        <w:rPr>
          <w:lang w:val="fr-FR"/>
        </w:rPr>
        <w:t>expert de l</w:t>
      </w:r>
      <w:r w:rsidR="006B6352">
        <w:rPr>
          <w:lang w:val="fr-FR"/>
        </w:rPr>
        <w:t>’</w:t>
      </w:r>
      <w:r w:rsidRPr="003A2D14">
        <w:rPr>
          <w:lang w:val="fr-FR"/>
        </w:rPr>
        <w:t>Allemagne a émis une réserve pour étude sur le document GRSG-</w:t>
      </w:r>
      <w:r w:rsidR="00F15A18" w:rsidRPr="003A2D14">
        <w:rPr>
          <w:lang w:val="fr-FR"/>
        </w:rPr>
        <w:t>111</w:t>
      </w:r>
      <w:r w:rsidR="00F15A18">
        <w:rPr>
          <w:lang w:val="fr-FR"/>
        </w:rPr>
        <w:t>-</w:t>
      </w:r>
      <w:r w:rsidRPr="003A2D14">
        <w:rPr>
          <w:lang w:val="fr-FR"/>
        </w:rPr>
        <w:t>37. Le Groupe de travail a décidé de reprendre l</w:t>
      </w:r>
      <w:r w:rsidR="006B6352">
        <w:rPr>
          <w:lang w:val="fr-FR"/>
        </w:rPr>
        <w:t>’</w:t>
      </w:r>
      <w:r w:rsidRPr="003A2D14">
        <w:rPr>
          <w:lang w:val="fr-FR"/>
        </w:rPr>
        <w:t>examen de cette question à sa session suivante, prévue en avril 2017, et a chargé le secrétariat de diffuser les deux documents GRSG-111-14 et GRSG-111-37 sous une cote officielle.</w:t>
      </w:r>
    </w:p>
    <w:p w:rsidR="003A2D14" w:rsidRPr="003A2D14" w:rsidRDefault="003A2D14" w:rsidP="00A659B9">
      <w:pPr>
        <w:pStyle w:val="HChG"/>
        <w:rPr>
          <w:lang w:val="fr-FR"/>
        </w:rPr>
      </w:pPr>
      <w:r w:rsidRPr="003A2D14">
        <w:rPr>
          <w:lang w:val="fr-FR"/>
        </w:rPr>
        <w:tab/>
        <w:t>XIV.</w:t>
      </w:r>
      <w:r w:rsidRPr="003A2D14">
        <w:rPr>
          <w:lang w:val="fr-FR"/>
        </w:rPr>
        <w:tab/>
        <w:t>Systèmes automatiques d</w:t>
      </w:r>
      <w:r w:rsidR="006B6352">
        <w:rPr>
          <w:lang w:val="fr-FR"/>
        </w:rPr>
        <w:t>’</w:t>
      </w:r>
      <w:r w:rsidRPr="003A2D14">
        <w:rPr>
          <w:lang w:val="fr-FR"/>
        </w:rPr>
        <w:t>appel d</w:t>
      </w:r>
      <w:r w:rsidR="006B6352">
        <w:rPr>
          <w:lang w:val="fr-FR"/>
        </w:rPr>
        <w:t>’</w:t>
      </w:r>
      <w:r w:rsidR="00A659B9">
        <w:rPr>
          <w:lang w:val="fr-FR"/>
        </w:rPr>
        <w:t xml:space="preserve">urgence </w:t>
      </w:r>
      <w:r w:rsidR="00A659B9">
        <w:rPr>
          <w:lang w:val="fr-FR"/>
        </w:rPr>
        <w:br/>
        <w:t>(point </w:t>
      </w:r>
      <w:r w:rsidRPr="003A2D14">
        <w:rPr>
          <w:lang w:val="fr-FR"/>
        </w:rPr>
        <w:t>13 de l</w:t>
      </w:r>
      <w:r w:rsidR="006B6352">
        <w:rPr>
          <w:lang w:val="fr-FR"/>
        </w:rPr>
        <w:t>’</w:t>
      </w:r>
      <w:r w:rsidRPr="003A2D14">
        <w:rPr>
          <w:lang w:val="fr-FR"/>
        </w:rPr>
        <w:t>ordre du jour)</w:t>
      </w:r>
    </w:p>
    <w:p w:rsidR="003A2D14" w:rsidRPr="003A2D14" w:rsidRDefault="003A2D14" w:rsidP="00A659B9">
      <w:pPr>
        <w:pStyle w:val="SingleTxtG"/>
        <w:ind w:left="2268" w:hanging="1134"/>
        <w:jc w:val="left"/>
        <w:rPr>
          <w:i/>
          <w:lang w:val="fr-FR"/>
        </w:rPr>
      </w:pPr>
      <w:r w:rsidRPr="003A2D14">
        <w:rPr>
          <w:i/>
          <w:lang w:val="fr-FR"/>
        </w:rPr>
        <w:t>Documents </w:t>
      </w:r>
      <w:r w:rsidRPr="008370B6">
        <w:t>:</w:t>
      </w:r>
      <w:r w:rsidRPr="008370B6">
        <w:tab/>
      </w:r>
      <w:r w:rsidRPr="003A2D14">
        <w:rPr>
          <w:lang w:val="fr-FR"/>
        </w:rPr>
        <w:t>ECE/TRANS/WP.29/GRSG/2016/19 ;</w:t>
      </w:r>
      <w:r w:rsidRPr="003A2D14">
        <w:rPr>
          <w:lang w:val="fr-FR"/>
        </w:rPr>
        <w:br/>
        <w:t xml:space="preserve">documents informels GRSG-111-04, GRSG-111-06, GRSG-111-07, GRSG-111-13, GRSG-111-15, GRSG-111-26, GRSG-111-38, GRSG-111-39 </w:t>
      </w:r>
      <w:r w:rsidR="008370B6">
        <w:rPr>
          <w:lang w:val="fr-FR"/>
        </w:rPr>
        <w:br/>
      </w:r>
      <w:r w:rsidRPr="003A2D14">
        <w:rPr>
          <w:lang w:val="fr-FR"/>
        </w:rPr>
        <w:t>et GRSG-111-40</w:t>
      </w:r>
      <w:r w:rsidR="00A659B9">
        <w:rPr>
          <w:lang w:val="fr-FR"/>
        </w:rPr>
        <w:t>.</w:t>
      </w:r>
    </w:p>
    <w:p w:rsidR="003A2D14" w:rsidRPr="003A2D14" w:rsidRDefault="003A2D14" w:rsidP="009F5F9A">
      <w:pPr>
        <w:pStyle w:val="ParNoG"/>
        <w:tabs>
          <w:tab w:val="clear" w:pos="1701"/>
        </w:tabs>
        <w:rPr>
          <w:lang w:val="fr-FR"/>
        </w:rPr>
      </w:pPr>
      <w:r w:rsidRPr="003A2D14">
        <w:rPr>
          <w:lang w:val="fr-FR"/>
        </w:rPr>
        <w:t>Au nom du groupe de travail informel des systèmes automatiques d</w:t>
      </w:r>
      <w:r w:rsidR="006B6352">
        <w:rPr>
          <w:lang w:val="fr-FR"/>
        </w:rPr>
        <w:t>’</w:t>
      </w:r>
      <w:r w:rsidRPr="003A2D14">
        <w:rPr>
          <w:lang w:val="fr-FR"/>
        </w:rPr>
        <w:t>appel d</w:t>
      </w:r>
      <w:r w:rsidR="006B6352">
        <w:rPr>
          <w:lang w:val="fr-FR"/>
        </w:rPr>
        <w:t>’</w:t>
      </w:r>
      <w:r w:rsidRPr="003A2D14">
        <w:rPr>
          <w:lang w:val="fr-FR"/>
        </w:rPr>
        <w:t>urgence, l</w:t>
      </w:r>
      <w:r w:rsidR="006B6352">
        <w:rPr>
          <w:lang w:val="fr-FR"/>
        </w:rPr>
        <w:t>’</w:t>
      </w:r>
      <w:r w:rsidRPr="003A2D14">
        <w:rPr>
          <w:lang w:val="fr-FR"/>
        </w:rPr>
        <w:t>expert de la Fédération de Russie a présenté un projet de règlement sur ces systèmes (documents ECE/TRANS/WP.29/GRSG/2016/19 et GRSG-111-06), y compris une justification détaillée de la proposition. Il a présenté le document GRSG-111-07 avec quelques nouvelles modifications proposées par le groupe de travail informel. Il a appelé l</w:t>
      </w:r>
      <w:r w:rsidR="006B6352">
        <w:rPr>
          <w:lang w:val="fr-FR"/>
        </w:rPr>
        <w:t>’</w:t>
      </w:r>
      <w:r w:rsidRPr="003A2D14">
        <w:rPr>
          <w:lang w:val="fr-FR"/>
        </w:rPr>
        <w:t>attention du Groupe de travail sur la portée limitée de la nouvelle réglementation, et a ajouté que plusieurs fonctions n</w:t>
      </w:r>
      <w:r w:rsidR="006B6352">
        <w:rPr>
          <w:lang w:val="fr-FR"/>
        </w:rPr>
        <w:t>’</w:t>
      </w:r>
      <w:r w:rsidRPr="003A2D14">
        <w:rPr>
          <w:lang w:val="fr-FR"/>
        </w:rPr>
        <w:t>entraient pas dans le champ d</w:t>
      </w:r>
      <w:r w:rsidR="006B6352">
        <w:rPr>
          <w:lang w:val="fr-FR"/>
        </w:rPr>
        <w:t>’</w:t>
      </w:r>
      <w:r w:rsidRPr="003A2D14">
        <w:rPr>
          <w:lang w:val="fr-FR"/>
        </w:rPr>
        <w:t>application des dispositions du proj</w:t>
      </w:r>
      <w:r w:rsidR="00A659B9">
        <w:rPr>
          <w:lang w:val="fr-FR"/>
        </w:rPr>
        <w:t>et de règlement, notamment : i) </w:t>
      </w:r>
      <w:r w:rsidRPr="003A2D14">
        <w:rPr>
          <w:lang w:val="fr-FR"/>
        </w:rPr>
        <w:t>la fonction du module de communication et la fonction d</w:t>
      </w:r>
      <w:r w:rsidR="006B6352">
        <w:rPr>
          <w:lang w:val="fr-FR"/>
        </w:rPr>
        <w:t>’</w:t>
      </w:r>
      <w:r w:rsidRPr="003A2D14">
        <w:rPr>
          <w:lang w:val="fr-FR"/>
        </w:rPr>
        <w:t>antenne de communication, sauf dispositi</w:t>
      </w:r>
      <w:r w:rsidR="00A659B9">
        <w:rPr>
          <w:lang w:val="fr-FR"/>
        </w:rPr>
        <w:t>on contraire du règlement ; ii) </w:t>
      </w:r>
      <w:r w:rsidRPr="003A2D14">
        <w:rPr>
          <w:lang w:val="fr-FR"/>
        </w:rPr>
        <w:t>les données complémentaires à ajouter à l</w:t>
      </w:r>
      <w:r w:rsidR="006B6352">
        <w:rPr>
          <w:lang w:val="fr-FR"/>
        </w:rPr>
        <w:t>’</w:t>
      </w:r>
      <w:r w:rsidRPr="003A2D14">
        <w:rPr>
          <w:lang w:val="fr-FR"/>
        </w:rPr>
        <w:t>ensemble minimum de données à transmettre au centre de réception des appels d</w:t>
      </w:r>
      <w:r w:rsidR="006B6352">
        <w:rPr>
          <w:lang w:val="fr-FR"/>
        </w:rPr>
        <w:t>’</w:t>
      </w:r>
      <w:r w:rsidR="00A659B9">
        <w:rPr>
          <w:lang w:val="fr-FR"/>
        </w:rPr>
        <w:t>urgence ; iii) </w:t>
      </w:r>
      <w:r w:rsidRPr="003A2D14">
        <w:rPr>
          <w:lang w:val="fr-FR"/>
        </w:rPr>
        <w:t>le format des données, le mécanisme et la logique de leur transmission et le protocole d</w:t>
      </w:r>
      <w:r w:rsidR="006B6352">
        <w:rPr>
          <w:lang w:val="fr-FR"/>
        </w:rPr>
        <w:t>’</w:t>
      </w:r>
      <w:r w:rsidRPr="003A2D14">
        <w:rPr>
          <w:lang w:val="fr-FR"/>
        </w:rPr>
        <w:t>échange s</w:t>
      </w:r>
      <w:r w:rsidR="006B6352">
        <w:rPr>
          <w:lang w:val="fr-FR"/>
        </w:rPr>
        <w:t>’</w:t>
      </w:r>
      <w:r w:rsidR="00A659B9">
        <w:rPr>
          <w:lang w:val="fr-FR"/>
        </w:rPr>
        <w:t>y rapportant ; iv) </w:t>
      </w:r>
      <w:r w:rsidRPr="003A2D14">
        <w:rPr>
          <w:lang w:val="fr-FR"/>
        </w:rPr>
        <w:t xml:space="preserve">les modes de fonctionnement et les modalités </w:t>
      </w:r>
      <w:r w:rsidR="00A659B9">
        <w:rPr>
          <w:lang w:val="fr-FR"/>
        </w:rPr>
        <w:t>de passage entre ces modes ; v) </w:t>
      </w:r>
      <w:r w:rsidRPr="003A2D14">
        <w:rPr>
          <w:lang w:val="fr-FR"/>
        </w:rPr>
        <w:t>la réalisation des appels d</w:t>
      </w:r>
      <w:r w:rsidR="006B6352">
        <w:rPr>
          <w:lang w:val="fr-FR"/>
        </w:rPr>
        <w:t>’</w:t>
      </w:r>
      <w:r w:rsidRPr="003A2D14">
        <w:rPr>
          <w:lang w:val="fr-FR"/>
        </w:rPr>
        <w:t>essai, le transfert des données d</w:t>
      </w:r>
      <w:r w:rsidR="006B6352">
        <w:rPr>
          <w:lang w:val="fr-FR"/>
        </w:rPr>
        <w:t>’</w:t>
      </w:r>
      <w:r w:rsidRPr="003A2D14">
        <w:rPr>
          <w:lang w:val="fr-FR"/>
        </w:rPr>
        <w:t>essai, la réponse aux commandes prévues par le protocole reçues de l</w:t>
      </w:r>
      <w:r w:rsidR="006B6352">
        <w:rPr>
          <w:lang w:val="fr-FR"/>
        </w:rPr>
        <w:t>’</w:t>
      </w:r>
      <w:r w:rsidRPr="003A2D14">
        <w:rPr>
          <w:lang w:val="fr-FR"/>
        </w:rPr>
        <w:t>infrastructure, la logique d</w:t>
      </w:r>
      <w:r w:rsidR="006B6352">
        <w:rPr>
          <w:lang w:val="fr-FR"/>
        </w:rPr>
        <w:t>’</w:t>
      </w:r>
      <w:r w:rsidRPr="003A2D14">
        <w:rPr>
          <w:lang w:val="fr-FR"/>
        </w:rPr>
        <w:t>enregistrement sur les réseaux, la confidentialité, la protection des données et le traitement des données personnelles ; et vi)</w:t>
      </w:r>
      <w:r w:rsidR="00A659B9">
        <w:rPr>
          <w:lang w:val="fr-FR"/>
        </w:rPr>
        <w:t> </w:t>
      </w:r>
      <w:r w:rsidRPr="003A2D14">
        <w:rPr>
          <w:lang w:val="fr-FR"/>
        </w:rPr>
        <w:t>les contrôles techniques périodiques. Ces fonctions devaient être envisagées ou approuvées au niveau national ou régional.</w:t>
      </w:r>
    </w:p>
    <w:p w:rsidR="003A2D14" w:rsidRPr="003A2D14" w:rsidRDefault="003A2D14" w:rsidP="009F5F9A">
      <w:pPr>
        <w:pStyle w:val="ParNoG"/>
        <w:tabs>
          <w:tab w:val="clear" w:pos="1701"/>
        </w:tabs>
        <w:rPr>
          <w:lang w:val="fr-FR"/>
        </w:rPr>
      </w:pPr>
      <w:r w:rsidRPr="003A2D14">
        <w:rPr>
          <w:lang w:val="fr-FR"/>
        </w:rPr>
        <w:t>Le Groupe de travail a accueilli le document avec satisfaction et a salué les travaux du groupe de travail informel des systèmes automatiques d</w:t>
      </w:r>
      <w:r w:rsidR="006B6352">
        <w:rPr>
          <w:lang w:val="fr-FR"/>
        </w:rPr>
        <w:t>’</w:t>
      </w:r>
      <w:r w:rsidRPr="003A2D14">
        <w:rPr>
          <w:lang w:val="fr-FR"/>
        </w:rPr>
        <w:t>appel d</w:t>
      </w:r>
      <w:r w:rsidR="006B6352">
        <w:rPr>
          <w:lang w:val="fr-FR"/>
        </w:rPr>
        <w:t>’</w:t>
      </w:r>
      <w:r w:rsidRPr="003A2D14">
        <w:rPr>
          <w:lang w:val="fr-FR"/>
        </w:rPr>
        <w:t>urgence. Il a pris note de plusieurs observations concernant le champ d</w:t>
      </w:r>
      <w:r w:rsidR="006B6352">
        <w:rPr>
          <w:lang w:val="fr-FR"/>
        </w:rPr>
        <w:t>’</w:t>
      </w:r>
      <w:r w:rsidRPr="003A2D14">
        <w:rPr>
          <w:lang w:val="fr-FR"/>
        </w:rPr>
        <w:t>application du nouveau règlement et a examiné la proposition figurant dans le document GRSG-111-38. L</w:t>
      </w:r>
      <w:r w:rsidR="006B6352">
        <w:rPr>
          <w:lang w:val="fr-FR"/>
        </w:rPr>
        <w:t>’</w:t>
      </w:r>
      <w:r w:rsidRPr="003A2D14">
        <w:rPr>
          <w:lang w:val="fr-FR"/>
        </w:rPr>
        <w:t>expert de la Fédération de Russie a présenté le document GRSG-111-13, dans lequel il est précisé que le projet de règlement ne s</w:t>
      </w:r>
      <w:r w:rsidR="006B6352">
        <w:rPr>
          <w:lang w:val="fr-FR"/>
        </w:rPr>
        <w:t>’</w:t>
      </w:r>
      <w:r w:rsidRPr="003A2D14">
        <w:rPr>
          <w:lang w:val="fr-FR"/>
        </w:rPr>
        <w:t>applique pas aux fonctions d</w:t>
      </w:r>
      <w:r w:rsidR="006B6352">
        <w:rPr>
          <w:lang w:val="fr-FR"/>
        </w:rPr>
        <w:t>’</w:t>
      </w:r>
      <w:r w:rsidRPr="003A2D14">
        <w:rPr>
          <w:lang w:val="fr-FR"/>
        </w:rPr>
        <w:t>évaluation des dispositifs ou des systèmes automatiques d</w:t>
      </w:r>
      <w:r w:rsidR="006B6352">
        <w:rPr>
          <w:lang w:val="fr-FR"/>
        </w:rPr>
        <w:t>’</w:t>
      </w:r>
      <w:r w:rsidRPr="003A2D14">
        <w:rPr>
          <w:lang w:val="fr-FR"/>
        </w:rPr>
        <w:t>appel d</w:t>
      </w:r>
      <w:r w:rsidR="006B6352">
        <w:rPr>
          <w:lang w:val="fr-FR"/>
        </w:rPr>
        <w:t>’</w:t>
      </w:r>
      <w:r w:rsidRPr="003A2D14">
        <w:rPr>
          <w:lang w:val="fr-FR"/>
        </w:rPr>
        <w:t>urgence en cas de renversement du véhicule. L</w:t>
      </w:r>
      <w:r w:rsidR="006B6352">
        <w:rPr>
          <w:lang w:val="fr-FR"/>
        </w:rPr>
        <w:t>’</w:t>
      </w:r>
      <w:r w:rsidRPr="003A2D14">
        <w:rPr>
          <w:lang w:val="fr-FR"/>
        </w:rPr>
        <w:t>expert du Japon a présenté les résultats des études sur l</w:t>
      </w:r>
      <w:r w:rsidR="006B6352">
        <w:rPr>
          <w:lang w:val="fr-FR"/>
        </w:rPr>
        <w:t>’</w:t>
      </w:r>
      <w:r w:rsidRPr="003A2D14">
        <w:rPr>
          <w:lang w:val="fr-FR"/>
        </w:rPr>
        <w:t>impulsion maximale par rapport à trois méthodes d</w:t>
      </w:r>
      <w:r w:rsidR="006B6352">
        <w:rPr>
          <w:lang w:val="fr-FR"/>
        </w:rPr>
        <w:t>’</w:t>
      </w:r>
      <w:r w:rsidRPr="003A2D14">
        <w:rPr>
          <w:lang w:val="fr-FR"/>
        </w:rPr>
        <w:t>essai de choc (document GRSG-111-26). I</w:t>
      </w:r>
      <w:r w:rsidR="00A659B9">
        <w:rPr>
          <w:lang w:val="fr-FR"/>
        </w:rPr>
        <w:t>l a conclu que le couloir de 60 </w:t>
      </w:r>
      <w:r w:rsidRPr="003A2D14">
        <w:rPr>
          <w:lang w:val="fr-FR"/>
        </w:rPr>
        <w:t>g prescrit pour l</w:t>
      </w:r>
      <w:r w:rsidR="006B6352">
        <w:rPr>
          <w:lang w:val="fr-FR"/>
        </w:rPr>
        <w:t>’</w:t>
      </w:r>
      <w:r w:rsidRPr="003A2D14">
        <w:rPr>
          <w:lang w:val="fr-FR"/>
        </w:rPr>
        <w:t>impulsion d</w:t>
      </w:r>
      <w:r w:rsidR="006B6352">
        <w:rPr>
          <w:lang w:val="fr-FR"/>
        </w:rPr>
        <w:t>’</w:t>
      </w:r>
      <w:r w:rsidRPr="003A2D14">
        <w:rPr>
          <w:lang w:val="fr-FR"/>
        </w:rPr>
        <w:t>accélération du chariot d</w:t>
      </w:r>
      <w:r w:rsidR="006B6352">
        <w:rPr>
          <w:lang w:val="fr-FR"/>
        </w:rPr>
        <w:t>’</w:t>
      </w:r>
      <w:r w:rsidRPr="003A2D14">
        <w:rPr>
          <w:lang w:val="fr-FR"/>
        </w:rPr>
        <w:t xml:space="preserve">essai dans le projet de règlement </w:t>
      </w:r>
      <w:r w:rsidR="00433EDF">
        <w:rPr>
          <w:lang w:val="fr-FR"/>
        </w:rPr>
        <w:t>(</w:t>
      </w:r>
      <w:r w:rsidR="008D6144" w:rsidRPr="00433EDF">
        <w:rPr>
          <w:lang w:val="fr-FR"/>
        </w:rPr>
        <w:t>ECE/TRANS/WP.29/GRSG/2016/9</w:t>
      </w:r>
      <w:r w:rsidR="00433EDF" w:rsidRPr="00433EDF">
        <w:rPr>
          <w:lang w:val="fr-FR"/>
        </w:rPr>
        <w:t>)</w:t>
      </w:r>
      <w:r w:rsidR="008D6144">
        <w:rPr>
          <w:lang w:val="fr-FR"/>
        </w:rPr>
        <w:t xml:space="preserve"> </w:t>
      </w:r>
      <w:r w:rsidRPr="003A2D14">
        <w:rPr>
          <w:lang w:val="fr-FR"/>
        </w:rPr>
        <w:t>était suffisamment rigoureux pour être représentatif des situations réelles d</w:t>
      </w:r>
      <w:r w:rsidR="006B6352">
        <w:rPr>
          <w:lang w:val="fr-FR"/>
        </w:rPr>
        <w:t>’</w:t>
      </w:r>
      <w:r w:rsidRPr="003A2D14">
        <w:rPr>
          <w:lang w:val="fr-FR"/>
        </w:rPr>
        <w:t>accident. Les experts de la Fédération de Russie et de la Suisse se sont rangés à cette position. L</w:t>
      </w:r>
      <w:r w:rsidR="006B6352">
        <w:rPr>
          <w:lang w:val="fr-FR"/>
        </w:rPr>
        <w:t>’</w:t>
      </w:r>
      <w:r w:rsidRPr="003A2D14">
        <w:rPr>
          <w:lang w:val="fr-FR"/>
        </w:rPr>
        <w:t>expert de la Commission européenne a expliqué que son organisation avait déjà publié la législation de l</w:t>
      </w:r>
      <w:r w:rsidR="006B6352">
        <w:rPr>
          <w:lang w:val="fr-FR"/>
        </w:rPr>
        <w:t>’</w:t>
      </w:r>
      <w:r w:rsidRPr="003A2D14">
        <w:rPr>
          <w:lang w:val="fr-FR"/>
        </w:rPr>
        <w:t>Union européenne avec un pic d</w:t>
      </w:r>
      <w:r w:rsidR="006B6352">
        <w:rPr>
          <w:lang w:val="fr-FR"/>
        </w:rPr>
        <w:t>’</w:t>
      </w:r>
      <w:r w:rsidRPr="003A2D14">
        <w:rPr>
          <w:lang w:val="fr-FR"/>
        </w:rPr>
        <w:t>impulsion de 65 g et que, par conséquent, il n</w:t>
      </w:r>
      <w:r w:rsidR="006B6352">
        <w:rPr>
          <w:lang w:val="fr-FR"/>
        </w:rPr>
        <w:t>’</w:t>
      </w:r>
      <w:r w:rsidRPr="003A2D14">
        <w:rPr>
          <w:lang w:val="fr-FR"/>
        </w:rPr>
        <w:t>était pas en mesure d</w:t>
      </w:r>
      <w:r w:rsidR="006B6352">
        <w:rPr>
          <w:lang w:val="fr-FR"/>
        </w:rPr>
        <w:t>’</w:t>
      </w:r>
      <w:r w:rsidRPr="003A2D14">
        <w:rPr>
          <w:lang w:val="fr-FR"/>
        </w:rPr>
        <w:t>appuyer cette proposition. Il a émis une réserve pour étude afin d</w:t>
      </w:r>
      <w:r w:rsidR="006B6352">
        <w:rPr>
          <w:lang w:val="fr-FR"/>
        </w:rPr>
        <w:t>’</w:t>
      </w:r>
      <w:r w:rsidRPr="003A2D14">
        <w:rPr>
          <w:lang w:val="fr-FR"/>
        </w:rPr>
        <w:t>examiner en détail les résultats de l</w:t>
      </w:r>
      <w:r w:rsidR="006B6352">
        <w:rPr>
          <w:lang w:val="fr-FR"/>
        </w:rPr>
        <w:t>’</w:t>
      </w:r>
      <w:r w:rsidRPr="003A2D14">
        <w:rPr>
          <w:lang w:val="fr-FR"/>
        </w:rPr>
        <w:t>étude figurant dans le document GRSG-111-26. Le Groupe de travail a décidé de conserver le document informel GRSG-111-26 à l</w:t>
      </w:r>
      <w:r w:rsidR="006B6352">
        <w:rPr>
          <w:lang w:val="fr-FR"/>
        </w:rPr>
        <w:t>’</w:t>
      </w:r>
      <w:r w:rsidRPr="003A2D14">
        <w:rPr>
          <w:lang w:val="fr-FR"/>
        </w:rPr>
        <w:t>ordre du jour en tant que document de référence.</w:t>
      </w:r>
    </w:p>
    <w:p w:rsidR="003A2D14" w:rsidRPr="003A2D14" w:rsidRDefault="003A2D14" w:rsidP="009F5F9A">
      <w:pPr>
        <w:pStyle w:val="ParNoG"/>
        <w:tabs>
          <w:tab w:val="clear" w:pos="1701"/>
        </w:tabs>
        <w:rPr>
          <w:lang w:val="fr-FR"/>
        </w:rPr>
      </w:pPr>
      <w:r w:rsidRPr="003A2D14">
        <w:rPr>
          <w:lang w:val="fr-FR"/>
        </w:rPr>
        <w:t>L</w:t>
      </w:r>
      <w:r w:rsidR="006B6352">
        <w:rPr>
          <w:lang w:val="fr-FR"/>
        </w:rPr>
        <w:t>’</w:t>
      </w:r>
      <w:r w:rsidRPr="003A2D14">
        <w:rPr>
          <w:lang w:val="fr-FR"/>
        </w:rPr>
        <w:t>expert de l</w:t>
      </w:r>
      <w:r w:rsidR="006B6352">
        <w:rPr>
          <w:lang w:val="fr-FR"/>
        </w:rPr>
        <w:t>’</w:t>
      </w:r>
      <w:r w:rsidRPr="003A2D14">
        <w:rPr>
          <w:lang w:val="fr-FR"/>
        </w:rPr>
        <w:t>OICA a présenté un exposé sur l</w:t>
      </w:r>
      <w:r w:rsidR="006B6352">
        <w:rPr>
          <w:lang w:val="fr-FR"/>
        </w:rPr>
        <w:t>’</w:t>
      </w:r>
      <w:r w:rsidRPr="003A2D14">
        <w:rPr>
          <w:lang w:val="fr-FR"/>
        </w:rPr>
        <w:t>état actuel de l</w:t>
      </w:r>
      <w:r w:rsidR="006B6352">
        <w:rPr>
          <w:lang w:val="fr-FR"/>
        </w:rPr>
        <w:t>’</w:t>
      </w:r>
      <w:r w:rsidRPr="003A2D14">
        <w:rPr>
          <w:lang w:val="fr-FR"/>
        </w:rPr>
        <w:t>évolution de la réglementation et a proposé des avancées possibles (document GRSG-111-39). Il a présenté le document GRSG-111-15, dans lequel sont proposés de nouveaux amendements au document ECE/TRANS/WP.29/GRSG/2016/19 visant à introduire des prescriptions relatives à l</w:t>
      </w:r>
      <w:r w:rsidR="006B6352">
        <w:rPr>
          <w:lang w:val="fr-FR"/>
        </w:rPr>
        <w:t>’</w:t>
      </w:r>
      <w:r w:rsidRPr="003A2D14">
        <w:rPr>
          <w:lang w:val="fr-FR"/>
        </w:rPr>
        <w:t>homologation de type des composants des dispositifs automatiques d</w:t>
      </w:r>
      <w:r w:rsidR="006B6352">
        <w:rPr>
          <w:lang w:val="fr-FR"/>
        </w:rPr>
        <w:t>’</w:t>
      </w:r>
      <w:r w:rsidRPr="003A2D14">
        <w:rPr>
          <w:lang w:val="fr-FR"/>
        </w:rPr>
        <w:t>appel d</w:t>
      </w:r>
      <w:r w:rsidR="006B6352">
        <w:rPr>
          <w:lang w:val="fr-FR"/>
        </w:rPr>
        <w:t>’</w:t>
      </w:r>
      <w:r w:rsidRPr="003A2D14">
        <w:rPr>
          <w:lang w:val="fr-FR"/>
        </w:rPr>
        <w:t>urgence. La proposition présentée a recueilli un consensus général.</w:t>
      </w:r>
    </w:p>
    <w:p w:rsidR="003A2D14" w:rsidRPr="003A2D14" w:rsidRDefault="003A2D14" w:rsidP="009F5F9A">
      <w:pPr>
        <w:pStyle w:val="ParNoG"/>
        <w:tabs>
          <w:tab w:val="clear" w:pos="1701"/>
        </w:tabs>
        <w:rPr>
          <w:lang w:val="fr-FR"/>
        </w:rPr>
      </w:pPr>
      <w:r w:rsidRPr="003A2D14">
        <w:rPr>
          <w:lang w:val="fr-FR"/>
        </w:rPr>
        <w:t>Le Groupe de travail a accueilli avec satisfaction le document GRSG-111-04, dans lequel sont énumérées les recommandations de l</w:t>
      </w:r>
      <w:r w:rsidR="006B6352">
        <w:rPr>
          <w:lang w:val="fr-FR"/>
        </w:rPr>
        <w:t>’</w:t>
      </w:r>
      <w:r w:rsidRPr="003A2D14">
        <w:rPr>
          <w:lang w:val="fr-FR"/>
        </w:rPr>
        <w:t>UIT auxquelles il est fait référence dans le projet de règlement sur les systèmes automatiques d</w:t>
      </w:r>
      <w:r w:rsidR="006B6352">
        <w:rPr>
          <w:lang w:val="fr-FR"/>
        </w:rPr>
        <w:t>’</w:t>
      </w:r>
      <w:r w:rsidRPr="003A2D14">
        <w:rPr>
          <w:lang w:val="fr-FR"/>
        </w:rPr>
        <w:t>appel d</w:t>
      </w:r>
      <w:r w:rsidR="006B6352">
        <w:rPr>
          <w:lang w:val="fr-FR"/>
        </w:rPr>
        <w:t>’</w:t>
      </w:r>
      <w:r w:rsidRPr="003A2D14">
        <w:rPr>
          <w:lang w:val="fr-FR"/>
        </w:rPr>
        <w:t>urgence, et qui précisent les prescriptions en matière de communication parlée pour les appels d</w:t>
      </w:r>
      <w:r w:rsidR="006B6352">
        <w:rPr>
          <w:lang w:val="fr-FR"/>
        </w:rPr>
        <w:t>’</w:t>
      </w:r>
      <w:r w:rsidRPr="003A2D14">
        <w:rPr>
          <w:lang w:val="fr-FR"/>
        </w:rPr>
        <w:t>urgence provenant de véhicules. L</w:t>
      </w:r>
      <w:r w:rsidR="006B6352">
        <w:rPr>
          <w:lang w:val="fr-FR"/>
        </w:rPr>
        <w:t>’</w:t>
      </w:r>
      <w:r w:rsidRPr="003A2D14">
        <w:rPr>
          <w:lang w:val="fr-FR"/>
        </w:rPr>
        <w:t>expert de l</w:t>
      </w:r>
      <w:r w:rsidR="006B6352">
        <w:rPr>
          <w:lang w:val="fr-FR"/>
        </w:rPr>
        <w:t>’</w:t>
      </w:r>
      <w:r w:rsidRPr="003A2D14">
        <w:rPr>
          <w:lang w:val="fr-FR"/>
        </w:rPr>
        <w:t>UIT a présenté le Comité directeur de l</w:t>
      </w:r>
      <w:r w:rsidR="006B6352">
        <w:rPr>
          <w:lang w:val="fr-FR"/>
        </w:rPr>
        <w:t>’</w:t>
      </w:r>
      <w:r w:rsidRPr="003A2D14">
        <w:rPr>
          <w:lang w:val="fr-FR"/>
        </w:rPr>
        <w:t>évaluation de la conformité de l</w:t>
      </w:r>
      <w:r w:rsidR="006B6352">
        <w:rPr>
          <w:lang w:val="fr-FR"/>
        </w:rPr>
        <w:t>’</w:t>
      </w:r>
      <w:r w:rsidRPr="003A2D14">
        <w:rPr>
          <w:lang w:val="fr-FR"/>
        </w:rPr>
        <w:t>UIT (document GRSG-111-40).</w:t>
      </w:r>
    </w:p>
    <w:p w:rsidR="003A2D14" w:rsidRPr="003A2D14" w:rsidRDefault="003A2D14" w:rsidP="009F5F9A">
      <w:pPr>
        <w:pStyle w:val="ParNoG"/>
        <w:tabs>
          <w:tab w:val="clear" w:pos="1701"/>
        </w:tabs>
        <w:rPr>
          <w:lang w:val="fr-FR"/>
        </w:rPr>
      </w:pPr>
      <w:r w:rsidRPr="003A2D14">
        <w:rPr>
          <w:lang w:val="fr-FR"/>
        </w:rPr>
        <w:t>Enfin, le Groupe de travail a décidé qu</w:t>
      </w:r>
      <w:r w:rsidR="006B6352">
        <w:rPr>
          <w:lang w:val="fr-FR"/>
        </w:rPr>
        <w:t>’</w:t>
      </w:r>
      <w:r w:rsidRPr="003A2D14">
        <w:rPr>
          <w:lang w:val="fr-FR"/>
        </w:rPr>
        <w:t>une prorogation du mandat du groupe de travail informel sur les systèmes automatiques d</w:t>
      </w:r>
      <w:r w:rsidR="006B6352">
        <w:rPr>
          <w:lang w:val="fr-FR"/>
        </w:rPr>
        <w:t>’</w:t>
      </w:r>
      <w:r w:rsidRPr="003A2D14">
        <w:rPr>
          <w:lang w:val="fr-FR"/>
        </w:rPr>
        <w:t>appel d</w:t>
      </w:r>
      <w:r w:rsidR="006B6352">
        <w:rPr>
          <w:lang w:val="fr-FR"/>
        </w:rPr>
        <w:t>’</w:t>
      </w:r>
      <w:r w:rsidRPr="003A2D14">
        <w:rPr>
          <w:lang w:val="fr-FR"/>
        </w:rPr>
        <w:t>urgence n</w:t>
      </w:r>
      <w:r w:rsidR="006B6352">
        <w:rPr>
          <w:lang w:val="fr-FR"/>
        </w:rPr>
        <w:t>’</w:t>
      </w:r>
      <w:r w:rsidRPr="003A2D14">
        <w:rPr>
          <w:lang w:val="fr-FR"/>
        </w:rPr>
        <w:t>était pas nécessaire et qu</w:t>
      </w:r>
      <w:r w:rsidR="006B6352">
        <w:rPr>
          <w:lang w:val="fr-FR"/>
        </w:rPr>
        <w:t>’</w:t>
      </w:r>
      <w:r w:rsidRPr="003A2D14">
        <w:rPr>
          <w:lang w:val="fr-FR"/>
        </w:rPr>
        <w:t>il reprendrait l</w:t>
      </w:r>
      <w:r w:rsidR="006B6352">
        <w:rPr>
          <w:lang w:val="fr-FR"/>
        </w:rPr>
        <w:t>’</w:t>
      </w:r>
      <w:r w:rsidRPr="003A2D14">
        <w:rPr>
          <w:lang w:val="fr-FR"/>
        </w:rPr>
        <w:t>examen de cette question à sa session suivante, prévue en avril 2017. Il a approuvé les suggestions du Président ci-après :</w:t>
      </w:r>
    </w:p>
    <w:p w:rsidR="003A2D14" w:rsidRPr="003A2D14" w:rsidRDefault="003A2D14" w:rsidP="00A659B9">
      <w:pPr>
        <w:pStyle w:val="SingleTxtG"/>
        <w:ind w:firstLine="567"/>
        <w:rPr>
          <w:lang w:val="fr-FR"/>
        </w:rPr>
      </w:pPr>
      <w:r w:rsidRPr="003A2D14">
        <w:rPr>
          <w:lang w:val="fr-FR"/>
        </w:rPr>
        <w:t>a)</w:t>
      </w:r>
      <w:r w:rsidRPr="003A2D14">
        <w:rPr>
          <w:lang w:val="fr-FR"/>
        </w:rPr>
        <w:tab/>
        <w:t>Les experts ont été invités à envoyer leurs observations écrites sur les prescriptions relatives aux composants des dispositifs automatiques d</w:t>
      </w:r>
      <w:r w:rsidR="006B6352">
        <w:rPr>
          <w:lang w:val="fr-FR"/>
        </w:rPr>
        <w:t>’</w:t>
      </w:r>
      <w:r w:rsidRPr="003A2D14">
        <w:rPr>
          <w:lang w:val="fr-FR"/>
        </w:rPr>
        <w:t>appel d</w:t>
      </w:r>
      <w:r w:rsidR="006B6352">
        <w:rPr>
          <w:lang w:val="fr-FR"/>
        </w:rPr>
        <w:t>’</w:t>
      </w:r>
      <w:r w:rsidRPr="003A2D14">
        <w:rPr>
          <w:lang w:val="fr-FR"/>
        </w:rPr>
        <w:t>urgence (document GRSG-111-15) à l</w:t>
      </w:r>
      <w:r w:rsidR="006B6352">
        <w:rPr>
          <w:lang w:val="fr-FR"/>
        </w:rPr>
        <w:t>’</w:t>
      </w:r>
      <w:r w:rsidRPr="003A2D14">
        <w:rPr>
          <w:lang w:val="fr-FR"/>
        </w:rPr>
        <w:t>expert de l</w:t>
      </w:r>
      <w:r w:rsidR="006B6352">
        <w:rPr>
          <w:lang w:val="fr-FR"/>
        </w:rPr>
        <w:t>’</w:t>
      </w:r>
      <w:r w:rsidRPr="003A2D14">
        <w:rPr>
          <w:lang w:val="fr-FR"/>
        </w:rPr>
        <w:t>OICA jusqu</w:t>
      </w:r>
      <w:r w:rsidR="006B6352">
        <w:rPr>
          <w:lang w:val="fr-FR"/>
        </w:rPr>
        <w:t>’</w:t>
      </w:r>
      <w:r w:rsidRPr="003A2D14">
        <w:rPr>
          <w:lang w:val="fr-FR"/>
        </w:rPr>
        <w:t>à la fin du mois de novembre 2016 au plus tard ;</w:t>
      </w:r>
    </w:p>
    <w:p w:rsidR="003A2D14" w:rsidRPr="003A2D14" w:rsidRDefault="003A2D14" w:rsidP="00A659B9">
      <w:pPr>
        <w:pStyle w:val="SingleTxtG"/>
        <w:ind w:firstLine="567"/>
        <w:rPr>
          <w:lang w:val="fr-FR"/>
        </w:rPr>
      </w:pPr>
      <w:r w:rsidRPr="003A2D14">
        <w:rPr>
          <w:lang w:val="fr-FR"/>
        </w:rPr>
        <w:t>b)</w:t>
      </w:r>
      <w:r w:rsidRPr="003A2D14">
        <w:rPr>
          <w:lang w:val="fr-FR"/>
        </w:rPr>
        <w:tab/>
        <w:t>Les experts ont été invités à participer à une réunion d</w:t>
      </w:r>
      <w:r w:rsidR="006B6352">
        <w:rPr>
          <w:lang w:val="fr-FR"/>
        </w:rPr>
        <w:t>’</w:t>
      </w:r>
      <w:r w:rsidRPr="003A2D14">
        <w:rPr>
          <w:lang w:val="fr-FR"/>
        </w:rPr>
        <w:t>équipe spéciale organisée par l</w:t>
      </w:r>
      <w:r w:rsidR="006B6352">
        <w:rPr>
          <w:lang w:val="fr-FR"/>
        </w:rPr>
        <w:t>’</w:t>
      </w:r>
      <w:r w:rsidRPr="003A2D14">
        <w:rPr>
          <w:lang w:val="fr-FR"/>
        </w:rPr>
        <w:t>OICA et prévue en janvier 2017 pour examiner les dernières questions en suspens (document GRSG-111-38) ;</w:t>
      </w:r>
    </w:p>
    <w:p w:rsidR="003A2D14" w:rsidRPr="003A2D14" w:rsidRDefault="003A2D14" w:rsidP="00A659B9">
      <w:pPr>
        <w:pStyle w:val="SingleTxtG"/>
        <w:ind w:firstLine="567"/>
        <w:rPr>
          <w:lang w:val="fr-FR"/>
        </w:rPr>
      </w:pPr>
      <w:r w:rsidRPr="003A2D14">
        <w:rPr>
          <w:lang w:val="fr-FR"/>
        </w:rPr>
        <w:t>c)</w:t>
      </w:r>
      <w:r w:rsidRPr="003A2D14">
        <w:rPr>
          <w:lang w:val="fr-FR"/>
        </w:rPr>
        <w:tab/>
        <w:t>Les Parties contractantes ont été invitées à examiner, au plus haut niveau, des solutions possibles pour résoudre la contradiction entre leurs positions sur le pic d</w:t>
      </w:r>
      <w:r w:rsidR="006B6352">
        <w:rPr>
          <w:lang w:val="fr-FR"/>
        </w:rPr>
        <w:t>’</w:t>
      </w:r>
      <w:r w:rsidRPr="003A2D14">
        <w:rPr>
          <w:lang w:val="fr-FR"/>
        </w:rPr>
        <w:t>impulsion à 60</w:t>
      </w:r>
      <w:r w:rsidR="00A659B9">
        <w:rPr>
          <w:lang w:val="fr-FR"/>
        </w:rPr>
        <w:t> </w:t>
      </w:r>
      <w:r w:rsidRPr="003A2D14">
        <w:rPr>
          <w:lang w:val="fr-FR"/>
        </w:rPr>
        <w:t>g ou 65</w:t>
      </w:r>
      <w:r w:rsidR="00A659B9">
        <w:rPr>
          <w:lang w:val="fr-FR"/>
        </w:rPr>
        <w:t> </w:t>
      </w:r>
      <w:r w:rsidRPr="003A2D14">
        <w:rPr>
          <w:lang w:val="fr-FR"/>
        </w:rPr>
        <w:t>g.</w:t>
      </w:r>
    </w:p>
    <w:p w:rsidR="003A2D14" w:rsidRPr="003A2D14" w:rsidRDefault="003A2D14" w:rsidP="00A659B9">
      <w:pPr>
        <w:pStyle w:val="HChG"/>
        <w:rPr>
          <w:lang w:val="fr-FR"/>
        </w:rPr>
      </w:pPr>
      <w:r w:rsidRPr="003A2D14">
        <w:rPr>
          <w:lang w:val="fr-FR"/>
        </w:rPr>
        <w:tab/>
        <w:t>XV.</w:t>
      </w:r>
      <w:r w:rsidRPr="003A2D14">
        <w:rPr>
          <w:lang w:val="fr-FR"/>
        </w:rPr>
        <w:tab/>
        <w:t>Homologation de type internationale de l</w:t>
      </w:r>
      <w:r w:rsidR="006B6352">
        <w:rPr>
          <w:lang w:val="fr-FR"/>
        </w:rPr>
        <w:t>’</w:t>
      </w:r>
      <w:r w:rsidRPr="003A2D14">
        <w:rPr>
          <w:lang w:val="fr-FR"/>
        </w:rPr>
        <w:t>ense</w:t>
      </w:r>
      <w:r w:rsidR="00A659B9">
        <w:rPr>
          <w:lang w:val="fr-FR"/>
        </w:rPr>
        <w:t>mble du véhicule (IWVTA) (point </w:t>
      </w:r>
      <w:r w:rsidRPr="003A2D14">
        <w:rPr>
          <w:lang w:val="fr-FR"/>
        </w:rPr>
        <w:t>14 de l</w:t>
      </w:r>
      <w:r w:rsidR="006B6352">
        <w:rPr>
          <w:lang w:val="fr-FR"/>
        </w:rPr>
        <w:t>’</w:t>
      </w:r>
      <w:r w:rsidRPr="003A2D14">
        <w:rPr>
          <w:lang w:val="fr-FR"/>
        </w:rPr>
        <w:t>ordre du jour)</w:t>
      </w:r>
    </w:p>
    <w:p w:rsidR="003A2D14" w:rsidRPr="003A2D14" w:rsidRDefault="003A2D14" w:rsidP="003A2D14">
      <w:pPr>
        <w:pStyle w:val="SingleTxtG"/>
        <w:rPr>
          <w:i/>
          <w:lang w:val="fr-FR"/>
        </w:rPr>
      </w:pPr>
      <w:r w:rsidRPr="003A2D14">
        <w:rPr>
          <w:i/>
          <w:lang w:val="fr-FR"/>
        </w:rPr>
        <w:t>Document </w:t>
      </w:r>
      <w:r w:rsidRPr="008D6144">
        <w:t>:</w:t>
      </w:r>
      <w:r w:rsidRPr="003A2D14">
        <w:rPr>
          <w:lang w:val="fr-FR"/>
        </w:rPr>
        <w:tab/>
        <w:t>document informel GRSG-110-24</w:t>
      </w:r>
      <w:r w:rsidR="00A659B9">
        <w:rPr>
          <w:lang w:val="fr-FR"/>
        </w:rPr>
        <w:t>.</w:t>
      </w:r>
    </w:p>
    <w:p w:rsidR="003A2D14" w:rsidRPr="003A2D14" w:rsidRDefault="003A2D14" w:rsidP="009F5F9A">
      <w:pPr>
        <w:pStyle w:val="ParNoG"/>
        <w:tabs>
          <w:tab w:val="clear" w:pos="1701"/>
        </w:tabs>
        <w:rPr>
          <w:lang w:val="fr-FR"/>
        </w:rPr>
      </w:pPr>
      <w:r w:rsidRPr="003A2D14">
        <w:rPr>
          <w:lang w:val="fr-FR"/>
        </w:rPr>
        <w:t>Le Groupe de travail s</w:t>
      </w:r>
      <w:r w:rsidR="006B6352">
        <w:rPr>
          <w:lang w:val="fr-FR"/>
        </w:rPr>
        <w:t>’</w:t>
      </w:r>
      <w:r w:rsidRPr="003A2D14">
        <w:rPr>
          <w:lang w:val="fr-FR"/>
        </w:rPr>
        <w:t>est félicité d</w:t>
      </w:r>
      <w:r w:rsidR="006B6352">
        <w:rPr>
          <w:lang w:val="fr-FR"/>
        </w:rPr>
        <w:t>’</w:t>
      </w:r>
      <w:r w:rsidRPr="003A2D14">
        <w:rPr>
          <w:lang w:val="fr-FR"/>
        </w:rPr>
        <w:t>apprendre que le Forum mondial avait approuvé, à sa session de juin 2016, le texte du projet de Révision 3 de l</w:t>
      </w:r>
      <w:r w:rsidR="006B6352">
        <w:rPr>
          <w:lang w:val="fr-FR"/>
        </w:rPr>
        <w:t>’</w:t>
      </w:r>
      <w:r w:rsidRPr="003A2D14">
        <w:rPr>
          <w:lang w:val="fr-FR"/>
        </w:rPr>
        <w:t>Accord de 1958 tel qu</w:t>
      </w:r>
      <w:r w:rsidR="006B6352">
        <w:rPr>
          <w:lang w:val="fr-FR"/>
        </w:rPr>
        <w:t>’</w:t>
      </w:r>
      <w:r w:rsidRPr="003A2D14">
        <w:rPr>
          <w:lang w:val="fr-FR"/>
        </w:rPr>
        <w:t>il figure dans le document ECE/TRANS/WP.29/2016/2 et qu</w:t>
      </w:r>
      <w:r w:rsidR="006B6352">
        <w:rPr>
          <w:lang w:val="fr-FR"/>
        </w:rPr>
        <w:t>’</w:t>
      </w:r>
      <w:r w:rsidRPr="003A2D14">
        <w:rPr>
          <w:lang w:val="fr-FR"/>
        </w:rPr>
        <w:t>aucune objection n</w:t>
      </w:r>
      <w:r w:rsidR="006B6352">
        <w:rPr>
          <w:lang w:val="fr-FR"/>
        </w:rPr>
        <w:t>’</w:t>
      </w:r>
      <w:r w:rsidRPr="003A2D14">
        <w:rPr>
          <w:lang w:val="fr-FR"/>
        </w:rPr>
        <w:t>avait été soulevée par les Parties contractantes à l</w:t>
      </w:r>
      <w:r w:rsidR="006B6352">
        <w:rPr>
          <w:lang w:val="fr-FR"/>
        </w:rPr>
        <w:t>’</w:t>
      </w:r>
      <w:r w:rsidRPr="003A2D14">
        <w:rPr>
          <w:lang w:val="fr-FR"/>
        </w:rPr>
        <w:t>Accord de 1958 représentées (rap</w:t>
      </w:r>
      <w:r w:rsidR="00A659B9">
        <w:rPr>
          <w:lang w:val="fr-FR"/>
        </w:rPr>
        <w:t>port ECE/TRANS/WP.29/1123, par. </w:t>
      </w:r>
      <w:r w:rsidRPr="003A2D14">
        <w:rPr>
          <w:lang w:val="fr-FR"/>
        </w:rPr>
        <w:t>48 et 49). Le Groupe de travail a noté que le Forum mondial avait invité le représentant de l</w:t>
      </w:r>
      <w:r w:rsidR="006B6352">
        <w:rPr>
          <w:lang w:val="fr-FR"/>
        </w:rPr>
        <w:t>’</w:t>
      </w:r>
      <w:r w:rsidRPr="003A2D14">
        <w:rPr>
          <w:lang w:val="fr-FR"/>
        </w:rPr>
        <w:t xml:space="preserve">Union européenne à lancer le processus de </w:t>
      </w:r>
      <w:r w:rsidRPr="00A659B9">
        <w:rPr>
          <w:spacing w:val="-4"/>
          <w:lang w:val="fr-FR"/>
        </w:rPr>
        <w:t>notification de la révision 3 au Bureau des affaires juridiques de l</w:t>
      </w:r>
      <w:r w:rsidR="006B6352" w:rsidRPr="00A659B9">
        <w:rPr>
          <w:spacing w:val="-4"/>
          <w:lang w:val="fr-FR"/>
        </w:rPr>
        <w:t>’</w:t>
      </w:r>
      <w:r w:rsidRPr="00A659B9">
        <w:rPr>
          <w:spacing w:val="-4"/>
          <w:lang w:val="fr-FR"/>
        </w:rPr>
        <w:t>ONU. Il a également été noté que la décision correspondante de l</w:t>
      </w:r>
      <w:r w:rsidR="006B6352" w:rsidRPr="00A659B9">
        <w:rPr>
          <w:spacing w:val="-4"/>
          <w:lang w:val="fr-FR"/>
        </w:rPr>
        <w:t>’</w:t>
      </w:r>
      <w:r w:rsidRPr="00A659B9">
        <w:rPr>
          <w:spacing w:val="-4"/>
          <w:lang w:val="fr-FR"/>
        </w:rPr>
        <w:t>Union européenne ainsi que</w:t>
      </w:r>
      <w:r w:rsidR="00A659B9" w:rsidRPr="00A659B9">
        <w:rPr>
          <w:spacing w:val="-4"/>
          <w:lang w:val="fr-FR"/>
        </w:rPr>
        <w:t xml:space="preserve"> le texte du projet de Révision </w:t>
      </w:r>
      <w:r w:rsidRPr="00A659B9">
        <w:rPr>
          <w:spacing w:val="-4"/>
          <w:lang w:val="fr-FR"/>
        </w:rPr>
        <w:t>3 avaient été publiés le 11 octobre 2016 au Journal officiel de l</w:t>
      </w:r>
      <w:r w:rsidR="006B6352" w:rsidRPr="00A659B9">
        <w:rPr>
          <w:spacing w:val="-4"/>
          <w:lang w:val="fr-FR"/>
        </w:rPr>
        <w:t>’</w:t>
      </w:r>
      <w:r w:rsidRPr="00A659B9">
        <w:rPr>
          <w:spacing w:val="-4"/>
          <w:lang w:val="fr-FR"/>
        </w:rPr>
        <w:t>Union européenne</w:t>
      </w:r>
      <w:r w:rsidR="00A659B9" w:rsidRPr="00A659B9">
        <w:rPr>
          <w:spacing w:val="-4"/>
          <w:lang w:val="fr-FR"/>
        </w:rPr>
        <w:t> </w:t>
      </w:r>
      <w:r w:rsidRPr="00A659B9">
        <w:rPr>
          <w:spacing w:val="-4"/>
          <w:lang w:val="fr-FR"/>
        </w:rPr>
        <w:t>L274.</w:t>
      </w:r>
    </w:p>
    <w:p w:rsidR="003A2D14" w:rsidRPr="003A2D14" w:rsidRDefault="003A2D14" w:rsidP="009F5F9A">
      <w:pPr>
        <w:pStyle w:val="ParNoG"/>
        <w:tabs>
          <w:tab w:val="clear" w:pos="1701"/>
        </w:tabs>
        <w:rPr>
          <w:lang w:val="fr-FR"/>
        </w:rPr>
      </w:pPr>
      <w:r w:rsidRPr="003A2D14">
        <w:rPr>
          <w:lang w:val="fr-FR"/>
        </w:rPr>
        <w:t>Le Groupe de travail a rappelé le débat mené au cours de sa session précédente sur le document GRSG-110-24 et sa décision de scinder le Règlement n</w:t>
      </w:r>
      <w:r w:rsidRPr="003A2D14">
        <w:rPr>
          <w:vertAlign w:val="superscript"/>
          <w:lang w:val="fr-FR"/>
        </w:rPr>
        <w:t>o</w:t>
      </w:r>
      <w:r w:rsidRPr="003A2D14">
        <w:rPr>
          <w:lang w:val="fr-FR"/>
        </w:rPr>
        <w:t> 116 en trois règlements sur i) les dispositifs antivol, ii) les systèmes d</w:t>
      </w:r>
      <w:r w:rsidR="006B6352">
        <w:rPr>
          <w:lang w:val="fr-FR"/>
        </w:rPr>
        <w:t>’</w:t>
      </w:r>
      <w:r w:rsidRPr="003A2D14">
        <w:rPr>
          <w:lang w:val="fr-FR"/>
        </w:rPr>
        <w:t>alarme et iii) les dispositifs d</w:t>
      </w:r>
      <w:r w:rsidR="006B6352">
        <w:rPr>
          <w:lang w:val="fr-FR"/>
        </w:rPr>
        <w:t>’</w:t>
      </w:r>
      <w:r w:rsidRPr="003A2D14">
        <w:rPr>
          <w:lang w:val="fr-FR"/>
        </w:rPr>
        <w:t>immobilisation. Le Groupe de travail a noté que l</w:t>
      </w:r>
      <w:r w:rsidR="006B6352">
        <w:rPr>
          <w:lang w:val="fr-FR"/>
        </w:rPr>
        <w:t>’</w:t>
      </w:r>
      <w:r w:rsidRPr="003A2D14">
        <w:rPr>
          <w:lang w:val="fr-FR"/>
        </w:rPr>
        <w:t>équipe spéciale travaillait toujours sur des propositions concrètes qui devaient lui être soumises pour examen à sa session suivante. Il a également noté que les Règlements n</w:t>
      </w:r>
      <w:r w:rsidRPr="003A2D14">
        <w:rPr>
          <w:vertAlign w:val="superscript"/>
          <w:lang w:val="fr-FR"/>
        </w:rPr>
        <w:t>os</w:t>
      </w:r>
      <w:r w:rsidRPr="003A2D14">
        <w:rPr>
          <w:lang w:val="fr-FR"/>
        </w:rPr>
        <w:t> 18 et 97 seraient incorporés dans les nouvelles propositions. Il a décidé de maintenir le Règlement n</w:t>
      </w:r>
      <w:r w:rsidRPr="003A2D14">
        <w:rPr>
          <w:vertAlign w:val="superscript"/>
          <w:lang w:val="fr-FR"/>
        </w:rPr>
        <w:t>o</w:t>
      </w:r>
      <w:r w:rsidRPr="003A2D14">
        <w:rPr>
          <w:lang w:val="fr-FR"/>
        </w:rPr>
        <w:t> 116, mais d</w:t>
      </w:r>
      <w:r w:rsidR="006B6352">
        <w:rPr>
          <w:lang w:val="fr-FR"/>
        </w:rPr>
        <w:t>’</w:t>
      </w:r>
      <w:r w:rsidRPr="003A2D14">
        <w:rPr>
          <w:lang w:val="fr-FR"/>
        </w:rPr>
        <w:t>en supprimer certaines dispositions et d</w:t>
      </w:r>
      <w:r w:rsidR="006B6352">
        <w:rPr>
          <w:lang w:val="fr-FR"/>
        </w:rPr>
        <w:t>’</w:t>
      </w:r>
      <w:r w:rsidRPr="003A2D14">
        <w:rPr>
          <w:lang w:val="fr-FR"/>
        </w:rPr>
        <w:t>insérer celles-ci dans deux nouveaux règlements.</w:t>
      </w:r>
    </w:p>
    <w:p w:rsidR="003A2D14" w:rsidRPr="003A2D14" w:rsidRDefault="003A2D14" w:rsidP="009F5F9A">
      <w:pPr>
        <w:pStyle w:val="ParNoG"/>
        <w:tabs>
          <w:tab w:val="clear" w:pos="1701"/>
        </w:tabs>
        <w:rPr>
          <w:lang w:val="fr-FR"/>
        </w:rPr>
      </w:pPr>
      <w:r w:rsidRPr="003A2D14">
        <w:rPr>
          <w:lang w:val="fr-FR"/>
        </w:rPr>
        <w:t>Le Président a proposé de reporter l</w:t>
      </w:r>
      <w:r w:rsidR="006B6352">
        <w:rPr>
          <w:lang w:val="fr-FR"/>
        </w:rPr>
        <w:t>’</w:t>
      </w:r>
      <w:r w:rsidRPr="003A2D14">
        <w:rPr>
          <w:lang w:val="fr-FR"/>
        </w:rPr>
        <w:t>examen de cette question à la session suivante du Groupe de travail, prévue en avril 2017, dans l</w:t>
      </w:r>
      <w:r w:rsidR="006B6352">
        <w:rPr>
          <w:lang w:val="fr-FR"/>
        </w:rPr>
        <w:t>’</w:t>
      </w:r>
      <w:r w:rsidRPr="003A2D14">
        <w:rPr>
          <w:lang w:val="fr-FR"/>
        </w:rPr>
        <w:t>attente des propositions de l</w:t>
      </w:r>
      <w:r w:rsidR="006B6352">
        <w:rPr>
          <w:lang w:val="fr-FR"/>
        </w:rPr>
        <w:t>’</w:t>
      </w:r>
      <w:r w:rsidRPr="003A2D14">
        <w:rPr>
          <w:lang w:val="fr-FR"/>
        </w:rPr>
        <w:t>équipe spéciale.</w:t>
      </w:r>
    </w:p>
    <w:p w:rsidR="003A2D14" w:rsidRPr="003A2D14" w:rsidRDefault="003A2D14" w:rsidP="00A659B9">
      <w:pPr>
        <w:pStyle w:val="HChG"/>
        <w:rPr>
          <w:lang w:val="fr-FR"/>
        </w:rPr>
      </w:pPr>
      <w:r w:rsidRPr="003A2D14">
        <w:rPr>
          <w:lang w:val="fr-FR"/>
        </w:rPr>
        <w:tab/>
        <w:t>XVI.</w:t>
      </w:r>
      <w:r w:rsidRPr="003A2D14">
        <w:rPr>
          <w:lang w:val="fr-FR"/>
        </w:rPr>
        <w:tab/>
        <w:t>Résolution d</w:t>
      </w:r>
      <w:r w:rsidR="006B6352">
        <w:rPr>
          <w:lang w:val="fr-FR"/>
        </w:rPr>
        <w:t>’</w:t>
      </w:r>
      <w:r w:rsidRPr="003A2D14">
        <w:rPr>
          <w:lang w:val="fr-FR"/>
        </w:rPr>
        <w:t>ensemble sur la constructi</w:t>
      </w:r>
      <w:r w:rsidR="00A659B9">
        <w:rPr>
          <w:lang w:val="fr-FR"/>
        </w:rPr>
        <w:t>on des véhicules (R.E.3) (point </w:t>
      </w:r>
      <w:r w:rsidRPr="003A2D14">
        <w:rPr>
          <w:lang w:val="fr-FR"/>
        </w:rPr>
        <w:t>15 de l</w:t>
      </w:r>
      <w:r w:rsidR="006B6352">
        <w:rPr>
          <w:lang w:val="fr-FR"/>
        </w:rPr>
        <w:t>’</w:t>
      </w:r>
      <w:r w:rsidRPr="003A2D14">
        <w:rPr>
          <w:lang w:val="fr-FR"/>
        </w:rPr>
        <w:t>ordre du jour)</w:t>
      </w:r>
    </w:p>
    <w:p w:rsidR="003A2D14" w:rsidRPr="003A2D14" w:rsidRDefault="003A2D14" w:rsidP="003A2D14">
      <w:pPr>
        <w:pStyle w:val="SingleTxtG"/>
        <w:rPr>
          <w:i/>
          <w:lang w:val="fr-FR"/>
        </w:rPr>
      </w:pPr>
      <w:r w:rsidRPr="003A2D14">
        <w:rPr>
          <w:i/>
          <w:lang w:val="fr-FR"/>
        </w:rPr>
        <w:t>Document </w:t>
      </w:r>
      <w:r w:rsidRPr="008D6144">
        <w:t>:</w:t>
      </w:r>
      <w:r w:rsidRPr="003A2D14">
        <w:rPr>
          <w:lang w:val="fr-FR"/>
        </w:rPr>
        <w:tab/>
        <w:t>ECE/TRANS/WP.29/GRSG/2015/30</w:t>
      </w:r>
      <w:r w:rsidR="00A659B9">
        <w:rPr>
          <w:lang w:val="fr-FR"/>
        </w:rPr>
        <w:t>.</w:t>
      </w:r>
    </w:p>
    <w:p w:rsidR="003A2D14" w:rsidRPr="003A2D14" w:rsidRDefault="003A2D14" w:rsidP="009F5F9A">
      <w:pPr>
        <w:pStyle w:val="ParNoG"/>
        <w:tabs>
          <w:tab w:val="clear" w:pos="1701"/>
        </w:tabs>
        <w:rPr>
          <w:lang w:val="fr-FR"/>
        </w:rPr>
      </w:pPr>
      <w:r w:rsidRPr="003A2D14">
        <w:rPr>
          <w:lang w:val="fr-FR"/>
        </w:rPr>
        <w:t>L</w:t>
      </w:r>
      <w:r w:rsidR="006B6352">
        <w:rPr>
          <w:lang w:val="fr-FR"/>
        </w:rPr>
        <w:t>’</w:t>
      </w:r>
      <w:r w:rsidRPr="003A2D14">
        <w:rPr>
          <w:lang w:val="fr-FR"/>
        </w:rPr>
        <w:t>expert de l</w:t>
      </w:r>
      <w:r w:rsidR="006B6352">
        <w:rPr>
          <w:lang w:val="fr-FR"/>
        </w:rPr>
        <w:t>’</w:t>
      </w:r>
      <w:r w:rsidRPr="003A2D14">
        <w:rPr>
          <w:lang w:val="fr-FR"/>
        </w:rPr>
        <w:t>IMMA a retiré le document ECE/TRANS/WP.29/GRSG/2015/30. Le Groupe de travail est convenu de retirer ce point de l</w:t>
      </w:r>
      <w:r w:rsidR="006B6352">
        <w:rPr>
          <w:lang w:val="fr-FR"/>
        </w:rPr>
        <w:t>’</w:t>
      </w:r>
      <w:r w:rsidRPr="003A2D14">
        <w:rPr>
          <w:lang w:val="fr-FR"/>
        </w:rPr>
        <w:t>ordre du jour de la session suivante.</w:t>
      </w:r>
    </w:p>
    <w:p w:rsidR="003A2D14" w:rsidRPr="003A2D14" w:rsidRDefault="003A2D14" w:rsidP="00A659B9">
      <w:pPr>
        <w:pStyle w:val="HChG"/>
        <w:rPr>
          <w:lang w:val="fr-FR"/>
        </w:rPr>
      </w:pPr>
      <w:r w:rsidRPr="003A2D14">
        <w:rPr>
          <w:lang w:val="fr-FR"/>
        </w:rPr>
        <w:tab/>
        <w:t>XVII.</w:t>
      </w:r>
      <w:r w:rsidRPr="003A2D14">
        <w:rPr>
          <w:lang w:val="fr-FR"/>
        </w:rPr>
        <w:tab/>
        <w:t>Systèmes embarqués de stockage d</w:t>
      </w:r>
      <w:r w:rsidR="00A659B9">
        <w:rPr>
          <w:lang w:val="fr-FR"/>
        </w:rPr>
        <w:t>es données électroniques (point </w:t>
      </w:r>
      <w:r w:rsidRPr="003A2D14">
        <w:rPr>
          <w:lang w:val="fr-FR"/>
        </w:rPr>
        <w:t>16 de l</w:t>
      </w:r>
      <w:r w:rsidR="006B6352">
        <w:rPr>
          <w:lang w:val="fr-FR"/>
        </w:rPr>
        <w:t>’</w:t>
      </w:r>
      <w:r w:rsidRPr="003A2D14">
        <w:rPr>
          <w:lang w:val="fr-FR"/>
        </w:rPr>
        <w:t>ordre du jour)</w:t>
      </w:r>
    </w:p>
    <w:p w:rsidR="003A2D14" w:rsidRPr="003A2D14" w:rsidRDefault="003A2D14" w:rsidP="009F5F9A">
      <w:pPr>
        <w:pStyle w:val="ParNoG"/>
        <w:tabs>
          <w:tab w:val="clear" w:pos="1701"/>
        </w:tabs>
        <w:rPr>
          <w:lang w:val="fr-FR"/>
        </w:rPr>
      </w:pPr>
      <w:r w:rsidRPr="003A2D14">
        <w:rPr>
          <w:lang w:val="fr-FR"/>
        </w:rPr>
        <w:t>Le Groupe de travail a rappelé son récent échange de vues sur les activités relatives à l</w:t>
      </w:r>
      <w:r w:rsidR="006B6352">
        <w:rPr>
          <w:lang w:val="fr-FR"/>
        </w:rPr>
        <w:t>’</w:t>
      </w:r>
      <w:r w:rsidRPr="003A2D14">
        <w:rPr>
          <w:lang w:val="fr-FR"/>
        </w:rPr>
        <w:t>enregistrement et la protection des données dans les groupes de travail subsidiaires du Forum mondial et leurs groupes de travail informels impliqués dans la conduite automatisée, les fonctions de direction à commande automatique au sein du Groupe de travail en matière de roulement et de freinage, et les systèmes automatiques d</w:t>
      </w:r>
      <w:r w:rsidR="006B6352">
        <w:rPr>
          <w:lang w:val="fr-FR"/>
        </w:rPr>
        <w:t>’</w:t>
      </w:r>
      <w:r w:rsidRPr="003A2D14">
        <w:rPr>
          <w:lang w:val="fr-FR"/>
        </w:rPr>
        <w:t>appel d</w:t>
      </w:r>
      <w:r w:rsidR="006B6352">
        <w:rPr>
          <w:lang w:val="fr-FR"/>
        </w:rPr>
        <w:t>’</w:t>
      </w:r>
      <w:r w:rsidRPr="003A2D14">
        <w:rPr>
          <w:lang w:val="fr-FR"/>
        </w:rPr>
        <w:t>urgence et autres (enregistreurs de données, compteurs kilométriques, etc.). Le Groupe de travail a donc pris note de la recommandation formulée par le Forum mondial tendant à ce que ces activités soient coordonnées par le groupe de travail informel des systèmes de transport intelligents. Il a également été noté que le Forum mondial devait examiner à sa session de novembre 2016 le projet de directives relatives aux mesures à prendre pour assurer la cybersécurité et la protection des données.</w:t>
      </w:r>
    </w:p>
    <w:p w:rsidR="003A2D14" w:rsidRPr="003A2D14" w:rsidRDefault="003A2D14" w:rsidP="009F5F9A">
      <w:pPr>
        <w:pStyle w:val="ParNoG"/>
        <w:tabs>
          <w:tab w:val="clear" w:pos="1701"/>
        </w:tabs>
        <w:rPr>
          <w:lang w:val="fr-FR"/>
        </w:rPr>
      </w:pPr>
      <w:r w:rsidRPr="003A2D14">
        <w:rPr>
          <w:lang w:val="fr-FR"/>
        </w:rPr>
        <w:t>L</w:t>
      </w:r>
      <w:r w:rsidR="006B6352">
        <w:rPr>
          <w:lang w:val="fr-FR"/>
        </w:rPr>
        <w:t>’</w:t>
      </w:r>
      <w:r w:rsidRPr="003A2D14">
        <w:rPr>
          <w:lang w:val="fr-FR"/>
        </w:rPr>
        <w:t>expert du Royaume-Uni a souligné la nécessité urgente d</w:t>
      </w:r>
      <w:r w:rsidR="006B6352">
        <w:rPr>
          <w:lang w:val="fr-FR"/>
        </w:rPr>
        <w:t>’</w:t>
      </w:r>
      <w:r w:rsidRPr="003A2D14">
        <w:rPr>
          <w:lang w:val="fr-FR"/>
        </w:rPr>
        <w:t>assurer la cybersécurité et a annoncé que son gouvernement avait envisagé de financer des projets expérimentaux. L</w:t>
      </w:r>
      <w:r w:rsidR="006B6352">
        <w:rPr>
          <w:lang w:val="fr-FR"/>
        </w:rPr>
        <w:t>’</w:t>
      </w:r>
      <w:r w:rsidRPr="003A2D14">
        <w:rPr>
          <w:lang w:val="fr-FR"/>
        </w:rPr>
        <w:t>expert des États-Unis d</w:t>
      </w:r>
      <w:r w:rsidR="006B6352">
        <w:rPr>
          <w:lang w:val="fr-FR"/>
        </w:rPr>
        <w:t>’</w:t>
      </w:r>
      <w:r w:rsidRPr="003A2D14">
        <w:rPr>
          <w:lang w:val="fr-FR"/>
        </w:rPr>
        <w:t>Amérique s</w:t>
      </w:r>
      <w:r w:rsidR="006B6352">
        <w:rPr>
          <w:lang w:val="fr-FR"/>
        </w:rPr>
        <w:t>’</w:t>
      </w:r>
      <w:r w:rsidRPr="003A2D14">
        <w:rPr>
          <w:lang w:val="fr-FR"/>
        </w:rPr>
        <w:t>est rangé à cette position et a informé le Groupe de travail de la collecte de données statistiques utiles sur les accidents de la route à la suite de la mise en application en 2012 d</w:t>
      </w:r>
      <w:r w:rsidR="006B6352">
        <w:rPr>
          <w:lang w:val="fr-FR"/>
        </w:rPr>
        <w:t>’</w:t>
      </w:r>
      <w:r w:rsidRPr="003A2D14">
        <w:rPr>
          <w:lang w:val="fr-FR"/>
        </w:rPr>
        <w:t>un nouveau règlement sur les enregistreurs de données relatives aux incidents. Il a annoncé son intention de faire rapport sur cette question au Forum mondial et au Groupe de travail à leurs sessions suivantes. Le Groupe de travail s</w:t>
      </w:r>
      <w:r w:rsidR="006B6352">
        <w:rPr>
          <w:lang w:val="fr-FR"/>
        </w:rPr>
        <w:t>’</w:t>
      </w:r>
      <w:r w:rsidRPr="003A2D14">
        <w:rPr>
          <w:lang w:val="fr-FR"/>
        </w:rPr>
        <w:t>est félicité de cette offre.</w:t>
      </w:r>
    </w:p>
    <w:p w:rsidR="003A2D14" w:rsidRPr="003A2D14" w:rsidRDefault="003A2D14" w:rsidP="00A659B9">
      <w:pPr>
        <w:pStyle w:val="HChG"/>
        <w:rPr>
          <w:lang w:val="fr-FR"/>
        </w:rPr>
      </w:pPr>
      <w:r w:rsidRPr="003A2D14">
        <w:rPr>
          <w:lang w:val="fr-FR"/>
        </w:rPr>
        <w:tab/>
        <w:t>XVIII.</w:t>
      </w:r>
      <w:r w:rsidRPr="003A2D14">
        <w:rPr>
          <w:lang w:val="fr-FR"/>
        </w:rPr>
        <w:tab/>
        <w:t>Règlement technique mondial n</w:t>
      </w:r>
      <w:r w:rsidRPr="003A2D14">
        <w:rPr>
          <w:vertAlign w:val="superscript"/>
          <w:lang w:val="fr-FR"/>
        </w:rPr>
        <w:t>o</w:t>
      </w:r>
      <w:r w:rsidR="00A659B9">
        <w:rPr>
          <w:lang w:val="fr-FR"/>
        </w:rPr>
        <w:t> 6 (Vitrages de sécurité) (point </w:t>
      </w:r>
      <w:r w:rsidRPr="003A2D14">
        <w:rPr>
          <w:lang w:val="fr-FR"/>
        </w:rPr>
        <w:t>17 de l</w:t>
      </w:r>
      <w:r w:rsidR="006B6352">
        <w:rPr>
          <w:lang w:val="fr-FR"/>
        </w:rPr>
        <w:t>’</w:t>
      </w:r>
      <w:r w:rsidRPr="003A2D14">
        <w:rPr>
          <w:lang w:val="fr-FR"/>
        </w:rPr>
        <w:t>ordre du jour)</w:t>
      </w:r>
    </w:p>
    <w:p w:rsidR="003A2D14" w:rsidRPr="003A2D14" w:rsidRDefault="003A2D14" w:rsidP="00A659B9">
      <w:pPr>
        <w:pStyle w:val="SingleTxtG"/>
        <w:ind w:left="2268" w:hanging="1134"/>
        <w:jc w:val="left"/>
        <w:rPr>
          <w:lang w:val="fr-FR"/>
        </w:rPr>
      </w:pPr>
      <w:r w:rsidRPr="003A2D14">
        <w:rPr>
          <w:i/>
          <w:lang w:val="fr-FR"/>
        </w:rPr>
        <w:t>Documents </w:t>
      </w:r>
      <w:r w:rsidRPr="008D6144">
        <w:t>:</w:t>
      </w:r>
      <w:r w:rsidRPr="008D6144">
        <w:tab/>
      </w:r>
      <w:r w:rsidRPr="003A2D14">
        <w:rPr>
          <w:lang w:val="fr-FR"/>
        </w:rPr>
        <w:t>documents informels GRSG-111-32, GRSG-111-33 et GRSG-111-34</w:t>
      </w:r>
      <w:r w:rsidR="00A659B9">
        <w:rPr>
          <w:lang w:val="fr-FR"/>
        </w:rPr>
        <w:t>.</w:t>
      </w:r>
    </w:p>
    <w:p w:rsidR="003A2D14" w:rsidRPr="003A2D14" w:rsidRDefault="003A2D14" w:rsidP="009F5F9A">
      <w:pPr>
        <w:pStyle w:val="ParNoG"/>
        <w:tabs>
          <w:tab w:val="clear" w:pos="1701"/>
        </w:tabs>
        <w:rPr>
          <w:lang w:val="fr-FR"/>
        </w:rPr>
      </w:pPr>
      <w:r w:rsidRPr="003A2D14">
        <w:rPr>
          <w:lang w:val="fr-FR"/>
        </w:rPr>
        <w:t>L</w:t>
      </w:r>
      <w:r w:rsidR="006B6352">
        <w:rPr>
          <w:lang w:val="fr-FR"/>
        </w:rPr>
        <w:t>’</w:t>
      </w:r>
      <w:r w:rsidRPr="003A2D14">
        <w:rPr>
          <w:lang w:val="fr-FR"/>
        </w:rPr>
        <w:t>expert de la République de Corée, en tant que Président du groupe de travail informel des vitrages des toits ouvrants panoramiques, a présenté les résultats des cinquième et sixième réunions du groupe (document GRSG-111-32). Au nom du groupe de travail informel, il a présenté le document GRSG-111-34, dans lequel il est proposé de préciser le champ d</w:t>
      </w:r>
      <w:r w:rsidR="006B6352">
        <w:rPr>
          <w:lang w:val="fr-FR"/>
        </w:rPr>
        <w:t>’</w:t>
      </w:r>
      <w:r w:rsidRPr="003A2D14">
        <w:rPr>
          <w:lang w:val="fr-FR"/>
        </w:rPr>
        <w:t>application du Règlement technique mondial (RTM) n</w:t>
      </w:r>
      <w:r w:rsidRPr="003A2D14">
        <w:rPr>
          <w:vertAlign w:val="superscript"/>
          <w:lang w:val="fr-FR"/>
        </w:rPr>
        <w:t>o</w:t>
      </w:r>
      <w:r w:rsidRPr="003A2D14">
        <w:rPr>
          <w:lang w:val="fr-FR"/>
        </w:rPr>
        <w:t> 6 concernant les vitrages de sécurité. Il a ajouté que le groupe de travail informel aurait besoin de plus de temps pour achever certains travaux de recherche sur les zones à impression céramique et avait par conséquent décidé de modifier son mandat (document GRSG-111-33). Étant donné que le mandat du groupe de travail informel prenait fin en octobre 2016, il a souligné la nécessité de proroger ce mandat pour une durée d</w:t>
      </w:r>
      <w:r w:rsidR="006B6352">
        <w:rPr>
          <w:lang w:val="fr-FR"/>
        </w:rPr>
        <w:t>’</w:t>
      </w:r>
      <w:r w:rsidRPr="003A2D14">
        <w:rPr>
          <w:lang w:val="fr-FR"/>
        </w:rPr>
        <w:t>un an et demi.</w:t>
      </w:r>
    </w:p>
    <w:p w:rsidR="003A2D14" w:rsidRPr="003A2D14" w:rsidRDefault="003A2D14" w:rsidP="009F5F9A">
      <w:pPr>
        <w:pStyle w:val="ParNoG"/>
        <w:tabs>
          <w:tab w:val="clear" w:pos="1701"/>
        </w:tabs>
        <w:rPr>
          <w:lang w:val="fr-FR"/>
        </w:rPr>
      </w:pPr>
      <w:r w:rsidRPr="003A2D14">
        <w:rPr>
          <w:lang w:val="fr-FR"/>
        </w:rPr>
        <w:t>Le Groupe de travail s</w:t>
      </w:r>
      <w:r w:rsidR="006B6352">
        <w:rPr>
          <w:lang w:val="fr-FR"/>
        </w:rPr>
        <w:t>’</w:t>
      </w:r>
      <w:r w:rsidRPr="003A2D14">
        <w:rPr>
          <w:lang w:val="fr-FR"/>
        </w:rPr>
        <w:t>est félicité de l</w:t>
      </w:r>
      <w:r w:rsidR="006B6352">
        <w:rPr>
          <w:lang w:val="fr-FR"/>
        </w:rPr>
        <w:t>’</w:t>
      </w:r>
      <w:r w:rsidRPr="003A2D14">
        <w:rPr>
          <w:lang w:val="fr-FR"/>
        </w:rPr>
        <w:t>état d</w:t>
      </w:r>
      <w:r w:rsidR="006B6352">
        <w:rPr>
          <w:lang w:val="fr-FR"/>
        </w:rPr>
        <w:t>’</w:t>
      </w:r>
      <w:r w:rsidRPr="003A2D14">
        <w:rPr>
          <w:lang w:val="fr-FR"/>
        </w:rPr>
        <w:t>avancement des travaux du groupe de travail informel et a décidé de reprendre l</w:t>
      </w:r>
      <w:r w:rsidR="006B6352">
        <w:rPr>
          <w:lang w:val="fr-FR"/>
        </w:rPr>
        <w:t>’</w:t>
      </w:r>
      <w:r w:rsidRPr="003A2D14">
        <w:rPr>
          <w:lang w:val="fr-FR"/>
        </w:rPr>
        <w:t>examen du document GRSG-111-33 à sa session suivante. Le Président a demandé au secrétariat de diffuser le document informel GRSG</w:t>
      </w:r>
      <w:r w:rsidR="00A659B9">
        <w:rPr>
          <w:lang w:val="fr-FR"/>
        </w:rPr>
        <w:noBreakHyphen/>
      </w:r>
      <w:r w:rsidRPr="003A2D14">
        <w:rPr>
          <w:lang w:val="fr-FR"/>
        </w:rPr>
        <w:t>111-34 sous une cote officielle. Il a annoncé son intention de demander au Forum mondial et au Comité exécutif de l</w:t>
      </w:r>
      <w:r w:rsidR="006B6352">
        <w:rPr>
          <w:lang w:val="fr-FR"/>
        </w:rPr>
        <w:t>’</w:t>
      </w:r>
      <w:r w:rsidRPr="003A2D14">
        <w:rPr>
          <w:lang w:val="fr-FR"/>
        </w:rPr>
        <w:t xml:space="preserve">Accord de 1998 </w:t>
      </w:r>
      <w:r w:rsidR="005524DA" w:rsidRPr="005524DA">
        <w:rPr>
          <w:lang w:val="fr-FR"/>
        </w:rPr>
        <w:t>(AC.3)</w:t>
      </w:r>
      <w:r w:rsidR="008D6144">
        <w:rPr>
          <w:lang w:val="fr-FR"/>
        </w:rPr>
        <w:t xml:space="preserve"> </w:t>
      </w:r>
      <w:r w:rsidRPr="003A2D14">
        <w:rPr>
          <w:lang w:val="fr-FR"/>
        </w:rPr>
        <w:t>l</w:t>
      </w:r>
      <w:r w:rsidR="006B6352">
        <w:rPr>
          <w:lang w:val="fr-FR"/>
        </w:rPr>
        <w:t>’</w:t>
      </w:r>
      <w:r w:rsidRPr="003A2D14">
        <w:rPr>
          <w:lang w:val="fr-FR"/>
        </w:rPr>
        <w:t>autorisation de proroger le mandat du groupe de travail informel jusqu</w:t>
      </w:r>
      <w:r w:rsidR="006B6352">
        <w:rPr>
          <w:lang w:val="fr-FR"/>
        </w:rPr>
        <w:t>’</w:t>
      </w:r>
      <w:r w:rsidRPr="003A2D14">
        <w:rPr>
          <w:lang w:val="fr-FR"/>
        </w:rPr>
        <w:t>en juin 2018.</w:t>
      </w:r>
    </w:p>
    <w:p w:rsidR="003A2D14" w:rsidRPr="003A2D14" w:rsidRDefault="003A2D14" w:rsidP="00A659B9">
      <w:pPr>
        <w:pStyle w:val="HChG"/>
        <w:rPr>
          <w:lang w:val="fr-FR"/>
        </w:rPr>
      </w:pPr>
      <w:r w:rsidRPr="003A2D14">
        <w:rPr>
          <w:lang w:val="fr-FR"/>
        </w:rPr>
        <w:tab/>
        <w:t>XIX.</w:t>
      </w:r>
      <w:r w:rsidRPr="003A2D14">
        <w:rPr>
          <w:lang w:val="fr-FR"/>
        </w:rPr>
        <w:tab/>
        <w:t>Nouveau règlement sur les systèmes actifs d</w:t>
      </w:r>
      <w:r w:rsidR="006B6352">
        <w:rPr>
          <w:lang w:val="fr-FR"/>
        </w:rPr>
        <w:t>’</w:t>
      </w:r>
      <w:r w:rsidR="00A659B9">
        <w:rPr>
          <w:lang w:val="fr-FR"/>
        </w:rPr>
        <w:t xml:space="preserve">aide </w:t>
      </w:r>
      <w:r w:rsidR="00A659B9">
        <w:rPr>
          <w:lang w:val="fr-FR"/>
        </w:rPr>
        <w:br/>
        <w:t>à la conduite (point </w:t>
      </w:r>
      <w:r w:rsidRPr="003A2D14">
        <w:rPr>
          <w:lang w:val="fr-FR"/>
        </w:rPr>
        <w:t>18 de l</w:t>
      </w:r>
      <w:r w:rsidR="006B6352">
        <w:rPr>
          <w:lang w:val="fr-FR"/>
        </w:rPr>
        <w:t>’</w:t>
      </w:r>
      <w:r w:rsidRPr="003A2D14">
        <w:rPr>
          <w:lang w:val="fr-FR"/>
        </w:rPr>
        <w:t>ordre du jour)</w:t>
      </w:r>
    </w:p>
    <w:p w:rsidR="003A2D14" w:rsidRPr="003A2D14" w:rsidRDefault="003A2D14" w:rsidP="003A2D14">
      <w:pPr>
        <w:pStyle w:val="SingleTxtG"/>
        <w:rPr>
          <w:lang w:val="fr-FR"/>
        </w:rPr>
      </w:pPr>
      <w:r w:rsidRPr="003A2D14">
        <w:rPr>
          <w:i/>
          <w:lang w:val="fr-FR"/>
        </w:rPr>
        <w:t>Document </w:t>
      </w:r>
      <w:r w:rsidRPr="008D6144">
        <w:t>:</w:t>
      </w:r>
      <w:r w:rsidRPr="003A2D14">
        <w:rPr>
          <w:lang w:val="fr-FR"/>
        </w:rPr>
        <w:tab/>
        <w:t>document informel GRSG-111-24</w:t>
      </w:r>
      <w:r w:rsidR="00A659B9">
        <w:rPr>
          <w:lang w:val="fr-FR"/>
        </w:rPr>
        <w:t>.</w:t>
      </w:r>
    </w:p>
    <w:p w:rsidR="003A2D14" w:rsidRPr="003A2D14" w:rsidRDefault="003A2D14" w:rsidP="009F5F9A">
      <w:pPr>
        <w:pStyle w:val="ParNoG"/>
        <w:tabs>
          <w:tab w:val="clear" w:pos="1701"/>
        </w:tabs>
        <w:rPr>
          <w:lang w:val="fr-FR"/>
        </w:rPr>
      </w:pPr>
      <w:r w:rsidRPr="003A2D14">
        <w:rPr>
          <w:lang w:val="fr-FR"/>
        </w:rPr>
        <w:t>À la suite de l</w:t>
      </w:r>
      <w:r w:rsidR="006B6352">
        <w:rPr>
          <w:lang w:val="fr-FR"/>
        </w:rPr>
        <w:t>’</w:t>
      </w:r>
      <w:r w:rsidRPr="003A2D14">
        <w:rPr>
          <w:lang w:val="fr-FR"/>
        </w:rPr>
        <w:t>exposé qu</w:t>
      </w:r>
      <w:r w:rsidR="006B6352">
        <w:rPr>
          <w:lang w:val="fr-FR"/>
        </w:rPr>
        <w:t>’</w:t>
      </w:r>
      <w:r w:rsidRPr="003A2D14">
        <w:rPr>
          <w:lang w:val="fr-FR"/>
        </w:rPr>
        <w:t>il avait présenté à la précédente session du Groupe de travail, l</w:t>
      </w:r>
      <w:r w:rsidR="006B6352">
        <w:rPr>
          <w:lang w:val="fr-FR"/>
        </w:rPr>
        <w:t>’</w:t>
      </w:r>
      <w:r w:rsidRPr="003A2D14">
        <w:rPr>
          <w:lang w:val="fr-FR"/>
        </w:rPr>
        <w:t>expert de l</w:t>
      </w:r>
      <w:r w:rsidR="006B6352">
        <w:rPr>
          <w:lang w:val="fr-FR"/>
        </w:rPr>
        <w:t>’</w:t>
      </w:r>
      <w:r w:rsidRPr="003A2D14">
        <w:rPr>
          <w:lang w:val="fr-FR"/>
        </w:rPr>
        <w:t>Allemagne a présenté le document informel GRSG-111-24 sur l</w:t>
      </w:r>
      <w:r w:rsidR="006B6352">
        <w:rPr>
          <w:lang w:val="fr-FR"/>
        </w:rPr>
        <w:t>’</w:t>
      </w:r>
      <w:r w:rsidRPr="003A2D14">
        <w:rPr>
          <w:lang w:val="fr-FR"/>
        </w:rPr>
        <w:t>élaboration des procédures d</w:t>
      </w:r>
      <w:r w:rsidR="006B6352">
        <w:rPr>
          <w:lang w:val="fr-FR"/>
        </w:rPr>
        <w:t>’</w:t>
      </w:r>
      <w:r w:rsidRPr="003A2D14">
        <w:rPr>
          <w:lang w:val="fr-FR"/>
        </w:rPr>
        <w:t>essai pour un nouveau projet de Règlement sur les systèmes actifs d</w:t>
      </w:r>
      <w:r w:rsidR="006B6352">
        <w:rPr>
          <w:lang w:val="fr-FR"/>
        </w:rPr>
        <w:t>’</w:t>
      </w:r>
      <w:r w:rsidRPr="003A2D14">
        <w:rPr>
          <w:lang w:val="fr-FR"/>
        </w:rPr>
        <w:t>aide à la conduite visant à éviter les accidents dus aux angles morts au moyen d</w:t>
      </w:r>
      <w:r w:rsidR="006B6352">
        <w:rPr>
          <w:lang w:val="fr-FR"/>
        </w:rPr>
        <w:t>’</w:t>
      </w:r>
      <w:r w:rsidRPr="003A2D14">
        <w:rPr>
          <w:lang w:val="fr-FR"/>
        </w:rPr>
        <w:t>un système d</w:t>
      </w:r>
      <w:r w:rsidR="006B6352">
        <w:rPr>
          <w:lang w:val="fr-FR"/>
        </w:rPr>
        <w:t>’</w:t>
      </w:r>
      <w:r w:rsidRPr="003A2D14">
        <w:rPr>
          <w:lang w:val="fr-FR"/>
        </w:rPr>
        <w:t>information et d</w:t>
      </w:r>
      <w:r w:rsidR="006B6352">
        <w:rPr>
          <w:lang w:val="fr-FR"/>
        </w:rPr>
        <w:t>’</w:t>
      </w:r>
      <w:r w:rsidRPr="003A2D14">
        <w:rPr>
          <w:lang w:val="fr-FR"/>
        </w:rPr>
        <w:t>alerte du conducteur. Le Groupe de travail a accueilli avec satisfaction ces informations ainsi que les progrès réalisés par l</w:t>
      </w:r>
      <w:r w:rsidR="006B6352">
        <w:rPr>
          <w:lang w:val="fr-FR"/>
        </w:rPr>
        <w:t>’</w:t>
      </w:r>
      <w:r w:rsidRPr="003A2D14">
        <w:rPr>
          <w:lang w:val="fr-FR"/>
        </w:rPr>
        <w:t>Institut fédéral allemand de recherche routière (Bundesanstalt für Straßenwesen, BASt).</w:t>
      </w:r>
    </w:p>
    <w:p w:rsidR="003A2D14" w:rsidRPr="003A2D14" w:rsidRDefault="003A2D14" w:rsidP="009F5F9A">
      <w:pPr>
        <w:pStyle w:val="ParNoG"/>
        <w:tabs>
          <w:tab w:val="clear" w:pos="1701"/>
        </w:tabs>
        <w:rPr>
          <w:lang w:val="fr-FR"/>
        </w:rPr>
      </w:pPr>
      <w:r w:rsidRPr="003A2D14">
        <w:rPr>
          <w:lang w:val="fr-FR"/>
        </w:rPr>
        <w:t>L</w:t>
      </w:r>
      <w:r w:rsidR="006B6352">
        <w:rPr>
          <w:lang w:val="fr-FR"/>
        </w:rPr>
        <w:t>’</w:t>
      </w:r>
      <w:r w:rsidRPr="003A2D14">
        <w:rPr>
          <w:lang w:val="fr-FR"/>
        </w:rPr>
        <w:t>expert du Canada a informé le Groupe de travail que son pays avait mené plusieurs recherches sur cette question et que les rapports correspondants avaient été mis à la disposition du public. Il a proposé de communiquer à l</w:t>
      </w:r>
      <w:r w:rsidR="006B6352">
        <w:rPr>
          <w:lang w:val="fr-FR"/>
        </w:rPr>
        <w:t>’</w:t>
      </w:r>
      <w:r w:rsidRPr="003A2D14">
        <w:rPr>
          <w:lang w:val="fr-FR"/>
        </w:rPr>
        <w:t>expert du BASt les résultats détaillés de ces recherches.</w:t>
      </w:r>
    </w:p>
    <w:p w:rsidR="003A2D14" w:rsidRPr="003A2D14" w:rsidRDefault="003A2D14" w:rsidP="009F5F9A">
      <w:pPr>
        <w:pStyle w:val="ParNoG"/>
        <w:tabs>
          <w:tab w:val="clear" w:pos="1701"/>
        </w:tabs>
        <w:rPr>
          <w:lang w:val="fr-FR"/>
        </w:rPr>
      </w:pPr>
      <w:r w:rsidRPr="003A2D14">
        <w:rPr>
          <w:lang w:val="fr-FR"/>
        </w:rPr>
        <w:t>À l</w:t>
      </w:r>
      <w:r w:rsidR="006B6352">
        <w:rPr>
          <w:lang w:val="fr-FR"/>
        </w:rPr>
        <w:t>’</w:t>
      </w:r>
      <w:r w:rsidRPr="003A2D14">
        <w:rPr>
          <w:lang w:val="fr-FR"/>
        </w:rPr>
        <w:t>issue d</w:t>
      </w:r>
      <w:r w:rsidR="006B6352">
        <w:rPr>
          <w:lang w:val="fr-FR"/>
        </w:rPr>
        <w:t>’</w:t>
      </w:r>
      <w:r w:rsidRPr="003A2D14">
        <w:rPr>
          <w:lang w:val="fr-FR"/>
        </w:rPr>
        <w:t>un débat, le Groupe de travail a décidé de reprendre l</w:t>
      </w:r>
      <w:r w:rsidR="006B6352">
        <w:rPr>
          <w:lang w:val="fr-FR"/>
        </w:rPr>
        <w:t>’</w:t>
      </w:r>
      <w:r w:rsidRPr="003A2D14">
        <w:rPr>
          <w:lang w:val="fr-FR"/>
        </w:rPr>
        <w:t>examen de cette question à sa session suivante sur la base d</w:t>
      </w:r>
      <w:r w:rsidR="006B6352">
        <w:rPr>
          <w:lang w:val="fr-FR"/>
        </w:rPr>
        <w:t>’</w:t>
      </w:r>
      <w:r w:rsidRPr="003A2D14">
        <w:rPr>
          <w:lang w:val="fr-FR"/>
        </w:rPr>
        <w:t>un premier projet de nouveau règlement sur les systèmes actifs d</w:t>
      </w:r>
      <w:r w:rsidR="006B6352">
        <w:rPr>
          <w:lang w:val="fr-FR"/>
        </w:rPr>
        <w:t>’</w:t>
      </w:r>
      <w:r w:rsidRPr="003A2D14">
        <w:rPr>
          <w:lang w:val="fr-FR"/>
        </w:rPr>
        <w:t>aide à la conduite qui serait présenté par l</w:t>
      </w:r>
      <w:r w:rsidR="006B6352">
        <w:rPr>
          <w:lang w:val="fr-FR"/>
        </w:rPr>
        <w:t>’</w:t>
      </w:r>
      <w:r w:rsidRPr="003A2D14">
        <w:rPr>
          <w:lang w:val="fr-FR"/>
        </w:rPr>
        <w:t>Allemagne.</w:t>
      </w:r>
    </w:p>
    <w:p w:rsidR="003A2D14" w:rsidRPr="003A2D14" w:rsidRDefault="003A2D14" w:rsidP="00A659B9">
      <w:pPr>
        <w:pStyle w:val="HChG"/>
        <w:rPr>
          <w:lang w:val="fr-FR"/>
        </w:rPr>
      </w:pPr>
      <w:r w:rsidRPr="003A2D14">
        <w:rPr>
          <w:lang w:val="fr-FR"/>
        </w:rPr>
        <w:tab/>
        <w:t>XX</w:t>
      </w:r>
      <w:r w:rsidR="00A659B9">
        <w:rPr>
          <w:lang w:val="fr-FR"/>
        </w:rPr>
        <w:t>.</w:t>
      </w:r>
      <w:r w:rsidR="00A659B9">
        <w:rPr>
          <w:lang w:val="fr-FR"/>
        </w:rPr>
        <w:tab/>
        <w:t>Élection du Bureau (point </w:t>
      </w:r>
      <w:r w:rsidRPr="003A2D14">
        <w:rPr>
          <w:lang w:val="fr-FR"/>
        </w:rPr>
        <w:t>19 de l</w:t>
      </w:r>
      <w:r w:rsidR="006B6352">
        <w:rPr>
          <w:lang w:val="fr-FR"/>
        </w:rPr>
        <w:t>’</w:t>
      </w:r>
      <w:r w:rsidRPr="003A2D14">
        <w:rPr>
          <w:lang w:val="fr-FR"/>
        </w:rPr>
        <w:t>ordre du jour)</w:t>
      </w:r>
    </w:p>
    <w:p w:rsidR="003A2D14" w:rsidRPr="003A2D14" w:rsidRDefault="003A2D14" w:rsidP="009F5F9A">
      <w:pPr>
        <w:pStyle w:val="ParNoG"/>
        <w:tabs>
          <w:tab w:val="clear" w:pos="1701"/>
        </w:tabs>
        <w:rPr>
          <w:lang w:val="fr-FR"/>
        </w:rPr>
      </w:pPr>
      <w:r w:rsidRPr="003A2D14">
        <w:rPr>
          <w:lang w:val="fr-FR"/>
        </w:rPr>
        <w:t>Conformément à l</w:t>
      </w:r>
      <w:r w:rsidR="006B6352">
        <w:rPr>
          <w:lang w:val="fr-FR"/>
        </w:rPr>
        <w:t>’</w:t>
      </w:r>
      <w:r w:rsidR="00A659B9">
        <w:rPr>
          <w:lang w:val="fr-FR"/>
        </w:rPr>
        <w:t>article </w:t>
      </w:r>
      <w:r w:rsidRPr="003A2D14">
        <w:rPr>
          <w:lang w:val="fr-FR"/>
        </w:rPr>
        <w:t>37 de son Règlement intérieur (TRANS/WP.29/690 et ECE/TRANS/WP.29/690/Amend.1 et 2), le Groupe de travail a procédé à l</w:t>
      </w:r>
      <w:r w:rsidR="006B6352">
        <w:rPr>
          <w:lang w:val="fr-FR"/>
        </w:rPr>
        <w:t>’</w:t>
      </w:r>
      <w:r w:rsidRPr="003A2D14">
        <w:rPr>
          <w:lang w:val="fr-FR"/>
        </w:rPr>
        <w:t>élection de son Bureau le mercredi 12 octobre 2016 (aprè</w:t>
      </w:r>
      <w:r w:rsidR="00A659B9">
        <w:rPr>
          <w:lang w:val="fr-FR"/>
        </w:rPr>
        <w:t>s-midi). M. </w:t>
      </w:r>
      <w:r w:rsidRPr="003A2D14">
        <w:rPr>
          <w:lang w:val="fr-FR"/>
        </w:rPr>
        <w:t>A.</w:t>
      </w:r>
      <w:r w:rsidR="00A659B9">
        <w:rPr>
          <w:lang w:val="fr-FR"/>
        </w:rPr>
        <w:t> </w:t>
      </w:r>
      <w:r w:rsidRPr="003A2D14">
        <w:rPr>
          <w:lang w:val="fr-FR"/>
        </w:rPr>
        <w:t>Erario (Italie) a été réélu Président à l</w:t>
      </w:r>
      <w:r w:rsidR="006B6352">
        <w:rPr>
          <w:lang w:val="fr-FR"/>
        </w:rPr>
        <w:t>’</w:t>
      </w:r>
      <w:r w:rsidR="00A659B9">
        <w:rPr>
          <w:lang w:val="fr-FR"/>
        </w:rPr>
        <w:t>unanimité et M. K. </w:t>
      </w:r>
      <w:r w:rsidRPr="003A2D14">
        <w:rPr>
          <w:lang w:val="fr-FR"/>
        </w:rPr>
        <w:t>Hendershot (Canada) Vice-Président pour les sessions du Groupe de travail prévues pour l</w:t>
      </w:r>
      <w:r w:rsidR="006B6352">
        <w:rPr>
          <w:lang w:val="fr-FR"/>
        </w:rPr>
        <w:t>’</w:t>
      </w:r>
      <w:r w:rsidRPr="003A2D14">
        <w:rPr>
          <w:lang w:val="fr-FR"/>
        </w:rPr>
        <w:t>année 2017.</w:t>
      </w:r>
    </w:p>
    <w:p w:rsidR="003A2D14" w:rsidRPr="003A2D14" w:rsidRDefault="00A659B9" w:rsidP="00A659B9">
      <w:pPr>
        <w:pStyle w:val="HChG"/>
        <w:rPr>
          <w:lang w:val="fr-FR"/>
        </w:rPr>
      </w:pPr>
      <w:r>
        <w:rPr>
          <w:lang w:val="fr-FR"/>
        </w:rPr>
        <w:tab/>
        <w:t>XXI.</w:t>
      </w:r>
      <w:r>
        <w:rPr>
          <w:lang w:val="fr-FR"/>
        </w:rPr>
        <w:tab/>
        <w:t>Questions diverses (point </w:t>
      </w:r>
      <w:r w:rsidR="003A2D14" w:rsidRPr="003A2D14">
        <w:rPr>
          <w:lang w:val="fr-FR"/>
        </w:rPr>
        <w:t>20 de l</w:t>
      </w:r>
      <w:r w:rsidR="006B6352">
        <w:rPr>
          <w:lang w:val="fr-FR"/>
        </w:rPr>
        <w:t>’</w:t>
      </w:r>
      <w:r w:rsidR="003A2D14" w:rsidRPr="003A2D14">
        <w:rPr>
          <w:lang w:val="fr-FR"/>
        </w:rPr>
        <w:t>ordre du jour)</w:t>
      </w:r>
    </w:p>
    <w:p w:rsidR="003A2D14" w:rsidRPr="003A2D14" w:rsidRDefault="003A2D14" w:rsidP="00A659B9">
      <w:pPr>
        <w:pStyle w:val="HChG"/>
        <w:rPr>
          <w:lang w:val="fr-FR"/>
        </w:rPr>
      </w:pPr>
      <w:r w:rsidRPr="003A2D14">
        <w:rPr>
          <w:lang w:val="fr-FR"/>
        </w:rPr>
        <w:tab/>
        <w:t>A.</w:t>
      </w:r>
      <w:r w:rsidRPr="003A2D14">
        <w:rPr>
          <w:lang w:val="fr-FR"/>
        </w:rPr>
        <w:tab/>
        <w:t>Règlement n</w:t>
      </w:r>
      <w:r w:rsidRPr="003A2D14">
        <w:rPr>
          <w:vertAlign w:val="superscript"/>
          <w:lang w:val="fr-FR"/>
        </w:rPr>
        <w:t>o</w:t>
      </w:r>
      <w:r w:rsidRPr="003A2D14">
        <w:rPr>
          <w:lang w:val="fr-FR"/>
        </w:rPr>
        <w:t xml:space="preserve"> 105 (Véhicules destinés au transport </w:t>
      </w:r>
      <w:r w:rsidR="00A659B9">
        <w:rPr>
          <w:lang w:val="fr-FR"/>
        </w:rPr>
        <w:br/>
      </w:r>
      <w:r w:rsidRPr="003A2D14">
        <w:rPr>
          <w:lang w:val="fr-FR"/>
        </w:rPr>
        <w:t>de marchandises dangereuses)</w:t>
      </w:r>
    </w:p>
    <w:p w:rsidR="003A2D14" w:rsidRPr="003A2D14" w:rsidRDefault="003A2D14" w:rsidP="003A2D14">
      <w:pPr>
        <w:pStyle w:val="SingleTxtG"/>
        <w:rPr>
          <w:lang w:val="fr-FR"/>
        </w:rPr>
      </w:pPr>
      <w:r w:rsidRPr="003A2D14">
        <w:rPr>
          <w:i/>
          <w:lang w:val="fr-FR"/>
        </w:rPr>
        <w:t>Document </w:t>
      </w:r>
      <w:r w:rsidRPr="008D6144">
        <w:t xml:space="preserve">: </w:t>
      </w:r>
      <w:r w:rsidRPr="003A2D14">
        <w:rPr>
          <w:lang w:val="fr-FR"/>
        </w:rPr>
        <w:tab/>
        <w:t>ECE/TRANS/WP.29/2016/90</w:t>
      </w:r>
      <w:r w:rsidR="00A659B9">
        <w:rPr>
          <w:lang w:val="fr-FR"/>
        </w:rPr>
        <w:t>.</w:t>
      </w:r>
    </w:p>
    <w:p w:rsidR="003A2D14" w:rsidRPr="003A2D14" w:rsidRDefault="003A2D14" w:rsidP="009F5F9A">
      <w:pPr>
        <w:pStyle w:val="ParNoG"/>
        <w:tabs>
          <w:tab w:val="clear" w:pos="1701"/>
        </w:tabs>
        <w:rPr>
          <w:lang w:val="fr-FR"/>
        </w:rPr>
      </w:pPr>
      <w:r w:rsidRPr="003A2D14">
        <w:rPr>
          <w:lang w:val="fr-FR"/>
        </w:rPr>
        <w:t>Le Groupe de travail a pris note de l</w:t>
      </w:r>
      <w:r w:rsidR="006B6352">
        <w:rPr>
          <w:lang w:val="fr-FR"/>
        </w:rPr>
        <w:t>’</w:t>
      </w:r>
      <w:r w:rsidRPr="003A2D14">
        <w:rPr>
          <w:lang w:val="fr-FR"/>
        </w:rPr>
        <w:t>approbation, par le Groupe de travail des transports de marchandises dangereuses à sa session de mai 2016, du document ECE/TRANS/WP.29/2016/90 (basé sur le document ECE/TRANS/WP.29/GRSG/2016/13) visant à harmoniser les dispositions du Règlement n</w:t>
      </w:r>
      <w:r w:rsidRPr="003A2D14">
        <w:rPr>
          <w:vertAlign w:val="superscript"/>
          <w:lang w:val="fr-FR"/>
        </w:rPr>
        <w:t>o</w:t>
      </w:r>
      <w:r w:rsidRPr="003A2D14">
        <w:rPr>
          <w:lang w:val="fr-FR"/>
        </w:rPr>
        <w:t> 105 avec celles de l</w:t>
      </w:r>
      <w:r w:rsidR="006B6352">
        <w:rPr>
          <w:lang w:val="fr-FR"/>
        </w:rPr>
        <w:t>’</w:t>
      </w:r>
      <w:r w:rsidRPr="003A2D14">
        <w:rPr>
          <w:lang w:val="fr-FR"/>
        </w:rPr>
        <w:t>édition de 2017 de l</w:t>
      </w:r>
      <w:r w:rsidR="006B6352">
        <w:rPr>
          <w:lang w:val="fr-FR"/>
        </w:rPr>
        <w:t>’</w:t>
      </w:r>
      <w:r w:rsidRPr="003A2D14">
        <w:rPr>
          <w:lang w:val="fr-FR"/>
        </w:rPr>
        <w:t>Accord européen relatif au transport international des marchandises dangereuses par route (ADR). Il a reconfirmé son adoption et sa soumission au Forum mondial et au Comité d</w:t>
      </w:r>
      <w:r w:rsidR="006B6352">
        <w:rPr>
          <w:lang w:val="fr-FR"/>
        </w:rPr>
        <w:t>’</w:t>
      </w:r>
      <w:r w:rsidRPr="003A2D14">
        <w:rPr>
          <w:lang w:val="fr-FR"/>
        </w:rPr>
        <w:t>administration pour examen à leurs sessions de novembre 2016, en tant que projet de série 06 d</w:t>
      </w:r>
      <w:r w:rsidR="006B6352">
        <w:rPr>
          <w:lang w:val="fr-FR"/>
        </w:rPr>
        <w:t>’</w:t>
      </w:r>
      <w:r w:rsidRPr="003A2D14">
        <w:rPr>
          <w:lang w:val="fr-FR"/>
        </w:rPr>
        <w:t>amendements au Règlement n</w:t>
      </w:r>
      <w:r w:rsidRPr="003A2D14">
        <w:rPr>
          <w:vertAlign w:val="superscript"/>
          <w:lang w:val="fr-FR"/>
        </w:rPr>
        <w:t>o</w:t>
      </w:r>
      <w:r w:rsidRPr="003A2D14">
        <w:rPr>
          <w:lang w:val="fr-FR"/>
        </w:rPr>
        <w:t> 105.</w:t>
      </w:r>
    </w:p>
    <w:p w:rsidR="003A2D14" w:rsidRPr="003A2D14" w:rsidRDefault="00A659B9" w:rsidP="00A659B9">
      <w:pPr>
        <w:pStyle w:val="H1G"/>
        <w:rPr>
          <w:lang w:val="fr-FR"/>
        </w:rPr>
      </w:pPr>
      <w:r>
        <w:rPr>
          <w:lang w:val="fr-FR"/>
        </w:rPr>
        <w:tab/>
        <w:t>B.</w:t>
      </w:r>
      <w:r>
        <w:rPr>
          <w:lang w:val="fr-FR"/>
        </w:rPr>
        <w:tab/>
        <w:t>Hommages à MM. </w:t>
      </w:r>
      <w:r w:rsidR="003A2D14" w:rsidRPr="003A2D14">
        <w:rPr>
          <w:lang w:val="fr-FR"/>
        </w:rPr>
        <w:t>Pichon et Damm</w:t>
      </w:r>
    </w:p>
    <w:p w:rsidR="003A2D14" w:rsidRPr="003A2D14" w:rsidRDefault="003A2D14" w:rsidP="009F5F9A">
      <w:pPr>
        <w:pStyle w:val="ParNoG"/>
        <w:tabs>
          <w:tab w:val="clear" w:pos="1701"/>
        </w:tabs>
        <w:rPr>
          <w:lang w:val="fr-FR"/>
        </w:rPr>
      </w:pPr>
      <w:r w:rsidRPr="003A2D14">
        <w:rPr>
          <w:lang w:val="fr-FR"/>
        </w:rPr>
        <w:t>Apprenant que M. Christian Pichon (France) allait prendre sa retraite, le Groupe de travail l</w:t>
      </w:r>
      <w:r w:rsidR="006B6352">
        <w:rPr>
          <w:lang w:val="fr-FR"/>
        </w:rPr>
        <w:t>’</w:t>
      </w:r>
      <w:r w:rsidRPr="003A2D14">
        <w:rPr>
          <w:lang w:val="fr-FR"/>
        </w:rPr>
        <w:t>a remercié pour son importante contribution à ses travaux au cours des dernières décennies. Le Groupe de travail l</w:t>
      </w:r>
      <w:r w:rsidR="006B6352">
        <w:rPr>
          <w:lang w:val="fr-FR"/>
        </w:rPr>
        <w:t>’</w:t>
      </w:r>
      <w:r w:rsidRPr="003A2D14">
        <w:rPr>
          <w:lang w:val="fr-FR"/>
        </w:rPr>
        <w:t>a remercié par de longs applaudissements et lui a souhaité une longue et heureuse retraite.</w:t>
      </w:r>
    </w:p>
    <w:p w:rsidR="003A2D14" w:rsidRPr="003A2D14" w:rsidRDefault="003A2D14" w:rsidP="009F5F9A">
      <w:pPr>
        <w:pStyle w:val="ParNoG"/>
        <w:tabs>
          <w:tab w:val="clear" w:pos="1701"/>
        </w:tabs>
        <w:rPr>
          <w:lang w:val="fr-FR"/>
        </w:rPr>
      </w:pPr>
      <w:r w:rsidRPr="003A2D14">
        <w:rPr>
          <w:lang w:val="fr-FR"/>
        </w:rPr>
        <w:t xml:space="preserve">Le </w:t>
      </w:r>
      <w:r w:rsidR="00A659B9">
        <w:rPr>
          <w:lang w:val="fr-FR"/>
        </w:rPr>
        <w:t>Groupe de travail a noté que M. </w:t>
      </w:r>
      <w:r w:rsidRPr="003A2D14">
        <w:rPr>
          <w:lang w:val="fr-FR"/>
        </w:rPr>
        <w:t>Richard Damm (Allemagne) assumait de nouvelles responsabilités au sein de son gouvernement et qu</w:t>
      </w:r>
      <w:r w:rsidR="006B6352">
        <w:rPr>
          <w:lang w:val="fr-FR"/>
        </w:rPr>
        <w:t>’</w:t>
      </w:r>
      <w:r w:rsidRPr="003A2D14">
        <w:rPr>
          <w:lang w:val="fr-FR"/>
        </w:rPr>
        <w:t>il ne participerait plus aux sessions. Il a rendu hommage à son appui constant pendant toutes les années durant lesquelles il a participé aux sessions et en particulier à son dévouement en tant que coprésident du groupe de travail informel des vitrages de toit panoramiques et chef de l</w:t>
      </w:r>
      <w:r w:rsidR="006B6352">
        <w:rPr>
          <w:lang w:val="fr-FR"/>
        </w:rPr>
        <w:t>’</w:t>
      </w:r>
      <w:r w:rsidRPr="003A2D14">
        <w:rPr>
          <w:lang w:val="fr-FR"/>
        </w:rPr>
        <w:t>Équipe spéciale du gabarit tridimensionnel point « H ». Le Groupe de travail l</w:t>
      </w:r>
      <w:r w:rsidR="006B6352">
        <w:rPr>
          <w:lang w:val="fr-FR"/>
        </w:rPr>
        <w:t>’</w:t>
      </w:r>
      <w:r w:rsidRPr="003A2D14">
        <w:rPr>
          <w:lang w:val="fr-FR"/>
        </w:rPr>
        <w:t>a remercié par de longs applaudissements et lui a souhaité une longue et heureuse retraite.</w:t>
      </w:r>
    </w:p>
    <w:p w:rsidR="003A2D14" w:rsidRPr="003A2D14" w:rsidRDefault="003A2D14" w:rsidP="00A659B9">
      <w:pPr>
        <w:pStyle w:val="HChG"/>
        <w:rPr>
          <w:lang w:val="fr-FR"/>
        </w:rPr>
      </w:pPr>
      <w:r w:rsidRPr="003A2D14">
        <w:rPr>
          <w:lang w:val="fr-FR"/>
        </w:rPr>
        <w:tab/>
        <w:t>XXII.</w:t>
      </w:r>
      <w:r w:rsidRPr="003A2D14">
        <w:rPr>
          <w:lang w:val="fr-FR"/>
        </w:rPr>
        <w:tab/>
        <w:t>Ordre du jour provisoire de la 112</w:t>
      </w:r>
      <w:r w:rsidRPr="003A2D14">
        <w:rPr>
          <w:vertAlign w:val="superscript"/>
          <w:lang w:val="fr-FR"/>
        </w:rPr>
        <w:t>e</w:t>
      </w:r>
      <w:r w:rsidRPr="003A2D14">
        <w:rPr>
          <w:lang w:val="fr-FR"/>
        </w:rPr>
        <w:t> session</w:t>
      </w:r>
    </w:p>
    <w:p w:rsidR="003A2D14" w:rsidRPr="003A2D14" w:rsidRDefault="003A2D14" w:rsidP="009F5F9A">
      <w:pPr>
        <w:pStyle w:val="ParNoG"/>
        <w:tabs>
          <w:tab w:val="clear" w:pos="1701"/>
        </w:tabs>
        <w:rPr>
          <w:lang w:val="fr-FR"/>
        </w:rPr>
      </w:pPr>
      <w:r w:rsidRPr="003A2D14">
        <w:rPr>
          <w:lang w:val="fr-FR"/>
        </w:rPr>
        <w:t>L</w:t>
      </w:r>
      <w:r w:rsidR="006B6352">
        <w:rPr>
          <w:lang w:val="fr-FR"/>
        </w:rPr>
        <w:t>’</w:t>
      </w:r>
      <w:r w:rsidRPr="003A2D14">
        <w:rPr>
          <w:lang w:val="fr-FR"/>
        </w:rPr>
        <w:t>ordre du jour provisoire ci-dessous a été adopté pour la 112</w:t>
      </w:r>
      <w:r w:rsidRPr="003A2D14">
        <w:rPr>
          <w:vertAlign w:val="superscript"/>
          <w:lang w:val="fr-FR"/>
        </w:rPr>
        <w:t>e</w:t>
      </w:r>
      <w:r w:rsidRPr="003A2D14">
        <w:rPr>
          <w:lang w:val="fr-FR"/>
        </w:rPr>
        <w:t> session du Groupe de travail</w:t>
      </w:r>
      <w:r w:rsidR="00A659B9">
        <w:rPr>
          <w:lang w:val="fr-FR"/>
        </w:rPr>
        <w:t>, qui se tiendra à Genève du 24 </w:t>
      </w:r>
      <w:r w:rsidRPr="003A2D14">
        <w:rPr>
          <w:lang w:val="fr-FR"/>
        </w:rPr>
        <w:t xml:space="preserve">avril </w:t>
      </w:r>
      <w:r w:rsidR="00A659B9">
        <w:rPr>
          <w:lang w:val="fr-FR"/>
        </w:rPr>
        <w:t xml:space="preserve">2017 à 14 h 30 au 28 avril </w:t>
      </w:r>
      <w:r w:rsidR="008D6144">
        <w:rPr>
          <w:lang w:val="fr-FR"/>
        </w:rPr>
        <w:t xml:space="preserve">2017 </w:t>
      </w:r>
      <w:r w:rsidR="00A659B9">
        <w:rPr>
          <w:lang w:val="fr-FR"/>
        </w:rPr>
        <w:t>à 12 </w:t>
      </w:r>
      <w:r w:rsidRPr="003A2D14">
        <w:rPr>
          <w:lang w:val="fr-FR"/>
        </w:rPr>
        <w:t>h</w:t>
      </w:r>
      <w:r w:rsidR="00A659B9">
        <w:rPr>
          <w:lang w:val="fr-FR"/>
        </w:rPr>
        <w:t> </w:t>
      </w:r>
      <w:r w:rsidRPr="003A2D14">
        <w:rPr>
          <w:lang w:val="fr-FR"/>
        </w:rPr>
        <w:t>30</w:t>
      </w:r>
      <w:r w:rsidRPr="003A2D14">
        <w:rPr>
          <w:vertAlign w:val="superscript"/>
        </w:rPr>
        <w:footnoteReference w:id="2"/>
      </w:r>
      <w:r w:rsidRPr="003A2D14">
        <w:rPr>
          <w:lang w:val="fr-FR"/>
        </w:rPr>
        <w:t>.</w:t>
      </w:r>
    </w:p>
    <w:p w:rsidR="003A2D14" w:rsidRPr="003A2D14" w:rsidRDefault="003A2D14" w:rsidP="00A659B9">
      <w:pPr>
        <w:pStyle w:val="SingleTxtG"/>
        <w:ind w:left="2268" w:hanging="567"/>
        <w:rPr>
          <w:lang w:val="fr-FR"/>
        </w:rPr>
      </w:pPr>
      <w:r w:rsidRPr="003A2D14">
        <w:rPr>
          <w:lang w:val="fr-FR"/>
        </w:rPr>
        <w:t>1.</w:t>
      </w:r>
      <w:r w:rsidRPr="003A2D14">
        <w:rPr>
          <w:lang w:val="fr-FR"/>
        </w:rPr>
        <w:tab/>
        <w:t>Adoption de l</w:t>
      </w:r>
      <w:r w:rsidR="006B6352">
        <w:rPr>
          <w:lang w:val="fr-FR"/>
        </w:rPr>
        <w:t>’</w:t>
      </w:r>
      <w:r w:rsidRPr="003A2D14">
        <w:rPr>
          <w:lang w:val="fr-FR"/>
        </w:rPr>
        <w:t>ordre du jour.</w:t>
      </w:r>
    </w:p>
    <w:p w:rsidR="003A2D14" w:rsidRPr="003A2D14" w:rsidRDefault="003A2D14" w:rsidP="00A659B9">
      <w:pPr>
        <w:pStyle w:val="SingleTxtG"/>
        <w:ind w:left="2268" w:hanging="567"/>
        <w:rPr>
          <w:lang w:val="fr-FR"/>
        </w:rPr>
      </w:pPr>
      <w:r w:rsidRPr="003A2D14">
        <w:rPr>
          <w:lang w:val="fr-FR"/>
        </w:rPr>
        <w:t>2.</w:t>
      </w:r>
      <w:r w:rsidRPr="003A2D14">
        <w:rPr>
          <w:lang w:val="fr-FR"/>
        </w:rPr>
        <w:tab/>
        <w:t>Règlement n</w:t>
      </w:r>
      <w:r w:rsidRPr="003A2D14">
        <w:rPr>
          <w:vertAlign w:val="superscript"/>
          <w:lang w:val="fr-FR"/>
        </w:rPr>
        <w:t>o</w:t>
      </w:r>
      <w:r w:rsidRPr="003A2D14">
        <w:rPr>
          <w:lang w:val="fr-FR"/>
        </w:rPr>
        <w:t> 107 (Véhicules des catégories M</w:t>
      </w:r>
      <w:r w:rsidRPr="003A2D14">
        <w:rPr>
          <w:vertAlign w:val="subscript"/>
          <w:lang w:val="fr-FR"/>
        </w:rPr>
        <w:t>2</w:t>
      </w:r>
      <w:r w:rsidRPr="003A2D14">
        <w:rPr>
          <w:lang w:val="fr-FR"/>
        </w:rPr>
        <w:t xml:space="preserve"> et M</w:t>
      </w:r>
      <w:r w:rsidRPr="003A2D14">
        <w:rPr>
          <w:vertAlign w:val="subscript"/>
          <w:lang w:val="fr-FR"/>
        </w:rPr>
        <w:t>3</w:t>
      </w:r>
      <w:r w:rsidRPr="003A2D14">
        <w:rPr>
          <w:lang w:val="fr-FR"/>
        </w:rPr>
        <w:t>).</w:t>
      </w:r>
    </w:p>
    <w:p w:rsidR="003A2D14" w:rsidRPr="003A2D14" w:rsidRDefault="003A2D14" w:rsidP="00A659B9">
      <w:pPr>
        <w:pStyle w:val="SingleTxtG"/>
        <w:ind w:left="2268" w:hanging="567"/>
        <w:rPr>
          <w:lang w:val="fr-FR"/>
        </w:rPr>
      </w:pPr>
      <w:r w:rsidRPr="003A2D14">
        <w:rPr>
          <w:lang w:val="fr-FR"/>
        </w:rPr>
        <w:t>3.</w:t>
      </w:r>
      <w:r w:rsidRPr="003A2D14">
        <w:rPr>
          <w:lang w:val="fr-FR"/>
        </w:rPr>
        <w:tab/>
        <w:t>Règlement n</w:t>
      </w:r>
      <w:r w:rsidRPr="003A2D14">
        <w:rPr>
          <w:vertAlign w:val="superscript"/>
          <w:lang w:val="fr-FR"/>
        </w:rPr>
        <w:t>o</w:t>
      </w:r>
      <w:r w:rsidRPr="003A2D14">
        <w:rPr>
          <w:lang w:val="fr-FR"/>
        </w:rPr>
        <w:t> 39 (Indicateur de vitesse/compteur kilométrique).</w:t>
      </w:r>
    </w:p>
    <w:p w:rsidR="003A2D14" w:rsidRPr="003A2D14" w:rsidRDefault="003A2D14" w:rsidP="00A659B9">
      <w:pPr>
        <w:pStyle w:val="SingleTxtG"/>
        <w:ind w:left="2268" w:hanging="567"/>
        <w:rPr>
          <w:lang w:val="fr-FR"/>
        </w:rPr>
      </w:pPr>
      <w:r w:rsidRPr="003A2D14">
        <w:rPr>
          <w:lang w:val="fr-FR"/>
        </w:rPr>
        <w:t>4.</w:t>
      </w:r>
      <w:r w:rsidRPr="003A2D14">
        <w:rPr>
          <w:lang w:val="fr-FR"/>
        </w:rPr>
        <w:tab/>
        <w:t>Règlement n</w:t>
      </w:r>
      <w:r w:rsidRPr="003A2D14">
        <w:rPr>
          <w:vertAlign w:val="superscript"/>
          <w:lang w:val="fr-FR"/>
        </w:rPr>
        <w:t>o</w:t>
      </w:r>
      <w:r w:rsidRPr="003A2D14">
        <w:rPr>
          <w:lang w:val="fr-FR"/>
        </w:rPr>
        <w:t> 43 (Vitrages de sécurité).</w:t>
      </w:r>
    </w:p>
    <w:p w:rsidR="003A2D14" w:rsidRPr="003A2D14" w:rsidRDefault="003A2D14" w:rsidP="00A659B9">
      <w:pPr>
        <w:pStyle w:val="SingleTxtG"/>
        <w:ind w:left="2268" w:hanging="567"/>
        <w:rPr>
          <w:lang w:val="fr-FR"/>
        </w:rPr>
      </w:pPr>
      <w:r w:rsidRPr="003A2D14">
        <w:rPr>
          <w:lang w:val="fr-FR"/>
        </w:rPr>
        <w:t>5.</w:t>
      </w:r>
      <w:r w:rsidRPr="003A2D14">
        <w:rPr>
          <w:lang w:val="fr-FR"/>
        </w:rPr>
        <w:tab/>
        <w:t>Règlement n</w:t>
      </w:r>
      <w:r w:rsidRPr="003A2D14">
        <w:rPr>
          <w:vertAlign w:val="superscript"/>
          <w:lang w:val="fr-FR"/>
        </w:rPr>
        <w:t>o</w:t>
      </w:r>
      <w:r w:rsidRPr="003A2D14">
        <w:rPr>
          <w:lang w:val="fr-FR"/>
        </w:rPr>
        <w:t> 46 (Dispositifs de vision indirecte).</w:t>
      </w:r>
    </w:p>
    <w:p w:rsidR="003A2D14" w:rsidRPr="003A2D14" w:rsidRDefault="003A2D14" w:rsidP="00A659B9">
      <w:pPr>
        <w:pStyle w:val="SingleTxtG"/>
        <w:ind w:left="2268" w:hanging="567"/>
        <w:rPr>
          <w:lang w:val="fr-FR"/>
        </w:rPr>
      </w:pPr>
      <w:r w:rsidRPr="003A2D14">
        <w:rPr>
          <w:lang w:val="fr-FR"/>
        </w:rPr>
        <w:t>6.</w:t>
      </w:r>
      <w:r w:rsidRPr="003A2D14">
        <w:rPr>
          <w:lang w:val="fr-FR"/>
        </w:rPr>
        <w:tab/>
        <w:t>Règlement n</w:t>
      </w:r>
      <w:r w:rsidRPr="003A2D14">
        <w:rPr>
          <w:vertAlign w:val="superscript"/>
          <w:lang w:val="fr-FR"/>
        </w:rPr>
        <w:t>o</w:t>
      </w:r>
      <w:r w:rsidRPr="003A2D14">
        <w:rPr>
          <w:lang w:val="fr-FR"/>
        </w:rPr>
        <w:t> 66 (Résistance de la superstructure (autobus)).</w:t>
      </w:r>
    </w:p>
    <w:p w:rsidR="003A2D14" w:rsidRPr="003A2D14" w:rsidRDefault="003A2D14" w:rsidP="00A659B9">
      <w:pPr>
        <w:pStyle w:val="SingleTxtG"/>
        <w:ind w:left="2268" w:hanging="567"/>
        <w:rPr>
          <w:lang w:val="fr-FR"/>
        </w:rPr>
      </w:pPr>
      <w:r w:rsidRPr="003A2D14">
        <w:rPr>
          <w:lang w:val="fr-FR"/>
        </w:rPr>
        <w:t>7.</w:t>
      </w:r>
      <w:r w:rsidRPr="003A2D14">
        <w:rPr>
          <w:lang w:val="fr-FR"/>
        </w:rPr>
        <w:tab/>
        <w:t>Règlement n</w:t>
      </w:r>
      <w:r w:rsidRPr="003A2D14">
        <w:rPr>
          <w:vertAlign w:val="superscript"/>
          <w:lang w:val="fr-FR"/>
        </w:rPr>
        <w:t>o</w:t>
      </w:r>
      <w:r w:rsidRPr="003A2D14">
        <w:rPr>
          <w:lang w:val="fr-FR"/>
        </w:rPr>
        <w:t> 67 (Véhicules alimentés au GPL).</w:t>
      </w:r>
    </w:p>
    <w:p w:rsidR="003A2D14" w:rsidRPr="003A2D14" w:rsidRDefault="003A2D14" w:rsidP="00A659B9">
      <w:pPr>
        <w:pStyle w:val="SingleTxtG"/>
        <w:ind w:left="2268" w:hanging="567"/>
        <w:rPr>
          <w:lang w:val="fr-FR"/>
        </w:rPr>
      </w:pPr>
      <w:r w:rsidRPr="003A2D14">
        <w:rPr>
          <w:lang w:val="fr-FR"/>
        </w:rPr>
        <w:t>8.</w:t>
      </w:r>
      <w:r w:rsidRPr="003A2D14">
        <w:rPr>
          <w:lang w:val="fr-FR"/>
        </w:rPr>
        <w:tab/>
        <w:t>Règlement n</w:t>
      </w:r>
      <w:r w:rsidRPr="003A2D14">
        <w:rPr>
          <w:vertAlign w:val="superscript"/>
          <w:lang w:val="fr-FR"/>
        </w:rPr>
        <w:t>o</w:t>
      </w:r>
      <w:r w:rsidRPr="003A2D14">
        <w:rPr>
          <w:lang w:val="fr-FR"/>
        </w:rPr>
        <w:t> 110 (Véhicules alimentés au GNC/GNL).</w:t>
      </w:r>
    </w:p>
    <w:p w:rsidR="003A2D14" w:rsidRPr="003A2D14" w:rsidRDefault="003A2D14" w:rsidP="00A659B9">
      <w:pPr>
        <w:pStyle w:val="SingleTxtG"/>
        <w:ind w:left="2268" w:hanging="567"/>
        <w:rPr>
          <w:lang w:val="fr-FR"/>
        </w:rPr>
      </w:pPr>
      <w:r w:rsidRPr="003A2D14">
        <w:rPr>
          <w:lang w:val="fr-FR"/>
        </w:rPr>
        <w:t>9.</w:t>
      </w:r>
      <w:r w:rsidRPr="003A2D14">
        <w:rPr>
          <w:lang w:val="fr-FR"/>
        </w:rPr>
        <w:tab/>
        <w:t>Règlement n</w:t>
      </w:r>
      <w:r w:rsidRPr="003A2D14">
        <w:rPr>
          <w:vertAlign w:val="superscript"/>
          <w:lang w:val="fr-FR"/>
        </w:rPr>
        <w:t>o</w:t>
      </w:r>
      <w:r w:rsidRPr="003A2D14">
        <w:rPr>
          <w:lang w:val="fr-FR"/>
        </w:rPr>
        <w:t> 116 (Dispositifs antivol et systèmes d</w:t>
      </w:r>
      <w:r w:rsidR="006B6352">
        <w:rPr>
          <w:lang w:val="fr-FR"/>
        </w:rPr>
        <w:t>’</w:t>
      </w:r>
      <w:r w:rsidRPr="003A2D14">
        <w:rPr>
          <w:lang w:val="fr-FR"/>
        </w:rPr>
        <w:t>alarme).</w:t>
      </w:r>
    </w:p>
    <w:p w:rsidR="003A2D14" w:rsidRPr="003A2D14" w:rsidRDefault="003A2D14" w:rsidP="00A659B9">
      <w:pPr>
        <w:pStyle w:val="SingleTxtG"/>
        <w:ind w:left="2268" w:hanging="567"/>
        <w:rPr>
          <w:lang w:val="fr-FR"/>
        </w:rPr>
      </w:pPr>
      <w:r w:rsidRPr="003A2D14">
        <w:rPr>
          <w:lang w:val="fr-FR"/>
        </w:rPr>
        <w:t>10.</w:t>
      </w:r>
      <w:r w:rsidRPr="003A2D14">
        <w:rPr>
          <w:lang w:val="fr-FR"/>
        </w:rPr>
        <w:tab/>
        <w:t>Règlement n</w:t>
      </w:r>
      <w:r w:rsidRPr="003A2D14">
        <w:rPr>
          <w:vertAlign w:val="superscript"/>
          <w:lang w:val="fr-FR"/>
        </w:rPr>
        <w:t>o</w:t>
      </w:r>
      <w:r w:rsidRPr="003A2D14">
        <w:rPr>
          <w:lang w:val="fr-FR"/>
        </w:rPr>
        <w:t> 121 (Identification des commandes manuelles, des témoins et des indicateurs).</w:t>
      </w:r>
    </w:p>
    <w:p w:rsidR="003A2D14" w:rsidRPr="003A2D14" w:rsidRDefault="003A2D14" w:rsidP="00A659B9">
      <w:pPr>
        <w:pStyle w:val="SingleTxtG"/>
        <w:ind w:left="2268" w:hanging="567"/>
        <w:rPr>
          <w:lang w:val="fr-FR"/>
        </w:rPr>
      </w:pPr>
      <w:r w:rsidRPr="003A2D14">
        <w:rPr>
          <w:lang w:val="fr-FR"/>
        </w:rPr>
        <w:t>11.</w:t>
      </w:r>
      <w:r w:rsidRPr="003A2D14">
        <w:rPr>
          <w:lang w:val="fr-FR"/>
        </w:rPr>
        <w:tab/>
        <w:t>Systèmes d</w:t>
      </w:r>
      <w:r w:rsidR="006B6352">
        <w:rPr>
          <w:lang w:val="fr-FR"/>
        </w:rPr>
        <w:t>’</w:t>
      </w:r>
      <w:r w:rsidRPr="003A2D14">
        <w:rPr>
          <w:lang w:val="fr-FR"/>
        </w:rPr>
        <w:t>appel d</w:t>
      </w:r>
      <w:r w:rsidR="006B6352">
        <w:rPr>
          <w:lang w:val="fr-FR"/>
        </w:rPr>
        <w:t>’</w:t>
      </w:r>
      <w:r w:rsidRPr="003A2D14">
        <w:rPr>
          <w:lang w:val="fr-FR"/>
        </w:rPr>
        <w:t>urgence en cas d</w:t>
      </w:r>
      <w:r w:rsidR="006B6352">
        <w:rPr>
          <w:lang w:val="fr-FR"/>
        </w:rPr>
        <w:t>’</w:t>
      </w:r>
      <w:r w:rsidRPr="003A2D14">
        <w:rPr>
          <w:lang w:val="fr-FR"/>
        </w:rPr>
        <w:t>accident.</w:t>
      </w:r>
    </w:p>
    <w:p w:rsidR="003A2D14" w:rsidRPr="003A2D14" w:rsidRDefault="003A2D14" w:rsidP="00A659B9">
      <w:pPr>
        <w:pStyle w:val="SingleTxtG"/>
        <w:ind w:left="2268" w:hanging="567"/>
        <w:rPr>
          <w:lang w:val="fr-FR"/>
        </w:rPr>
      </w:pPr>
      <w:r w:rsidRPr="003A2D14">
        <w:rPr>
          <w:lang w:val="fr-FR"/>
        </w:rPr>
        <w:t>12.</w:t>
      </w:r>
      <w:r w:rsidRPr="003A2D14">
        <w:rPr>
          <w:lang w:val="fr-FR"/>
        </w:rPr>
        <w:tab/>
        <w:t>Homologation de type internationale de l</w:t>
      </w:r>
      <w:r w:rsidR="006B6352">
        <w:rPr>
          <w:lang w:val="fr-FR"/>
        </w:rPr>
        <w:t>’</w:t>
      </w:r>
      <w:r w:rsidRPr="003A2D14">
        <w:rPr>
          <w:lang w:val="fr-FR"/>
        </w:rPr>
        <w:t>ensemble du véhicule (IWVTA).</w:t>
      </w:r>
    </w:p>
    <w:p w:rsidR="003A2D14" w:rsidRPr="003A2D14" w:rsidRDefault="003A2D14" w:rsidP="00A659B9">
      <w:pPr>
        <w:pStyle w:val="SingleTxtG"/>
        <w:ind w:left="2268" w:hanging="567"/>
        <w:rPr>
          <w:lang w:val="fr-FR"/>
        </w:rPr>
      </w:pPr>
      <w:r w:rsidRPr="003A2D14">
        <w:rPr>
          <w:lang w:val="fr-FR"/>
        </w:rPr>
        <w:t>13.</w:t>
      </w:r>
      <w:r w:rsidRPr="003A2D14">
        <w:rPr>
          <w:lang w:val="fr-FR"/>
        </w:rPr>
        <w:tab/>
        <w:t>Systèmes embarqués de stockage des données électroniques.</w:t>
      </w:r>
    </w:p>
    <w:p w:rsidR="003A2D14" w:rsidRPr="003A2D14" w:rsidRDefault="003A2D14" w:rsidP="00A659B9">
      <w:pPr>
        <w:pStyle w:val="SingleTxtG"/>
        <w:ind w:left="2268" w:hanging="567"/>
        <w:rPr>
          <w:lang w:val="fr-FR"/>
        </w:rPr>
      </w:pPr>
      <w:r w:rsidRPr="003A2D14">
        <w:rPr>
          <w:lang w:val="fr-FR"/>
        </w:rPr>
        <w:t>14.</w:t>
      </w:r>
      <w:r w:rsidRPr="003A2D14">
        <w:rPr>
          <w:lang w:val="fr-FR"/>
        </w:rPr>
        <w:tab/>
        <w:t>Règlement technique mondial n</w:t>
      </w:r>
      <w:r w:rsidRPr="003A2D14">
        <w:rPr>
          <w:vertAlign w:val="superscript"/>
          <w:lang w:val="fr-FR"/>
        </w:rPr>
        <w:t>o</w:t>
      </w:r>
      <w:r w:rsidRPr="003A2D14">
        <w:rPr>
          <w:lang w:val="fr-FR"/>
        </w:rPr>
        <w:t> 6 (Vitrages de sécurité).</w:t>
      </w:r>
    </w:p>
    <w:p w:rsidR="003A2D14" w:rsidRPr="003A2D14" w:rsidRDefault="003A2D14" w:rsidP="00A659B9">
      <w:pPr>
        <w:pStyle w:val="SingleTxtG"/>
        <w:ind w:left="2268" w:hanging="567"/>
        <w:rPr>
          <w:lang w:val="fr-FR"/>
        </w:rPr>
      </w:pPr>
      <w:r w:rsidRPr="003A2D14">
        <w:rPr>
          <w:lang w:val="fr-FR"/>
        </w:rPr>
        <w:t>15.</w:t>
      </w:r>
      <w:r w:rsidRPr="003A2D14">
        <w:rPr>
          <w:lang w:val="fr-FR"/>
        </w:rPr>
        <w:tab/>
        <w:t>Nouveau Règlement sur les systèmes actifs d</w:t>
      </w:r>
      <w:r w:rsidR="006B6352">
        <w:rPr>
          <w:lang w:val="fr-FR"/>
        </w:rPr>
        <w:t>’</w:t>
      </w:r>
      <w:r w:rsidRPr="003A2D14">
        <w:rPr>
          <w:lang w:val="fr-FR"/>
        </w:rPr>
        <w:t>aide à la conduite.</w:t>
      </w:r>
    </w:p>
    <w:p w:rsidR="003A2D14" w:rsidRDefault="003A2D14" w:rsidP="00A659B9">
      <w:pPr>
        <w:pStyle w:val="SingleTxtG"/>
        <w:ind w:left="2268" w:hanging="567"/>
        <w:rPr>
          <w:lang w:val="fr-FR"/>
        </w:rPr>
      </w:pPr>
      <w:r w:rsidRPr="003A2D14">
        <w:rPr>
          <w:lang w:val="fr-FR"/>
        </w:rPr>
        <w:t>16.</w:t>
      </w:r>
      <w:r w:rsidRPr="003A2D14">
        <w:rPr>
          <w:lang w:val="fr-FR"/>
        </w:rPr>
        <w:tab/>
        <w:t>Questions diverses.</w:t>
      </w:r>
    </w:p>
    <w:p w:rsidR="003A2D14" w:rsidRPr="003A2D14" w:rsidRDefault="003A2D14" w:rsidP="00A659B9">
      <w:pPr>
        <w:pStyle w:val="HChG"/>
        <w:rPr>
          <w:lang w:val="fr-FR"/>
        </w:rPr>
      </w:pPr>
      <w:r>
        <w:rPr>
          <w:lang w:val="fr-FR"/>
        </w:rPr>
        <w:br w:type="page"/>
      </w:r>
      <w:r w:rsidR="00A659B9">
        <w:rPr>
          <w:lang w:val="fr-FR"/>
        </w:rPr>
        <w:tab/>
        <w:t>Annexe </w:t>
      </w:r>
      <w:r w:rsidRPr="003A2D14">
        <w:rPr>
          <w:lang w:val="fr-FR"/>
        </w:rPr>
        <w:t>I</w:t>
      </w:r>
    </w:p>
    <w:p w:rsidR="003A2D14" w:rsidRPr="003A2D14" w:rsidRDefault="003A2D14" w:rsidP="002C6B20">
      <w:pPr>
        <w:pStyle w:val="HChG"/>
        <w:rPr>
          <w:lang w:val="fr-FR"/>
        </w:rPr>
      </w:pPr>
      <w:r w:rsidRPr="003A2D14">
        <w:rPr>
          <w:lang w:val="fr-FR"/>
        </w:rPr>
        <w:tab/>
      </w:r>
      <w:r w:rsidRPr="003A2D14">
        <w:rPr>
          <w:lang w:val="fr-FR"/>
        </w:rPr>
        <w:tab/>
        <w:t xml:space="preserve">Liste des documents sans cote officielle examinés </w:t>
      </w:r>
      <w:r w:rsidR="00A659B9">
        <w:rPr>
          <w:lang w:val="fr-FR"/>
        </w:rPr>
        <w:br/>
      </w:r>
      <w:r w:rsidRPr="003A2D14">
        <w:rPr>
          <w:lang w:val="fr-FR"/>
        </w:rPr>
        <w:t>pendant la session</w:t>
      </w:r>
    </w:p>
    <w:p w:rsidR="003A2D14" w:rsidRDefault="003A2D14" w:rsidP="002C6B20">
      <w:pPr>
        <w:pStyle w:val="H1G"/>
        <w:spacing w:before="120" w:after="120"/>
        <w:rPr>
          <w:lang w:val="fr-FR"/>
        </w:rPr>
      </w:pPr>
      <w:r w:rsidRPr="003A2D14">
        <w:rPr>
          <w:lang w:val="fr-FR"/>
        </w:rPr>
        <w:tab/>
      </w:r>
      <w:r w:rsidRPr="003A2D14">
        <w:rPr>
          <w:lang w:val="fr-FR"/>
        </w:rPr>
        <w:tab/>
        <w:t>Liste des documents sans cote officielle (GRSG-111-…) distribués pendant la session (anglais seulement)</w:t>
      </w:r>
    </w:p>
    <w:tbl>
      <w:tblPr>
        <w:tblW w:w="8504" w:type="dxa"/>
        <w:tblInd w:w="1134" w:type="dxa"/>
        <w:tblLayout w:type="fixed"/>
        <w:tblCellMar>
          <w:left w:w="0" w:type="dxa"/>
          <w:right w:w="0" w:type="dxa"/>
        </w:tblCellMar>
        <w:tblLook w:val="01E0" w:firstRow="1" w:lastRow="1" w:firstColumn="1" w:lastColumn="1" w:noHBand="0" w:noVBand="0"/>
      </w:tblPr>
      <w:tblGrid>
        <w:gridCol w:w="756"/>
        <w:gridCol w:w="7265"/>
        <w:gridCol w:w="483"/>
      </w:tblGrid>
      <w:tr w:rsidR="002C6B20" w:rsidRPr="002C6B20" w:rsidTr="00773E7E">
        <w:trPr>
          <w:tblHeader/>
        </w:trPr>
        <w:tc>
          <w:tcPr>
            <w:tcW w:w="756" w:type="dxa"/>
            <w:tcBorders>
              <w:top w:val="single" w:sz="4" w:space="0" w:color="auto"/>
              <w:bottom w:val="single" w:sz="12" w:space="0" w:color="auto"/>
            </w:tcBorders>
            <w:shd w:val="clear" w:color="auto" w:fill="auto"/>
            <w:vAlign w:val="bottom"/>
          </w:tcPr>
          <w:p w:rsidR="003A2D14" w:rsidRPr="002C6B20" w:rsidRDefault="003A2D14" w:rsidP="002C6B20">
            <w:pPr>
              <w:spacing w:before="80" w:after="80" w:line="200" w:lineRule="exact"/>
              <w:ind w:right="113"/>
              <w:rPr>
                <w:i/>
                <w:sz w:val="16"/>
                <w:szCs w:val="18"/>
                <w:lang w:val="fr-FR"/>
              </w:rPr>
            </w:pPr>
            <w:r w:rsidRPr="002C6B20">
              <w:rPr>
                <w:i/>
                <w:sz w:val="16"/>
                <w:lang w:val="fr-FR"/>
              </w:rPr>
              <w:t>N</w:t>
            </w:r>
            <w:r w:rsidRPr="002C6B20">
              <w:rPr>
                <w:i/>
                <w:sz w:val="16"/>
                <w:vertAlign w:val="superscript"/>
                <w:lang w:val="fr-FR"/>
              </w:rPr>
              <w:t>o</w:t>
            </w:r>
          </w:p>
        </w:tc>
        <w:tc>
          <w:tcPr>
            <w:tcW w:w="7265" w:type="dxa"/>
            <w:tcBorders>
              <w:top w:val="single" w:sz="4" w:space="0" w:color="auto"/>
              <w:bottom w:val="single" w:sz="12" w:space="0" w:color="auto"/>
            </w:tcBorders>
            <w:shd w:val="clear" w:color="auto" w:fill="auto"/>
            <w:vAlign w:val="bottom"/>
          </w:tcPr>
          <w:p w:rsidR="003A2D14" w:rsidRPr="002C6B20" w:rsidRDefault="003A2D14" w:rsidP="002C6B20">
            <w:pPr>
              <w:spacing w:before="80" w:after="80" w:line="200" w:lineRule="exact"/>
              <w:ind w:right="113"/>
              <w:rPr>
                <w:i/>
                <w:sz w:val="16"/>
                <w:szCs w:val="18"/>
                <w:lang w:val="fr-FR"/>
              </w:rPr>
            </w:pPr>
            <w:r w:rsidRPr="002C6B20">
              <w:rPr>
                <w:i/>
                <w:sz w:val="16"/>
                <w:lang w:val="fr-FR"/>
              </w:rPr>
              <w:t>(Auteur) Titre</w:t>
            </w:r>
          </w:p>
        </w:tc>
        <w:tc>
          <w:tcPr>
            <w:tcW w:w="483" w:type="dxa"/>
            <w:tcBorders>
              <w:top w:val="single" w:sz="4" w:space="0" w:color="auto"/>
              <w:bottom w:val="single" w:sz="12" w:space="0" w:color="auto"/>
            </w:tcBorders>
            <w:shd w:val="clear" w:color="auto" w:fill="auto"/>
            <w:vAlign w:val="bottom"/>
          </w:tcPr>
          <w:p w:rsidR="003A2D14" w:rsidRPr="002C6B20" w:rsidRDefault="003A2D14" w:rsidP="00773E7E">
            <w:pPr>
              <w:spacing w:before="80" w:after="80" w:line="200" w:lineRule="exact"/>
              <w:ind w:right="113"/>
              <w:jc w:val="center"/>
              <w:rPr>
                <w:i/>
                <w:sz w:val="16"/>
                <w:szCs w:val="18"/>
                <w:lang w:val="fr-FR"/>
              </w:rPr>
            </w:pPr>
            <w:r w:rsidRPr="002C6B20">
              <w:rPr>
                <w:i/>
                <w:sz w:val="16"/>
                <w:lang w:val="fr-FR"/>
              </w:rPr>
              <w:t>Suivi</w:t>
            </w:r>
          </w:p>
        </w:tc>
      </w:tr>
      <w:tr w:rsidR="002C6B20" w:rsidRPr="002C6B20" w:rsidTr="00773E7E">
        <w:trPr>
          <w:trHeight w:hRule="exact" w:val="113"/>
          <w:tblHeader/>
        </w:trPr>
        <w:tc>
          <w:tcPr>
            <w:tcW w:w="756" w:type="dxa"/>
            <w:tcBorders>
              <w:top w:val="single" w:sz="12" w:space="0" w:color="auto"/>
            </w:tcBorders>
            <w:shd w:val="clear" w:color="auto" w:fill="auto"/>
          </w:tcPr>
          <w:p w:rsidR="002C6B20" w:rsidRPr="002C6B20" w:rsidRDefault="002C6B20" w:rsidP="002C6B20">
            <w:pPr>
              <w:spacing w:before="40" w:after="120"/>
              <w:ind w:right="113"/>
              <w:rPr>
                <w:lang w:val="fr-FR"/>
              </w:rPr>
            </w:pPr>
          </w:p>
        </w:tc>
        <w:tc>
          <w:tcPr>
            <w:tcW w:w="7265" w:type="dxa"/>
            <w:tcBorders>
              <w:top w:val="single" w:sz="12" w:space="0" w:color="auto"/>
            </w:tcBorders>
            <w:shd w:val="clear" w:color="auto" w:fill="auto"/>
          </w:tcPr>
          <w:p w:rsidR="002C6B20" w:rsidRPr="002C6B20" w:rsidRDefault="002C6B20" w:rsidP="002C6B20">
            <w:pPr>
              <w:spacing w:before="40" w:after="120"/>
              <w:ind w:right="113"/>
              <w:rPr>
                <w:lang w:val="fr-FR"/>
              </w:rPr>
            </w:pPr>
          </w:p>
        </w:tc>
        <w:tc>
          <w:tcPr>
            <w:tcW w:w="483" w:type="dxa"/>
            <w:tcBorders>
              <w:top w:val="single" w:sz="12" w:space="0" w:color="auto"/>
            </w:tcBorders>
            <w:shd w:val="clear" w:color="auto" w:fill="auto"/>
          </w:tcPr>
          <w:p w:rsidR="002C6B20" w:rsidRPr="002C6B20" w:rsidRDefault="002C6B20" w:rsidP="00773E7E">
            <w:pPr>
              <w:spacing w:before="40" w:after="120"/>
              <w:ind w:right="113"/>
              <w:jc w:val="center"/>
              <w:rPr>
                <w:lang w:val="fr-FR"/>
              </w:rPr>
            </w:pPr>
          </w:p>
        </w:tc>
      </w:tr>
      <w:tr w:rsidR="002C6B20" w:rsidRPr="00773E7E" w:rsidTr="00773E7E">
        <w:tc>
          <w:tcPr>
            <w:tcW w:w="756"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1</w:t>
            </w:r>
          </w:p>
        </w:tc>
        <w:tc>
          <w:tcPr>
            <w:tcW w:w="7265"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(Président du GRSG) Running order of the 111th session of GRSG (11-14 October 2016)</w:t>
            </w:r>
          </w:p>
        </w:tc>
        <w:tc>
          <w:tcPr>
            <w:tcW w:w="483" w:type="dxa"/>
            <w:shd w:val="clear" w:color="auto" w:fill="auto"/>
          </w:tcPr>
          <w:p w:rsidR="003A2D14" w:rsidRPr="00773E7E" w:rsidRDefault="003A2D14" w:rsidP="00773E7E">
            <w:pPr>
              <w:spacing w:before="40" w:after="40" w:line="220" w:lineRule="exact"/>
              <w:ind w:right="113"/>
              <w:jc w:val="center"/>
              <w:rPr>
                <w:sz w:val="17"/>
                <w:szCs w:val="17"/>
                <w:lang w:val="fr-FR"/>
              </w:rPr>
            </w:pPr>
            <w:r w:rsidRPr="00773E7E">
              <w:rPr>
                <w:sz w:val="17"/>
                <w:szCs w:val="17"/>
                <w:lang w:val="fr-FR"/>
              </w:rPr>
              <w:t>f)</w:t>
            </w:r>
          </w:p>
        </w:tc>
      </w:tr>
      <w:tr w:rsidR="00773E7E" w:rsidRPr="00773E7E" w:rsidTr="00773E7E">
        <w:tc>
          <w:tcPr>
            <w:tcW w:w="756"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2-Rev.1</w:t>
            </w:r>
          </w:p>
        </w:tc>
        <w:tc>
          <w:tcPr>
            <w:tcW w:w="7265"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(ISO) Rationale for the proposed amendments to Regulation No. 110 (CNG/LNG vehicles)</w:t>
            </w:r>
          </w:p>
        </w:tc>
        <w:tc>
          <w:tcPr>
            <w:tcW w:w="483" w:type="dxa"/>
            <w:shd w:val="clear" w:color="auto" w:fill="auto"/>
          </w:tcPr>
          <w:p w:rsidR="003A2D14" w:rsidRPr="00773E7E" w:rsidRDefault="003A2D14" w:rsidP="00773E7E">
            <w:pPr>
              <w:spacing w:before="40" w:after="40" w:line="220" w:lineRule="exact"/>
              <w:ind w:right="113"/>
              <w:jc w:val="center"/>
              <w:rPr>
                <w:sz w:val="17"/>
                <w:szCs w:val="17"/>
                <w:lang w:val="fr-FR"/>
              </w:rPr>
            </w:pPr>
            <w:r w:rsidRPr="00773E7E">
              <w:rPr>
                <w:sz w:val="17"/>
                <w:szCs w:val="17"/>
                <w:lang w:val="fr-FR"/>
              </w:rPr>
              <w:t>e)</w:t>
            </w:r>
          </w:p>
        </w:tc>
      </w:tr>
      <w:tr w:rsidR="00773E7E" w:rsidRPr="00773E7E" w:rsidTr="00773E7E">
        <w:tc>
          <w:tcPr>
            <w:tcW w:w="756"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3</w:t>
            </w:r>
          </w:p>
        </w:tc>
        <w:tc>
          <w:tcPr>
            <w:tcW w:w="7265"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(ISO) ISO standards referenced to in UN Regulation No. 110 (CNG/LNG vehicles)</w:t>
            </w:r>
          </w:p>
        </w:tc>
        <w:tc>
          <w:tcPr>
            <w:tcW w:w="483" w:type="dxa"/>
            <w:shd w:val="clear" w:color="auto" w:fill="auto"/>
          </w:tcPr>
          <w:p w:rsidR="003A2D14" w:rsidRPr="00773E7E" w:rsidRDefault="003A2D14" w:rsidP="00773E7E">
            <w:pPr>
              <w:spacing w:before="40" w:after="40" w:line="220" w:lineRule="exact"/>
              <w:ind w:right="113"/>
              <w:jc w:val="center"/>
              <w:rPr>
                <w:sz w:val="17"/>
                <w:szCs w:val="17"/>
                <w:lang w:val="fr-FR"/>
              </w:rPr>
            </w:pPr>
            <w:r w:rsidRPr="00773E7E">
              <w:rPr>
                <w:sz w:val="17"/>
                <w:szCs w:val="17"/>
                <w:lang w:val="fr-FR"/>
              </w:rPr>
              <w:t>f)</w:t>
            </w:r>
          </w:p>
        </w:tc>
      </w:tr>
      <w:tr w:rsidR="00773E7E" w:rsidRPr="00773E7E" w:rsidTr="00773E7E">
        <w:tc>
          <w:tcPr>
            <w:tcW w:w="756"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4</w:t>
            </w:r>
          </w:p>
        </w:tc>
        <w:tc>
          <w:tcPr>
            <w:tcW w:w="7265"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(UIT) ITU-T P.1140 06/15 on speech communication requirements for emergency calls originating from vehicles (AECS)</w:t>
            </w:r>
          </w:p>
        </w:tc>
        <w:tc>
          <w:tcPr>
            <w:tcW w:w="483" w:type="dxa"/>
            <w:shd w:val="clear" w:color="auto" w:fill="auto"/>
          </w:tcPr>
          <w:p w:rsidR="003A2D14" w:rsidRPr="00773E7E" w:rsidRDefault="003A2D14" w:rsidP="00773E7E">
            <w:pPr>
              <w:spacing w:before="40" w:after="40" w:line="220" w:lineRule="exact"/>
              <w:ind w:right="113"/>
              <w:jc w:val="center"/>
              <w:rPr>
                <w:sz w:val="17"/>
                <w:szCs w:val="17"/>
                <w:lang w:val="fr-FR"/>
              </w:rPr>
            </w:pPr>
            <w:r w:rsidRPr="00773E7E">
              <w:rPr>
                <w:sz w:val="17"/>
                <w:szCs w:val="17"/>
                <w:lang w:val="fr-FR"/>
              </w:rPr>
              <w:t>f)</w:t>
            </w:r>
          </w:p>
        </w:tc>
      </w:tr>
      <w:tr w:rsidR="00773E7E" w:rsidRPr="00773E7E" w:rsidTr="00773E7E">
        <w:tc>
          <w:tcPr>
            <w:tcW w:w="756"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5</w:t>
            </w:r>
          </w:p>
        </w:tc>
        <w:tc>
          <w:tcPr>
            <w:tcW w:w="7265"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(Pologne) Proposal for amendments to UN Regulation No. 43, document ECE/TRANS/WP.29/GRSG/2015/22 (Safety glazing)</w:t>
            </w:r>
          </w:p>
        </w:tc>
        <w:tc>
          <w:tcPr>
            <w:tcW w:w="483" w:type="dxa"/>
            <w:shd w:val="clear" w:color="auto" w:fill="auto"/>
          </w:tcPr>
          <w:p w:rsidR="003A2D14" w:rsidRPr="00773E7E" w:rsidRDefault="003A2D14" w:rsidP="00773E7E">
            <w:pPr>
              <w:spacing w:before="40" w:after="40" w:line="220" w:lineRule="exact"/>
              <w:ind w:right="113"/>
              <w:jc w:val="center"/>
              <w:rPr>
                <w:sz w:val="17"/>
                <w:szCs w:val="17"/>
                <w:lang w:val="fr-FR"/>
              </w:rPr>
            </w:pPr>
            <w:r w:rsidRPr="00773E7E">
              <w:rPr>
                <w:sz w:val="17"/>
                <w:szCs w:val="17"/>
                <w:lang w:val="fr-FR"/>
              </w:rPr>
              <w:t>e)</w:t>
            </w:r>
          </w:p>
        </w:tc>
      </w:tr>
      <w:tr w:rsidR="00773E7E" w:rsidRPr="00773E7E" w:rsidTr="00773E7E">
        <w:tc>
          <w:tcPr>
            <w:tcW w:w="756"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6</w:t>
            </w:r>
          </w:p>
        </w:tc>
        <w:tc>
          <w:tcPr>
            <w:tcW w:w="7265" w:type="dxa"/>
            <w:shd w:val="clear" w:color="auto" w:fill="auto"/>
          </w:tcPr>
          <w:p w:rsidR="003A2D14" w:rsidRPr="00773E7E" w:rsidRDefault="003A2D14" w:rsidP="00773E7E">
            <w:pPr>
              <w:spacing w:before="40" w:after="40" w:line="220" w:lineRule="exact"/>
              <w:ind w:right="113"/>
              <w:rPr>
                <w:spacing w:val="-6"/>
                <w:sz w:val="17"/>
                <w:szCs w:val="17"/>
                <w:lang w:val="fr-FR"/>
              </w:rPr>
            </w:pPr>
            <w:r w:rsidRPr="00773E7E">
              <w:rPr>
                <w:spacing w:val="-6"/>
                <w:sz w:val="17"/>
                <w:szCs w:val="17"/>
                <w:lang w:val="fr-FR"/>
              </w:rPr>
              <w:t>(AECS) Justification to document ECE/TRANS/WP.29/GRSG/2016/19 (Draft UN Regulation on AECS)</w:t>
            </w:r>
          </w:p>
        </w:tc>
        <w:tc>
          <w:tcPr>
            <w:tcW w:w="483" w:type="dxa"/>
            <w:shd w:val="clear" w:color="auto" w:fill="auto"/>
          </w:tcPr>
          <w:p w:rsidR="003A2D14" w:rsidRPr="00773E7E" w:rsidRDefault="003A2D14" w:rsidP="00773E7E">
            <w:pPr>
              <w:spacing w:before="40" w:after="40" w:line="220" w:lineRule="exact"/>
              <w:ind w:right="113"/>
              <w:jc w:val="center"/>
              <w:rPr>
                <w:sz w:val="17"/>
                <w:szCs w:val="17"/>
                <w:lang w:val="fr-FR"/>
              </w:rPr>
            </w:pPr>
            <w:r w:rsidRPr="00773E7E">
              <w:rPr>
                <w:sz w:val="17"/>
                <w:szCs w:val="17"/>
                <w:lang w:val="fr-FR"/>
              </w:rPr>
              <w:t>f)</w:t>
            </w:r>
          </w:p>
        </w:tc>
      </w:tr>
      <w:tr w:rsidR="00773E7E" w:rsidRPr="00773E7E" w:rsidTr="00773E7E">
        <w:tc>
          <w:tcPr>
            <w:tcW w:w="756"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7</w:t>
            </w:r>
          </w:p>
        </w:tc>
        <w:tc>
          <w:tcPr>
            <w:tcW w:w="7265" w:type="dxa"/>
            <w:shd w:val="clear" w:color="auto" w:fill="auto"/>
          </w:tcPr>
          <w:p w:rsidR="003A2D14" w:rsidRPr="00773E7E" w:rsidRDefault="003A2D14" w:rsidP="00773E7E">
            <w:pPr>
              <w:spacing w:before="40" w:after="40" w:line="220" w:lineRule="exact"/>
              <w:ind w:right="113"/>
              <w:rPr>
                <w:spacing w:val="-4"/>
                <w:sz w:val="17"/>
                <w:szCs w:val="17"/>
                <w:lang w:val="fr-FR"/>
              </w:rPr>
            </w:pPr>
            <w:r w:rsidRPr="00773E7E">
              <w:rPr>
                <w:spacing w:val="-4"/>
                <w:sz w:val="17"/>
                <w:szCs w:val="17"/>
                <w:lang w:val="fr-FR"/>
              </w:rPr>
              <w:t>(AECS) Proposal for amendments to ECE/TRANS/WP.29/GRSG/2016/19 (Draft UN Regulation on AECS)</w:t>
            </w:r>
          </w:p>
        </w:tc>
        <w:tc>
          <w:tcPr>
            <w:tcW w:w="483" w:type="dxa"/>
            <w:shd w:val="clear" w:color="auto" w:fill="auto"/>
          </w:tcPr>
          <w:p w:rsidR="003A2D14" w:rsidRPr="00773E7E" w:rsidRDefault="003A2D14" w:rsidP="00773E7E">
            <w:pPr>
              <w:spacing w:before="40" w:after="40" w:line="220" w:lineRule="exact"/>
              <w:ind w:right="113"/>
              <w:jc w:val="center"/>
              <w:rPr>
                <w:sz w:val="17"/>
                <w:szCs w:val="17"/>
                <w:lang w:val="fr-FR"/>
              </w:rPr>
            </w:pPr>
            <w:r w:rsidRPr="00773E7E">
              <w:rPr>
                <w:sz w:val="17"/>
                <w:szCs w:val="17"/>
                <w:lang w:val="fr-FR"/>
              </w:rPr>
              <w:t>f)</w:t>
            </w:r>
          </w:p>
        </w:tc>
      </w:tr>
      <w:tr w:rsidR="00773E7E" w:rsidRPr="00773E7E" w:rsidTr="00773E7E">
        <w:tc>
          <w:tcPr>
            <w:tcW w:w="756"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8</w:t>
            </w:r>
          </w:p>
        </w:tc>
        <w:tc>
          <w:tcPr>
            <w:tcW w:w="7265"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 xml:space="preserve">(OICA) Proposal for amendments to the 06 and 07 series of amendments to Regulation No. 107 </w:t>
            </w:r>
            <w:r w:rsidR="001E2511">
              <w:rPr>
                <w:sz w:val="17"/>
                <w:szCs w:val="17"/>
                <w:lang w:val="fr-FR"/>
              </w:rPr>
              <w:br/>
            </w:r>
            <w:r w:rsidRPr="00773E7E">
              <w:rPr>
                <w:sz w:val="17"/>
                <w:szCs w:val="17"/>
                <w:lang w:val="fr-FR"/>
              </w:rPr>
              <w:t>(M</w:t>
            </w:r>
            <w:r w:rsidRPr="00773E7E">
              <w:rPr>
                <w:sz w:val="17"/>
                <w:szCs w:val="17"/>
                <w:vertAlign w:val="subscript"/>
                <w:lang w:val="fr-FR"/>
              </w:rPr>
              <w:t>2</w:t>
            </w:r>
            <w:r w:rsidRPr="00773E7E">
              <w:rPr>
                <w:sz w:val="17"/>
                <w:szCs w:val="17"/>
                <w:lang w:val="fr-FR"/>
              </w:rPr>
              <w:t xml:space="preserve"> and M</w:t>
            </w:r>
            <w:r w:rsidRPr="00773E7E">
              <w:rPr>
                <w:sz w:val="17"/>
                <w:szCs w:val="17"/>
                <w:vertAlign w:val="subscript"/>
                <w:lang w:val="fr-FR"/>
              </w:rPr>
              <w:t>3</w:t>
            </w:r>
            <w:r w:rsidRPr="00773E7E">
              <w:rPr>
                <w:sz w:val="17"/>
                <w:szCs w:val="17"/>
                <w:lang w:val="fr-FR"/>
              </w:rPr>
              <w:t xml:space="preserve"> </w:t>
            </w:r>
            <w:proofErr w:type="spellStart"/>
            <w:r w:rsidRPr="00773E7E">
              <w:rPr>
                <w:sz w:val="17"/>
                <w:szCs w:val="17"/>
                <w:lang w:val="fr-FR"/>
              </w:rPr>
              <w:t>vehicles</w:t>
            </w:r>
            <w:proofErr w:type="spellEnd"/>
            <w:r w:rsidRPr="00773E7E">
              <w:rPr>
                <w:sz w:val="17"/>
                <w:szCs w:val="17"/>
                <w:lang w:val="fr-FR"/>
              </w:rPr>
              <w:t>)</w:t>
            </w:r>
          </w:p>
        </w:tc>
        <w:tc>
          <w:tcPr>
            <w:tcW w:w="483" w:type="dxa"/>
            <w:shd w:val="clear" w:color="auto" w:fill="auto"/>
          </w:tcPr>
          <w:p w:rsidR="003A2D14" w:rsidRPr="00773E7E" w:rsidRDefault="003A2D14" w:rsidP="00773E7E">
            <w:pPr>
              <w:spacing w:before="40" w:after="40" w:line="220" w:lineRule="exact"/>
              <w:ind w:right="113"/>
              <w:jc w:val="center"/>
              <w:rPr>
                <w:sz w:val="17"/>
                <w:szCs w:val="17"/>
                <w:lang w:val="fr-FR"/>
              </w:rPr>
            </w:pPr>
            <w:r w:rsidRPr="00773E7E">
              <w:rPr>
                <w:sz w:val="17"/>
                <w:szCs w:val="17"/>
                <w:lang w:val="fr-FR"/>
              </w:rPr>
              <w:t>a)</w:t>
            </w:r>
          </w:p>
        </w:tc>
      </w:tr>
      <w:tr w:rsidR="00773E7E" w:rsidRPr="00773E7E" w:rsidTr="00773E7E">
        <w:tc>
          <w:tcPr>
            <w:tcW w:w="756"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9</w:t>
            </w:r>
          </w:p>
        </w:tc>
        <w:tc>
          <w:tcPr>
            <w:tcW w:w="7265"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 xml:space="preserve">(OICA) Proposal for amendments to the 05, 06 and 07 series of amendments to Regulation No. 107 </w:t>
            </w:r>
            <w:r w:rsidR="001E2511">
              <w:rPr>
                <w:sz w:val="17"/>
                <w:szCs w:val="17"/>
                <w:lang w:val="fr-FR"/>
              </w:rPr>
              <w:br/>
            </w:r>
            <w:r w:rsidRPr="00773E7E">
              <w:rPr>
                <w:sz w:val="17"/>
                <w:szCs w:val="17"/>
                <w:lang w:val="fr-FR"/>
              </w:rPr>
              <w:t>(M</w:t>
            </w:r>
            <w:r w:rsidRPr="00773E7E">
              <w:rPr>
                <w:sz w:val="17"/>
                <w:szCs w:val="17"/>
                <w:vertAlign w:val="subscript"/>
                <w:lang w:val="fr-FR"/>
              </w:rPr>
              <w:t>2</w:t>
            </w:r>
            <w:r w:rsidRPr="00773E7E">
              <w:rPr>
                <w:sz w:val="17"/>
                <w:szCs w:val="17"/>
                <w:lang w:val="fr-FR"/>
              </w:rPr>
              <w:t xml:space="preserve"> and M</w:t>
            </w:r>
            <w:r w:rsidRPr="00773E7E">
              <w:rPr>
                <w:sz w:val="17"/>
                <w:szCs w:val="17"/>
                <w:vertAlign w:val="subscript"/>
                <w:lang w:val="fr-FR"/>
              </w:rPr>
              <w:t>3</w:t>
            </w:r>
            <w:r w:rsidRPr="00773E7E">
              <w:rPr>
                <w:sz w:val="17"/>
                <w:szCs w:val="17"/>
                <w:lang w:val="fr-FR"/>
              </w:rPr>
              <w:t xml:space="preserve"> </w:t>
            </w:r>
            <w:proofErr w:type="spellStart"/>
            <w:r w:rsidRPr="00773E7E">
              <w:rPr>
                <w:sz w:val="17"/>
                <w:szCs w:val="17"/>
                <w:lang w:val="fr-FR"/>
              </w:rPr>
              <w:t>vehicles</w:t>
            </w:r>
            <w:proofErr w:type="spellEnd"/>
            <w:r w:rsidRPr="00773E7E">
              <w:rPr>
                <w:sz w:val="17"/>
                <w:szCs w:val="17"/>
                <w:lang w:val="fr-FR"/>
              </w:rPr>
              <w:t>)</w:t>
            </w:r>
          </w:p>
        </w:tc>
        <w:tc>
          <w:tcPr>
            <w:tcW w:w="483" w:type="dxa"/>
            <w:shd w:val="clear" w:color="auto" w:fill="auto"/>
          </w:tcPr>
          <w:p w:rsidR="003A2D14" w:rsidRPr="00773E7E" w:rsidRDefault="003A2D14" w:rsidP="00773E7E">
            <w:pPr>
              <w:spacing w:before="40" w:after="40" w:line="220" w:lineRule="exact"/>
              <w:ind w:right="113"/>
              <w:jc w:val="center"/>
              <w:rPr>
                <w:sz w:val="17"/>
                <w:szCs w:val="17"/>
                <w:lang w:val="fr-FR"/>
              </w:rPr>
            </w:pPr>
            <w:r w:rsidRPr="00773E7E">
              <w:rPr>
                <w:sz w:val="17"/>
                <w:szCs w:val="17"/>
                <w:lang w:val="fr-FR"/>
              </w:rPr>
              <w:t>e)</w:t>
            </w:r>
          </w:p>
        </w:tc>
      </w:tr>
      <w:tr w:rsidR="00773E7E" w:rsidRPr="00773E7E" w:rsidTr="00773E7E">
        <w:tc>
          <w:tcPr>
            <w:tcW w:w="756"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10</w:t>
            </w:r>
          </w:p>
        </w:tc>
        <w:tc>
          <w:tcPr>
            <w:tcW w:w="7265"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 xml:space="preserve">(OICA) Proposal for Corrigendum to the 01 series of amendments to Regulation No. 39 </w:t>
            </w:r>
            <w:r w:rsidR="001E2511">
              <w:rPr>
                <w:sz w:val="17"/>
                <w:szCs w:val="17"/>
                <w:lang w:val="fr-FR"/>
              </w:rPr>
              <w:br/>
            </w:r>
            <w:r w:rsidRPr="00773E7E">
              <w:rPr>
                <w:sz w:val="17"/>
                <w:szCs w:val="17"/>
                <w:lang w:val="fr-FR"/>
              </w:rPr>
              <w:t>(</w:t>
            </w:r>
            <w:proofErr w:type="spellStart"/>
            <w:r w:rsidRPr="00773E7E">
              <w:rPr>
                <w:sz w:val="17"/>
                <w:szCs w:val="17"/>
                <w:lang w:val="fr-FR"/>
              </w:rPr>
              <w:t>Speedometer</w:t>
            </w:r>
            <w:proofErr w:type="spellEnd"/>
            <w:r w:rsidRPr="00773E7E">
              <w:rPr>
                <w:sz w:val="17"/>
                <w:szCs w:val="17"/>
                <w:lang w:val="fr-FR"/>
              </w:rPr>
              <w:t xml:space="preserve"> and </w:t>
            </w:r>
            <w:proofErr w:type="spellStart"/>
            <w:r w:rsidRPr="00773E7E">
              <w:rPr>
                <w:sz w:val="17"/>
                <w:szCs w:val="17"/>
                <w:lang w:val="fr-FR"/>
              </w:rPr>
              <w:t>odometer</w:t>
            </w:r>
            <w:proofErr w:type="spellEnd"/>
            <w:r w:rsidRPr="00773E7E">
              <w:rPr>
                <w:sz w:val="17"/>
                <w:szCs w:val="17"/>
                <w:lang w:val="fr-FR"/>
              </w:rPr>
              <w:t>)</w:t>
            </w:r>
          </w:p>
        </w:tc>
        <w:tc>
          <w:tcPr>
            <w:tcW w:w="483" w:type="dxa"/>
            <w:shd w:val="clear" w:color="auto" w:fill="auto"/>
          </w:tcPr>
          <w:p w:rsidR="003A2D14" w:rsidRPr="00773E7E" w:rsidRDefault="003A2D14" w:rsidP="00773E7E">
            <w:pPr>
              <w:spacing w:before="40" w:after="40" w:line="220" w:lineRule="exact"/>
              <w:ind w:right="113"/>
              <w:jc w:val="center"/>
              <w:rPr>
                <w:sz w:val="17"/>
                <w:szCs w:val="17"/>
                <w:lang w:val="fr-FR"/>
              </w:rPr>
            </w:pPr>
            <w:r w:rsidRPr="00773E7E">
              <w:rPr>
                <w:sz w:val="17"/>
                <w:szCs w:val="17"/>
                <w:lang w:val="fr-FR"/>
              </w:rPr>
              <w:t>a)</w:t>
            </w:r>
          </w:p>
        </w:tc>
      </w:tr>
      <w:tr w:rsidR="00773E7E" w:rsidRPr="00773E7E" w:rsidTr="00773E7E">
        <w:tc>
          <w:tcPr>
            <w:tcW w:w="756"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11</w:t>
            </w:r>
          </w:p>
        </w:tc>
        <w:tc>
          <w:tcPr>
            <w:tcW w:w="7265"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 xml:space="preserve">(OICA) Proposal for amendments to ECE/TRANS/WP.29/GRSG/2016/21 on Regulation No. 43 </w:t>
            </w:r>
            <w:r w:rsidR="001E2511">
              <w:rPr>
                <w:sz w:val="17"/>
                <w:szCs w:val="17"/>
                <w:lang w:val="fr-FR"/>
              </w:rPr>
              <w:br/>
            </w:r>
            <w:r w:rsidRPr="00773E7E">
              <w:rPr>
                <w:sz w:val="17"/>
                <w:szCs w:val="17"/>
                <w:lang w:val="fr-FR"/>
              </w:rPr>
              <w:t>(</w:t>
            </w:r>
            <w:proofErr w:type="spellStart"/>
            <w:r w:rsidRPr="00773E7E">
              <w:rPr>
                <w:sz w:val="17"/>
                <w:szCs w:val="17"/>
                <w:lang w:val="fr-FR"/>
              </w:rPr>
              <w:t>Safety</w:t>
            </w:r>
            <w:proofErr w:type="spellEnd"/>
            <w:r w:rsidRPr="00773E7E">
              <w:rPr>
                <w:sz w:val="17"/>
                <w:szCs w:val="17"/>
                <w:lang w:val="fr-FR"/>
              </w:rPr>
              <w:t xml:space="preserve"> </w:t>
            </w:r>
            <w:proofErr w:type="spellStart"/>
            <w:r w:rsidRPr="00773E7E">
              <w:rPr>
                <w:sz w:val="17"/>
                <w:szCs w:val="17"/>
                <w:lang w:val="fr-FR"/>
              </w:rPr>
              <w:t>glazing</w:t>
            </w:r>
            <w:proofErr w:type="spellEnd"/>
            <w:r w:rsidRPr="00773E7E">
              <w:rPr>
                <w:sz w:val="17"/>
                <w:szCs w:val="17"/>
                <w:lang w:val="fr-FR"/>
              </w:rPr>
              <w:t>)</w:t>
            </w:r>
          </w:p>
        </w:tc>
        <w:tc>
          <w:tcPr>
            <w:tcW w:w="483" w:type="dxa"/>
            <w:shd w:val="clear" w:color="auto" w:fill="auto"/>
          </w:tcPr>
          <w:p w:rsidR="003A2D14" w:rsidRPr="00773E7E" w:rsidRDefault="003A2D14" w:rsidP="00773E7E">
            <w:pPr>
              <w:spacing w:before="40" w:after="40" w:line="220" w:lineRule="exact"/>
              <w:ind w:right="113"/>
              <w:jc w:val="center"/>
              <w:rPr>
                <w:sz w:val="17"/>
                <w:szCs w:val="17"/>
                <w:lang w:val="fr-FR"/>
              </w:rPr>
            </w:pPr>
            <w:r w:rsidRPr="00773E7E">
              <w:rPr>
                <w:sz w:val="17"/>
                <w:szCs w:val="17"/>
                <w:lang w:val="fr-FR"/>
              </w:rPr>
              <w:t>b)</w:t>
            </w:r>
          </w:p>
        </w:tc>
      </w:tr>
      <w:tr w:rsidR="00773E7E" w:rsidRPr="00773E7E" w:rsidTr="00773E7E">
        <w:tc>
          <w:tcPr>
            <w:tcW w:w="756"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12</w:t>
            </w:r>
          </w:p>
        </w:tc>
        <w:tc>
          <w:tcPr>
            <w:tcW w:w="7265"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(CLEPA) Proposal for amendments to Regulation No. 43 (Safety glazing)</w:t>
            </w:r>
          </w:p>
        </w:tc>
        <w:tc>
          <w:tcPr>
            <w:tcW w:w="483" w:type="dxa"/>
            <w:shd w:val="clear" w:color="auto" w:fill="auto"/>
          </w:tcPr>
          <w:p w:rsidR="003A2D14" w:rsidRPr="00773E7E" w:rsidRDefault="003A2D14" w:rsidP="00773E7E">
            <w:pPr>
              <w:spacing w:before="40" w:after="40" w:line="220" w:lineRule="exact"/>
              <w:ind w:right="113"/>
              <w:jc w:val="center"/>
              <w:rPr>
                <w:sz w:val="17"/>
                <w:szCs w:val="17"/>
                <w:lang w:val="fr-FR"/>
              </w:rPr>
            </w:pPr>
            <w:r w:rsidRPr="00773E7E">
              <w:rPr>
                <w:sz w:val="17"/>
                <w:szCs w:val="17"/>
                <w:lang w:val="fr-FR"/>
              </w:rPr>
              <w:t>f)</w:t>
            </w:r>
          </w:p>
        </w:tc>
      </w:tr>
      <w:tr w:rsidR="00773E7E" w:rsidRPr="00773E7E" w:rsidTr="00773E7E">
        <w:tc>
          <w:tcPr>
            <w:tcW w:w="756"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13</w:t>
            </w:r>
          </w:p>
        </w:tc>
        <w:tc>
          <w:tcPr>
            <w:tcW w:w="7265"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 xml:space="preserve">(Fédération de Russie) </w:t>
            </w:r>
            <w:proofErr w:type="spellStart"/>
            <w:r w:rsidRPr="00773E7E">
              <w:rPr>
                <w:sz w:val="17"/>
                <w:szCs w:val="17"/>
                <w:lang w:val="fr-FR"/>
              </w:rPr>
              <w:t>Proposal</w:t>
            </w:r>
            <w:proofErr w:type="spellEnd"/>
            <w:r w:rsidRPr="00773E7E">
              <w:rPr>
                <w:sz w:val="17"/>
                <w:szCs w:val="17"/>
                <w:lang w:val="fr-FR"/>
              </w:rPr>
              <w:t xml:space="preserve"> for </w:t>
            </w:r>
            <w:proofErr w:type="spellStart"/>
            <w:r w:rsidRPr="00773E7E">
              <w:rPr>
                <w:sz w:val="17"/>
                <w:szCs w:val="17"/>
                <w:lang w:val="fr-FR"/>
              </w:rPr>
              <w:t>amendments</w:t>
            </w:r>
            <w:proofErr w:type="spellEnd"/>
            <w:r w:rsidRPr="00773E7E">
              <w:rPr>
                <w:sz w:val="17"/>
                <w:szCs w:val="17"/>
                <w:lang w:val="fr-FR"/>
              </w:rPr>
              <w:t xml:space="preserve"> to ECE/TRANS/WP.29/GRSG/2016/19 </w:t>
            </w:r>
            <w:r w:rsidR="001E2511">
              <w:rPr>
                <w:sz w:val="17"/>
                <w:szCs w:val="17"/>
                <w:lang w:val="fr-FR"/>
              </w:rPr>
              <w:br/>
            </w:r>
            <w:r w:rsidRPr="00773E7E">
              <w:rPr>
                <w:sz w:val="17"/>
                <w:szCs w:val="17"/>
                <w:lang w:val="fr-FR"/>
              </w:rPr>
              <w:t>(</w:t>
            </w:r>
            <w:proofErr w:type="spellStart"/>
            <w:r w:rsidRPr="00773E7E">
              <w:rPr>
                <w:sz w:val="17"/>
                <w:szCs w:val="17"/>
                <w:lang w:val="fr-FR"/>
              </w:rPr>
              <w:t>Draft</w:t>
            </w:r>
            <w:proofErr w:type="spellEnd"/>
            <w:r w:rsidRPr="00773E7E">
              <w:rPr>
                <w:sz w:val="17"/>
                <w:szCs w:val="17"/>
                <w:lang w:val="fr-FR"/>
              </w:rPr>
              <w:t xml:space="preserve"> </w:t>
            </w:r>
            <w:proofErr w:type="spellStart"/>
            <w:r w:rsidRPr="00773E7E">
              <w:rPr>
                <w:sz w:val="17"/>
                <w:szCs w:val="17"/>
                <w:lang w:val="fr-FR"/>
              </w:rPr>
              <w:t>Regulation</w:t>
            </w:r>
            <w:proofErr w:type="spellEnd"/>
            <w:r w:rsidRPr="00773E7E">
              <w:rPr>
                <w:sz w:val="17"/>
                <w:szCs w:val="17"/>
                <w:lang w:val="fr-FR"/>
              </w:rPr>
              <w:t xml:space="preserve"> on Accident Emergency Call Systems)</w:t>
            </w:r>
          </w:p>
        </w:tc>
        <w:tc>
          <w:tcPr>
            <w:tcW w:w="483" w:type="dxa"/>
            <w:shd w:val="clear" w:color="auto" w:fill="auto"/>
          </w:tcPr>
          <w:p w:rsidR="003A2D14" w:rsidRPr="00773E7E" w:rsidRDefault="003A2D14" w:rsidP="00773E7E">
            <w:pPr>
              <w:spacing w:before="40" w:after="40" w:line="220" w:lineRule="exact"/>
              <w:ind w:right="113"/>
              <w:jc w:val="center"/>
              <w:rPr>
                <w:sz w:val="17"/>
                <w:szCs w:val="17"/>
                <w:lang w:val="fr-FR"/>
              </w:rPr>
            </w:pPr>
            <w:r w:rsidRPr="00773E7E">
              <w:rPr>
                <w:sz w:val="17"/>
                <w:szCs w:val="17"/>
                <w:lang w:val="fr-FR"/>
              </w:rPr>
              <w:t>f)</w:t>
            </w:r>
          </w:p>
        </w:tc>
      </w:tr>
      <w:tr w:rsidR="00773E7E" w:rsidRPr="00773E7E" w:rsidTr="00773E7E">
        <w:tc>
          <w:tcPr>
            <w:tcW w:w="756"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14</w:t>
            </w:r>
          </w:p>
        </w:tc>
        <w:tc>
          <w:tcPr>
            <w:tcW w:w="7265"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(OICA) Proposal for amendments to Regulation No. 121 (Controls and tell-tales)</w:t>
            </w:r>
          </w:p>
        </w:tc>
        <w:tc>
          <w:tcPr>
            <w:tcW w:w="483" w:type="dxa"/>
            <w:shd w:val="clear" w:color="auto" w:fill="auto"/>
          </w:tcPr>
          <w:p w:rsidR="003A2D14" w:rsidRPr="00773E7E" w:rsidRDefault="003A2D14" w:rsidP="00773E7E">
            <w:pPr>
              <w:spacing w:before="40" w:after="40" w:line="220" w:lineRule="exact"/>
              <w:ind w:right="113"/>
              <w:jc w:val="center"/>
              <w:rPr>
                <w:sz w:val="17"/>
                <w:szCs w:val="17"/>
                <w:lang w:val="fr-FR"/>
              </w:rPr>
            </w:pPr>
            <w:r w:rsidRPr="00773E7E">
              <w:rPr>
                <w:sz w:val="17"/>
                <w:szCs w:val="17"/>
                <w:lang w:val="fr-FR"/>
              </w:rPr>
              <w:t>c)</w:t>
            </w:r>
          </w:p>
        </w:tc>
      </w:tr>
      <w:tr w:rsidR="00773E7E" w:rsidRPr="00773E7E" w:rsidTr="00773E7E">
        <w:tc>
          <w:tcPr>
            <w:tcW w:w="756"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15</w:t>
            </w:r>
          </w:p>
        </w:tc>
        <w:tc>
          <w:tcPr>
            <w:tcW w:w="7265"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(OICA) Proposal for amendments to ECE/TRANS/WP.29/GRSG/2016/19 (AECC)</w:t>
            </w:r>
          </w:p>
        </w:tc>
        <w:tc>
          <w:tcPr>
            <w:tcW w:w="483" w:type="dxa"/>
            <w:shd w:val="clear" w:color="auto" w:fill="auto"/>
          </w:tcPr>
          <w:p w:rsidR="003A2D14" w:rsidRPr="00773E7E" w:rsidRDefault="003A2D14" w:rsidP="00773E7E">
            <w:pPr>
              <w:spacing w:before="40" w:after="40" w:line="220" w:lineRule="exact"/>
              <w:ind w:right="113"/>
              <w:jc w:val="center"/>
              <w:rPr>
                <w:sz w:val="17"/>
                <w:szCs w:val="17"/>
                <w:lang w:val="fr-FR"/>
              </w:rPr>
            </w:pPr>
            <w:r w:rsidRPr="00773E7E">
              <w:rPr>
                <w:sz w:val="17"/>
                <w:szCs w:val="17"/>
                <w:lang w:val="fr-FR"/>
              </w:rPr>
              <w:t>f)</w:t>
            </w:r>
          </w:p>
        </w:tc>
      </w:tr>
      <w:tr w:rsidR="00773E7E" w:rsidRPr="00773E7E" w:rsidTr="00773E7E">
        <w:tc>
          <w:tcPr>
            <w:tcW w:w="756"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16</w:t>
            </w:r>
          </w:p>
        </w:tc>
        <w:tc>
          <w:tcPr>
            <w:tcW w:w="7265"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(IRU) Proposal for amendments to UN Regulation No. 107 (M</w:t>
            </w:r>
            <w:r w:rsidRPr="00773E7E">
              <w:rPr>
                <w:sz w:val="17"/>
                <w:szCs w:val="17"/>
                <w:vertAlign w:val="subscript"/>
                <w:lang w:val="fr-FR"/>
              </w:rPr>
              <w:t>2</w:t>
            </w:r>
            <w:r w:rsidRPr="00773E7E">
              <w:rPr>
                <w:sz w:val="17"/>
                <w:szCs w:val="17"/>
                <w:lang w:val="fr-FR"/>
              </w:rPr>
              <w:t xml:space="preserve"> and M</w:t>
            </w:r>
            <w:r w:rsidRPr="00773E7E">
              <w:rPr>
                <w:sz w:val="17"/>
                <w:szCs w:val="17"/>
                <w:vertAlign w:val="subscript"/>
                <w:lang w:val="fr-FR"/>
              </w:rPr>
              <w:t>3</w:t>
            </w:r>
            <w:r w:rsidRPr="00773E7E">
              <w:rPr>
                <w:sz w:val="17"/>
                <w:szCs w:val="17"/>
                <w:lang w:val="fr-FR"/>
              </w:rPr>
              <w:t xml:space="preserve"> vehicles)</w:t>
            </w:r>
          </w:p>
        </w:tc>
        <w:tc>
          <w:tcPr>
            <w:tcW w:w="483" w:type="dxa"/>
            <w:shd w:val="clear" w:color="auto" w:fill="auto"/>
          </w:tcPr>
          <w:p w:rsidR="003A2D14" w:rsidRPr="00773E7E" w:rsidRDefault="003A2D14" w:rsidP="00773E7E">
            <w:pPr>
              <w:spacing w:before="40" w:after="40" w:line="220" w:lineRule="exact"/>
              <w:ind w:right="113"/>
              <w:jc w:val="center"/>
              <w:rPr>
                <w:sz w:val="17"/>
                <w:szCs w:val="17"/>
                <w:lang w:val="fr-FR"/>
              </w:rPr>
            </w:pPr>
            <w:r w:rsidRPr="00773E7E">
              <w:rPr>
                <w:sz w:val="17"/>
                <w:szCs w:val="17"/>
                <w:lang w:val="fr-FR"/>
              </w:rPr>
              <w:t>f)</w:t>
            </w:r>
          </w:p>
        </w:tc>
      </w:tr>
      <w:tr w:rsidR="00773E7E" w:rsidRPr="00773E7E" w:rsidTr="00773E7E">
        <w:tc>
          <w:tcPr>
            <w:tcW w:w="756"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17</w:t>
            </w:r>
          </w:p>
        </w:tc>
        <w:tc>
          <w:tcPr>
            <w:tcW w:w="7265"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(Pologne) UN Regulation No. 67 (LPG vehicles) - Draft proposal for Supplement x to the xx series of amendments</w:t>
            </w:r>
          </w:p>
        </w:tc>
        <w:tc>
          <w:tcPr>
            <w:tcW w:w="483" w:type="dxa"/>
            <w:shd w:val="clear" w:color="auto" w:fill="auto"/>
          </w:tcPr>
          <w:p w:rsidR="003A2D14" w:rsidRPr="00773E7E" w:rsidRDefault="003A2D14" w:rsidP="00773E7E">
            <w:pPr>
              <w:spacing w:before="40" w:after="40" w:line="220" w:lineRule="exact"/>
              <w:ind w:right="113"/>
              <w:jc w:val="center"/>
              <w:rPr>
                <w:sz w:val="17"/>
                <w:szCs w:val="17"/>
                <w:lang w:val="fr-FR"/>
              </w:rPr>
            </w:pPr>
            <w:r w:rsidRPr="00773E7E">
              <w:rPr>
                <w:sz w:val="17"/>
                <w:szCs w:val="17"/>
                <w:lang w:val="fr-FR"/>
              </w:rPr>
              <w:t>e)</w:t>
            </w:r>
          </w:p>
        </w:tc>
      </w:tr>
      <w:tr w:rsidR="00773E7E" w:rsidRPr="00773E7E" w:rsidTr="00773E7E">
        <w:tc>
          <w:tcPr>
            <w:tcW w:w="756"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18</w:t>
            </w:r>
          </w:p>
        </w:tc>
        <w:tc>
          <w:tcPr>
            <w:tcW w:w="7265"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(Japon) Proposal for amendments to ECE/TRANS/WP.29/GRSG/2016/16 (UN R110)</w:t>
            </w:r>
          </w:p>
        </w:tc>
        <w:tc>
          <w:tcPr>
            <w:tcW w:w="483" w:type="dxa"/>
            <w:shd w:val="clear" w:color="auto" w:fill="auto"/>
          </w:tcPr>
          <w:p w:rsidR="003A2D14" w:rsidRPr="00773E7E" w:rsidRDefault="003A2D14" w:rsidP="00773E7E">
            <w:pPr>
              <w:spacing w:before="40" w:after="40" w:line="220" w:lineRule="exact"/>
              <w:ind w:right="113"/>
              <w:jc w:val="center"/>
              <w:rPr>
                <w:sz w:val="17"/>
                <w:szCs w:val="17"/>
                <w:lang w:val="fr-FR"/>
              </w:rPr>
            </w:pPr>
            <w:r w:rsidRPr="00773E7E">
              <w:rPr>
                <w:sz w:val="17"/>
                <w:szCs w:val="17"/>
                <w:lang w:val="fr-FR"/>
              </w:rPr>
              <w:t>f)</w:t>
            </w:r>
          </w:p>
        </w:tc>
      </w:tr>
      <w:tr w:rsidR="00773E7E" w:rsidRPr="00773E7E" w:rsidTr="00773E7E">
        <w:tc>
          <w:tcPr>
            <w:tcW w:w="756" w:type="dxa"/>
            <w:shd w:val="clear" w:color="auto" w:fill="auto"/>
          </w:tcPr>
          <w:p w:rsidR="003A2D14" w:rsidRPr="00773E7E" w:rsidRDefault="003A2D14" w:rsidP="00773E7E">
            <w:pPr>
              <w:spacing w:before="40" w:after="40" w:line="220" w:lineRule="exact"/>
              <w:ind w:right="113"/>
              <w:rPr>
                <w:spacing w:val="-6"/>
                <w:sz w:val="17"/>
                <w:szCs w:val="17"/>
                <w:lang w:val="fr-FR"/>
              </w:rPr>
            </w:pPr>
            <w:r w:rsidRPr="00773E7E">
              <w:rPr>
                <w:spacing w:val="-6"/>
                <w:sz w:val="17"/>
                <w:szCs w:val="17"/>
                <w:lang w:val="fr-FR"/>
              </w:rPr>
              <w:t>19-Rev.1</w:t>
            </w:r>
          </w:p>
        </w:tc>
        <w:tc>
          <w:tcPr>
            <w:tcW w:w="7265"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(Pays-Bas) Updated proposal for amendments to UN Regulation No. 67 (Equipment for liquefied petroleum gas (LPG))</w:t>
            </w:r>
          </w:p>
        </w:tc>
        <w:tc>
          <w:tcPr>
            <w:tcW w:w="483" w:type="dxa"/>
            <w:shd w:val="clear" w:color="auto" w:fill="auto"/>
          </w:tcPr>
          <w:p w:rsidR="003A2D14" w:rsidRPr="00773E7E" w:rsidRDefault="003A2D14" w:rsidP="00773E7E">
            <w:pPr>
              <w:spacing w:before="40" w:after="40" w:line="220" w:lineRule="exact"/>
              <w:ind w:right="113"/>
              <w:jc w:val="center"/>
              <w:rPr>
                <w:sz w:val="17"/>
                <w:szCs w:val="17"/>
                <w:lang w:val="fr-FR"/>
              </w:rPr>
            </w:pPr>
            <w:r w:rsidRPr="00773E7E">
              <w:rPr>
                <w:sz w:val="17"/>
                <w:szCs w:val="17"/>
                <w:lang w:val="fr-FR"/>
              </w:rPr>
              <w:t>c)</w:t>
            </w:r>
          </w:p>
        </w:tc>
      </w:tr>
      <w:tr w:rsidR="00773E7E" w:rsidRPr="00773E7E" w:rsidTr="00773E7E">
        <w:tc>
          <w:tcPr>
            <w:tcW w:w="756"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20</w:t>
            </w:r>
          </w:p>
        </w:tc>
        <w:tc>
          <w:tcPr>
            <w:tcW w:w="7265"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(Pays-Bas) Proposal for amendments to Regulation No. 110 (CNG/LNG vehicles)</w:t>
            </w:r>
          </w:p>
        </w:tc>
        <w:tc>
          <w:tcPr>
            <w:tcW w:w="483" w:type="dxa"/>
            <w:shd w:val="clear" w:color="auto" w:fill="auto"/>
          </w:tcPr>
          <w:p w:rsidR="003A2D14" w:rsidRPr="00773E7E" w:rsidRDefault="003A2D14" w:rsidP="00773E7E">
            <w:pPr>
              <w:spacing w:before="40" w:after="40" w:line="220" w:lineRule="exact"/>
              <w:ind w:right="113"/>
              <w:jc w:val="center"/>
              <w:rPr>
                <w:sz w:val="17"/>
                <w:szCs w:val="17"/>
                <w:lang w:val="fr-FR"/>
              </w:rPr>
            </w:pPr>
            <w:r w:rsidRPr="00773E7E">
              <w:rPr>
                <w:sz w:val="17"/>
                <w:szCs w:val="17"/>
                <w:lang w:val="fr-FR"/>
              </w:rPr>
              <w:t>c)</w:t>
            </w:r>
          </w:p>
        </w:tc>
      </w:tr>
      <w:tr w:rsidR="00773E7E" w:rsidRPr="00773E7E" w:rsidTr="00773E7E">
        <w:tc>
          <w:tcPr>
            <w:tcW w:w="756"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21</w:t>
            </w:r>
          </w:p>
        </w:tc>
        <w:tc>
          <w:tcPr>
            <w:tcW w:w="7265"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(Belgique) A detailed analysis on the compatibility or incompatibility of the scopes and technical provisions for trolleybuses of UN Regulations Nos. 100 and 107</w:t>
            </w:r>
          </w:p>
        </w:tc>
        <w:tc>
          <w:tcPr>
            <w:tcW w:w="483" w:type="dxa"/>
            <w:shd w:val="clear" w:color="auto" w:fill="auto"/>
          </w:tcPr>
          <w:p w:rsidR="003A2D14" w:rsidRPr="00773E7E" w:rsidRDefault="003A2D14" w:rsidP="00773E7E">
            <w:pPr>
              <w:spacing w:before="40" w:after="40" w:line="220" w:lineRule="exact"/>
              <w:ind w:right="113"/>
              <w:jc w:val="center"/>
              <w:rPr>
                <w:sz w:val="17"/>
                <w:szCs w:val="17"/>
                <w:lang w:val="fr-FR"/>
              </w:rPr>
            </w:pPr>
            <w:r w:rsidRPr="00773E7E">
              <w:rPr>
                <w:sz w:val="17"/>
                <w:szCs w:val="17"/>
                <w:lang w:val="fr-FR"/>
              </w:rPr>
              <w:t>c)</w:t>
            </w:r>
          </w:p>
        </w:tc>
      </w:tr>
      <w:tr w:rsidR="00773E7E" w:rsidRPr="00773E7E" w:rsidTr="00773E7E">
        <w:trPr>
          <w:cantSplit/>
        </w:trPr>
        <w:tc>
          <w:tcPr>
            <w:tcW w:w="756"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22</w:t>
            </w:r>
          </w:p>
        </w:tc>
        <w:tc>
          <w:tcPr>
            <w:tcW w:w="7265"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(Japon) Report by the Task Force UN-R46 (5th meeting held in Paris)</w:t>
            </w:r>
          </w:p>
        </w:tc>
        <w:tc>
          <w:tcPr>
            <w:tcW w:w="483" w:type="dxa"/>
            <w:shd w:val="clear" w:color="auto" w:fill="auto"/>
          </w:tcPr>
          <w:p w:rsidR="003A2D14" w:rsidRPr="00773E7E" w:rsidRDefault="003A2D14" w:rsidP="00773E7E">
            <w:pPr>
              <w:spacing w:before="40" w:after="40" w:line="220" w:lineRule="exact"/>
              <w:ind w:right="113"/>
              <w:jc w:val="center"/>
              <w:rPr>
                <w:sz w:val="17"/>
                <w:szCs w:val="17"/>
                <w:lang w:val="fr-FR"/>
              </w:rPr>
            </w:pPr>
            <w:r w:rsidRPr="00773E7E">
              <w:rPr>
                <w:sz w:val="17"/>
                <w:szCs w:val="17"/>
                <w:lang w:val="fr-FR"/>
              </w:rPr>
              <w:t>f)</w:t>
            </w:r>
          </w:p>
        </w:tc>
      </w:tr>
      <w:tr w:rsidR="00773E7E" w:rsidRPr="00773E7E" w:rsidTr="00773E7E">
        <w:tc>
          <w:tcPr>
            <w:tcW w:w="756"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23</w:t>
            </w:r>
          </w:p>
        </w:tc>
        <w:tc>
          <w:tcPr>
            <w:tcW w:w="7265"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(Japon) Proposal for amendment to Regulation No. 46 (Devices for indirect vision)</w:t>
            </w:r>
          </w:p>
        </w:tc>
        <w:tc>
          <w:tcPr>
            <w:tcW w:w="483" w:type="dxa"/>
            <w:shd w:val="clear" w:color="auto" w:fill="auto"/>
          </w:tcPr>
          <w:p w:rsidR="003A2D14" w:rsidRPr="00773E7E" w:rsidRDefault="003A2D14" w:rsidP="00773E7E">
            <w:pPr>
              <w:spacing w:before="40" w:after="40" w:line="220" w:lineRule="exact"/>
              <w:ind w:right="113"/>
              <w:jc w:val="center"/>
              <w:rPr>
                <w:sz w:val="17"/>
                <w:szCs w:val="17"/>
                <w:lang w:val="fr-FR"/>
              </w:rPr>
            </w:pPr>
            <w:r w:rsidRPr="00773E7E">
              <w:rPr>
                <w:sz w:val="17"/>
                <w:szCs w:val="17"/>
                <w:lang w:val="fr-FR"/>
              </w:rPr>
              <w:t>e)</w:t>
            </w:r>
          </w:p>
        </w:tc>
      </w:tr>
      <w:tr w:rsidR="00773E7E" w:rsidRPr="00773E7E" w:rsidTr="00773E7E">
        <w:tc>
          <w:tcPr>
            <w:tcW w:w="756"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24</w:t>
            </w:r>
          </w:p>
        </w:tc>
        <w:tc>
          <w:tcPr>
            <w:tcW w:w="7265"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(Allemagne) Draft Regulation on Driver Assist Systems to avoid blind spot accidents</w:t>
            </w:r>
          </w:p>
        </w:tc>
        <w:tc>
          <w:tcPr>
            <w:tcW w:w="483" w:type="dxa"/>
            <w:shd w:val="clear" w:color="auto" w:fill="auto"/>
          </w:tcPr>
          <w:p w:rsidR="003A2D14" w:rsidRPr="00773E7E" w:rsidRDefault="003A2D14" w:rsidP="00773E7E">
            <w:pPr>
              <w:spacing w:before="40" w:after="40" w:line="220" w:lineRule="exact"/>
              <w:ind w:right="113"/>
              <w:jc w:val="center"/>
              <w:rPr>
                <w:sz w:val="17"/>
                <w:szCs w:val="17"/>
                <w:lang w:val="fr-FR"/>
              </w:rPr>
            </w:pPr>
            <w:r w:rsidRPr="00773E7E">
              <w:rPr>
                <w:sz w:val="17"/>
                <w:szCs w:val="17"/>
                <w:lang w:val="fr-FR"/>
              </w:rPr>
              <w:t>f)</w:t>
            </w:r>
          </w:p>
        </w:tc>
      </w:tr>
      <w:tr w:rsidR="00773E7E" w:rsidRPr="00773E7E" w:rsidTr="00773E7E">
        <w:tc>
          <w:tcPr>
            <w:tcW w:w="756"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25</w:t>
            </w:r>
          </w:p>
        </w:tc>
        <w:tc>
          <w:tcPr>
            <w:tcW w:w="7265"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(ISO) Structure of ISO Technical Committee on specific aspects for gaseous fuels</w:t>
            </w:r>
          </w:p>
        </w:tc>
        <w:tc>
          <w:tcPr>
            <w:tcW w:w="483" w:type="dxa"/>
            <w:shd w:val="clear" w:color="auto" w:fill="auto"/>
          </w:tcPr>
          <w:p w:rsidR="003A2D14" w:rsidRPr="00773E7E" w:rsidRDefault="003A2D14" w:rsidP="00773E7E">
            <w:pPr>
              <w:spacing w:before="40" w:after="40" w:line="220" w:lineRule="exact"/>
              <w:ind w:right="113"/>
              <w:jc w:val="center"/>
              <w:rPr>
                <w:sz w:val="17"/>
                <w:szCs w:val="17"/>
                <w:lang w:val="fr-FR"/>
              </w:rPr>
            </w:pPr>
            <w:r w:rsidRPr="00773E7E">
              <w:rPr>
                <w:sz w:val="17"/>
                <w:szCs w:val="17"/>
                <w:lang w:val="fr-FR"/>
              </w:rPr>
              <w:t>f)</w:t>
            </w:r>
          </w:p>
        </w:tc>
      </w:tr>
      <w:tr w:rsidR="00773E7E" w:rsidRPr="00773E7E" w:rsidTr="00773E7E">
        <w:tc>
          <w:tcPr>
            <w:tcW w:w="756"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26</w:t>
            </w:r>
          </w:p>
        </w:tc>
        <w:tc>
          <w:tcPr>
            <w:tcW w:w="7265"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(Japon) Consideration of G corridor based on Crash Pulses</w:t>
            </w:r>
          </w:p>
        </w:tc>
        <w:tc>
          <w:tcPr>
            <w:tcW w:w="483" w:type="dxa"/>
            <w:shd w:val="clear" w:color="auto" w:fill="auto"/>
          </w:tcPr>
          <w:p w:rsidR="003A2D14" w:rsidRPr="00773E7E" w:rsidRDefault="003A2D14" w:rsidP="00773E7E">
            <w:pPr>
              <w:spacing w:before="40" w:after="40" w:line="220" w:lineRule="exact"/>
              <w:ind w:right="113"/>
              <w:jc w:val="center"/>
              <w:rPr>
                <w:sz w:val="17"/>
                <w:szCs w:val="17"/>
                <w:lang w:val="fr-FR"/>
              </w:rPr>
            </w:pPr>
            <w:r w:rsidRPr="00773E7E">
              <w:rPr>
                <w:sz w:val="17"/>
                <w:szCs w:val="17"/>
                <w:lang w:val="fr-FR"/>
              </w:rPr>
              <w:t>c)</w:t>
            </w:r>
          </w:p>
        </w:tc>
      </w:tr>
      <w:tr w:rsidR="00773E7E" w:rsidRPr="00773E7E" w:rsidTr="00773E7E">
        <w:tc>
          <w:tcPr>
            <w:tcW w:w="756"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27</w:t>
            </w:r>
          </w:p>
        </w:tc>
        <w:tc>
          <w:tcPr>
            <w:tcW w:w="7265"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(Allemagne) Proposal for an amendment of the text of Regulation No. 46 (Devices for indirect vision)</w:t>
            </w:r>
          </w:p>
        </w:tc>
        <w:tc>
          <w:tcPr>
            <w:tcW w:w="483" w:type="dxa"/>
            <w:shd w:val="clear" w:color="auto" w:fill="auto"/>
          </w:tcPr>
          <w:p w:rsidR="003A2D14" w:rsidRPr="00773E7E" w:rsidRDefault="003A2D14" w:rsidP="00773E7E">
            <w:pPr>
              <w:spacing w:before="40" w:after="40" w:line="220" w:lineRule="exact"/>
              <w:ind w:right="113"/>
              <w:jc w:val="center"/>
              <w:rPr>
                <w:sz w:val="17"/>
                <w:szCs w:val="17"/>
                <w:lang w:val="fr-FR"/>
              </w:rPr>
            </w:pPr>
            <w:r w:rsidRPr="00773E7E">
              <w:rPr>
                <w:sz w:val="17"/>
                <w:szCs w:val="17"/>
                <w:lang w:val="fr-FR"/>
              </w:rPr>
              <w:t>c)</w:t>
            </w:r>
          </w:p>
        </w:tc>
      </w:tr>
      <w:tr w:rsidR="00773E7E" w:rsidRPr="00773E7E" w:rsidTr="00773E7E">
        <w:tc>
          <w:tcPr>
            <w:tcW w:w="756"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28</w:t>
            </w:r>
          </w:p>
        </w:tc>
        <w:tc>
          <w:tcPr>
            <w:tcW w:w="7265"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(Japon) Efforts in Japan for a Barrier-Free Public Transit System</w:t>
            </w:r>
          </w:p>
        </w:tc>
        <w:tc>
          <w:tcPr>
            <w:tcW w:w="483" w:type="dxa"/>
            <w:shd w:val="clear" w:color="auto" w:fill="auto"/>
          </w:tcPr>
          <w:p w:rsidR="003A2D14" w:rsidRPr="00773E7E" w:rsidRDefault="003A2D14" w:rsidP="00773E7E">
            <w:pPr>
              <w:spacing w:before="40" w:after="40" w:line="220" w:lineRule="exact"/>
              <w:ind w:right="113"/>
              <w:jc w:val="center"/>
              <w:rPr>
                <w:sz w:val="17"/>
                <w:szCs w:val="17"/>
                <w:lang w:val="fr-FR"/>
              </w:rPr>
            </w:pPr>
            <w:r w:rsidRPr="00773E7E">
              <w:rPr>
                <w:sz w:val="17"/>
                <w:szCs w:val="17"/>
                <w:lang w:val="fr-FR"/>
              </w:rPr>
              <w:t>f)</w:t>
            </w:r>
          </w:p>
        </w:tc>
      </w:tr>
      <w:tr w:rsidR="00773E7E" w:rsidRPr="00773E7E" w:rsidTr="00773E7E">
        <w:tc>
          <w:tcPr>
            <w:tcW w:w="756"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29</w:t>
            </w:r>
          </w:p>
        </w:tc>
        <w:tc>
          <w:tcPr>
            <w:tcW w:w="7265"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(Japon) Draft of Terms of Reference and Rules of Procedure of the informal group of GRSG on close proximity vision and obstacle detection system</w:t>
            </w:r>
          </w:p>
        </w:tc>
        <w:tc>
          <w:tcPr>
            <w:tcW w:w="483" w:type="dxa"/>
            <w:shd w:val="clear" w:color="auto" w:fill="auto"/>
          </w:tcPr>
          <w:p w:rsidR="003A2D14" w:rsidRPr="00773E7E" w:rsidRDefault="003A2D14" w:rsidP="00773E7E">
            <w:pPr>
              <w:spacing w:before="40" w:after="40" w:line="220" w:lineRule="exact"/>
              <w:ind w:right="113"/>
              <w:jc w:val="center"/>
              <w:rPr>
                <w:sz w:val="17"/>
                <w:szCs w:val="17"/>
                <w:lang w:val="fr-FR"/>
              </w:rPr>
            </w:pPr>
            <w:r w:rsidRPr="00773E7E">
              <w:rPr>
                <w:sz w:val="17"/>
                <w:szCs w:val="17"/>
                <w:lang w:val="fr-FR"/>
              </w:rPr>
              <w:t>e)</w:t>
            </w:r>
          </w:p>
        </w:tc>
      </w:tr>
      <w:tr w:rsidR="00773E7E" w:rsidRPr="00773E7E" w:rsidTr="00773E7E">
        <w:tc>
          <w:tcPr>
            <w:tcW w:w="756"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30-Rev.1</w:t>
            </w:r>
          </w:p>
        </w:tc>
        <w:tc>
          <w:tcPr>
            <w:tcW w:w="7265"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(Secrétariat) Proposal for the 03 series of amendment to Regulation No. 118 (Burning behavior)</w:t>
            </w:r>
          </w:p>
        </w:tc>
        <w:tc>
          <w:tcPr>
            <w:tcW w:w="483" w:type="dxa"/>
            <w:shd w:val="clear" w:color="auto" w:fill="auto"/>
          </w:tcPr>
          <w:p w:rsidR="003A2D14" w:rsidRPr="00773E7E" w:rsidRDefault="003A2D14" w:rsidP="00773E7E">
            <w:pPr>
              <w:spacing w:before="40" w:after="40" w:line="220" w:lineRule="exact"/>
              <w:ind w:right="113"/>
              <w:jc w:val="center"/>
              <w:rPr>
                <w:sz w:val="17"/>
                <w:szCs w:val="17"/>
                <w:lang w:val="fr-FR"/>
              </w:rPr>
            </w:pPr>
            <w:r w:rsidRPr="00773E7E">
              <w:rPr>
                <w:sz w:val="17"/>
                <w:szCs w:val="17"/>
                <w:lang w:val="fr-FR"/>
              </w:rPr>
              <w:t>b)</w:t>
            </w:r>
          </w:p>
        </w:tc>
      </w:tr>
      <w:tr w:rsidR="00773E7E" w:rsidRPr="00773E7E" w:rsidTr="00773E7E">
        <w:tc>
          <w:tcPr>
            <w:tcW w:w="756"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31</w:t>
            </w:r>
          </w:p>
        </w:tc>
        <w:tc>
          <w:tcPr>
            <w:tcW w:w="7265"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(CTIF) International Association of Fire and Rescue services</w:t>
            </w:r>
          </w:p>
        </w:tc>
        <w:tc>
          <w:tcPr>
            <w:tcW w:w="483" w:type="dxa"/>
            <w:shd w:val="clear" w:color="auto" w:fill="auto"/>
          </w:tcPr>
          <w:p w:rsidR="003A2D14" w:rsidRPr="00773E7E" w:rsidRDefault="003A2D14" w:rsidP="00773E7E">
            <w:pPr>
              <w:spacing w:before="40" w:after="40" w:line="220" w:lineRule="exact"/>
              <w:ind w:right="113"/>
              <w:jc w:val="center"/>
              <w:rPr>
                <w:sz w:val="17"/>
                <w:szCs w:val="17"/>
                <w:lang w:val="fr-FR"/>
              </w:rPr>
            </w:pPr>
            <w:r w:rsidRPr="00773E7E">
              <w:rPr>
                <w:sz w:val="17"/>
                <w:szCs w:val="17"/>
                <w:lang w:val="fr-FR"/>
              </w:rPr>
              <w:t>f)</w:t>
            </w:r>
          </w:p>
        </w:tc>
      </w:tr>
      <w:tr w:rsidR="00773E7E" w:rsidRPr="00773E7E" w:rsidTr="00773E7E">
        <w:tc>
          <w:tcPr>
            <w:tcW w:w="756"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32</w:t>
            </w:r>
          </w:p>
        </w:tc>
        <w:tc>
          <w:tcPr>
            <w:tcW w:w="7265"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 xml:space="preserve">(République de Corée) Progress report by IWG on PSG </w:t>
            </w:r>
          </w:p>
        </w:tc>
        <w:tc>
          <w:tcPr>
            <w:tcW w:w="483" w:type="dxa"/>
            <w:shd w:val="clear" w:color="auto" w:fill="auto"/>
          </w:tcPr>
          <w:p w:rsidR="003A2D14" w:rsidRPr="00773E7E" w:rsidRDefault="003A2D14" w:rsidP="00773E7E">
            <w:pPr>
              <w:spacing w:before="40" w:after="40" w:line="220" w:lineRule="exact"/>
              <w:ind w:right="113"/>
              <w:jc w:val="center"/>
              <w:rPr>
                <w:sz w:val="17"/>
                <w:szCs w:val="17"/>
                <w:lang w:val="fr-FR"/>
              </w:rPr>
            </w:pPr>
            <w:r w:rsidRPr="00773E7E">
              <w:rPr>
                <w:sz w:val="17"/>
                <w:szCs w:val="17"/>
                <w:lang w:val="fr-FR"/>
              </w:rPr>
              <w:t>f)</w:t>
            </w:r>
          </w:p>
        </w:tc>
      </w:tr>
      <w:tr w:rsidR="00773E7E" w:rsidRPr="00773E7E" w:rsidTr="00773E7E">
        <w:tc>
          <w:tcPr>
            <w:tcW w:w="756"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33</w:t>
            </w:r>
          </w:p>
        </w:tc>
        <w:tc>
          <w:tcPr>
            <w:tcW w:w="7265"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(Président du groupe de travail informel sur les vitrages panoramiques de sécurité) Terms of Reference and Rules of Procedure of the informal working group of Panoramic Sunroof Glazing (PSG)</w:t>
            </w:r>
          </w:p>
        </w:tc>
        <w:tc>
          <w:tcPr>
            <w:tcW w:w="483" w:type="dxa"/>
            <w:shd w:val="clear" w:color="auto" w:fill="auto"/>
          </w:tcPr>
          <w:p w:rsidR="003A2D14" w:rsidRPr="00773E7E" w:rsidRDefault="003A2D14" w:rsidP="00773E7E">
            <w:pPr>
              <w:spacing w:before="40" w:after="40" w:line="220" w:lineRule="exact"/>
              <w:ind w:right="113"/>
              <w:jc w:val="center"/>
              <w:rPr>
                <w:sz w:val="17"/>
                <w:szCs w:val="17"/>
                <w:lang w:val="fr-FR"/>
              </w:rPr>
            </w:pPr>
            <w:r w:rsidRPr="00773E7E">
              <w:rPr>
                <w:sz w:val="17"/>
                <w:szCs w:val="17"/>
                <w:lang w:val="fr-FR"/>
              </w:rPr>
              <w:t>d)</w:t>
            </w:r>
          </w:p>
        </w:tc>
      </w:tr>
      <w:tr w:rsidR="00773E7E" w:rsidRPr="00773E7E" w:rsidTr="00773E7E">
        <w:tc>
          <w:tcPr>
            <w:tcW w:w="756"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34</w:t>
            </w:r>
          </w:p>
        </w:tc>
        <w:tc>
          <w:tcPr>
            <w:tcW w:w="7265"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(Président du groupe de travail informel sur les vitrages panoramiques de sécurité) Proposal for draft Corrigendum 2 to Global Technical Regulation No. 6 - Safety glazing materials for motor vehicles and motor vehicle equipment</w:t>
            </w:r>
          </w:p>
        </w:tc>
        <w:tc>
          <w:tcPr>
            <w:tcW w:w="483" w:type="dxa"/>
            <w:shd w:val="clear" w:color="auto" w:fill="auto"/>
          </w:tcPr>
          <w:p w:rsidR="003A2D14" w:rsidRPr="00773E7E" w:rsidRDefault="003A2D14" w:rsidP="00773E7E">
            <w:pPr>
              <w:spacing w:before="40" w:after="40" w:line="220" w:lineRule="exact"/>
              <w:ind w:right="113"/>
              <w:jc w:val="center"/>
              <w:rPr>
                <w:sz w:val="17"/>
                <w:szCs w:val="17"/>
                <w:lang w:val="fr-FR"/>
              </w:rPr>
            </w:pPr>
            <w:r w:rsidRPr="00773E7E">
              <w:rPr>
                <w:sz w:val="17"/>
                <w:szCs w:val="17"/>
                <w:lang w:val="fr-FR"/>
              </w:rPr>
              <w:t>c)</w:t>
            </w:r>
          </w:p>
        </w:tc>
      </w:tr>
      <w:tr w:rsidR="00773E7E" w:rsidRPr="00773E7E" w:rsidTr="00773E7E">
        <w:tc>
          <w:tcPr>
            <w:tcW w:w="756"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35</w:t>
            </w:r>
          </w:p>
        </w:tc>
        <w:tc>
          <w:tcPr>
            <w:tcW w:w="7265"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(Allemagne) Proposal for amendments to UN Regulation No. 107</w:t>
            </w:r>
          </w:p>
        </w:tc>
        <w:tc>
          <w:tcPr>
            <w:tcW w:w="483" w:type="dxa"/>
            <w:shd w:val="clear" w:color="auto" w:fill="auto"/>
          </w:tcPr>
          <w:p w:rsidR="003A2D14" w:rsidRPr="00773E7E" w:rsidRDefault="003A2D14" w:rsidP="00773E7E">
            <w:pPr>
              <w:spacing w:before="40" w:after="40" w:line="220" w:lineRule="exact"/>
              <w:ind w:right="113"/>
              <w:jc w:val="center"/>
              <w:rPr>
                <w:sz w:val="17"/>
                <w:szCs w:val="17"/>
                <w:lang w:val="fr-FR"/>
              </w:rPr>
            </w:pPr>
            <w:r w:rsidRPr="00773E7E">
              <w:rPr>
                <w:sz w:val="17"/>
                <w:szCs w:val="17"/>
                <w:lang w:val="fr-FR"/>
              </w:rPr>
              <w:t>e)</w:t>
            </w:r>
          </w:p>
        </w:tc>
      </w:tr>
      <w:tr w:rsidR="00773E7E" w:rsidRPr="00773E7E" w:rsidTr="00773E7E">
        <w:tc>
          <w:tcPr>
            <w:tcW w:w="756"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36</w:t>
            </w:r>
          </w:p>
        </w:tc>
        <w:tc>
          <w:tcPr>
            <w:tcW w:w="7265"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(Japon) Outline of standard specifications for non-step buses</w:t>
            </w:r>
          </w:p>
        </w:tc>
        <w:tc>
          <w:tcPr>
            <w:tcW w:w="483" w:type="dxa"/>
            <w:shd w:val="clear" w:color="auto" w:fill="auto"/>
          </w:tcPr>
          <w:p w:rsidR="003A2D14" w:rsidRPr="00773E7E" w:rsidRDefault="003A2D14" w:rsidP="00773E7E">
            <w:pPr>
              <w:spacing w:before="40" w:after="40" w:line="220" w:lineRule="exact"/>
              <w:ind w:right="113"/>
              <w:jc w:val="center"/>
              <w:rPr>
                <w:sz w:val="17"/>
                <w:szCs w:val="17"/>
                <w:lang w:val="fr-FR"/>
              </w:rPr>
            </w:pPr>
            <w:r w:rsidRPr="00773E7E">
              <w:rPr>
                <w:sz w:val="17"/>
                <w:szCs w:val="17"/>
                <w:lang w:val="fr-FR"/>
              </w:rPr>
              <w:t>f)</w:t>
            </w:r>
          </w:p>
        </w:tc>
      </w:tr>
      <w:tr w:rsidR="00773E7E" w:rsidRPr="00773E7E" w:rsidTr="00773E7E">
        <w:tc>
          <w:tcPr>
            <w:tcW w:w="756"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37</w:t>
            </w:r>
          </w:p>
        </w:tc>
        <w:tc>
          <w:tcPr>
            <w:tcW w:w="7265"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 xml:space="preserve">(OICA) Proposal for Supplement 1 to the 01 series of amendments to Regulation No. 121 </w:t>
            </w:r>
            <w:r w:rsidR="001E2511">
              <w:rPr>
                <w:sz w:val="17"/>
                <w:szCs w:val="17"/>
                <w:lang w:val="fr-FR"/>
              </w:rPr>
              <w:br/>
            </w:r>
            <w:r w:rsidRPr="00773E7E">
              <w:rPr>
                <w:sz w:val="17"/>
                <w:szCs w:val="17"/>
                <w:lang w:val="fr-FR"/>
              </w:rPr>
              <w:t xml:space="preserve">(Identification of </w:t>
            </w:r>
            <w:proofErr w:type="spellStart"/>
            <w:r w:rsidRPr="00773E7E">
              <w:rPr>
                <w:sz w:val="17"/>
                <w:szCs w:val="17"/>
                <w:lang w:val="fr-FR"/>
              </w:rPr>
              <w:t>controls</w:t>
            </w:r>
            <w:proofErr w:type="spellEnd"/>
            <w:r w:rsidRPr="00773E7E">
              <w:rPr>
                <w:sz w:val="17"/>
                <w:szCs w:val="17"/>
                <w:lang w:val="fr-FR"/>
              </w:rPr>
              <w:t xml:space="preserve">, tell-tales and </w:t>
            </w:r>
            <w:proofErr w:type="spellStart"/>
            <w:r w:rsidRPr="00773E7E">
              <w:rPr>
                <w:sz w:val="17"/>
                <w:szCs w:val="17"/>
                <w:lang w:val="fr-FR"/>
              </w:rPr>
              <w:t>indicators</w:t>
            </w:r>
            <w:proofErr w:type="spellEnd"/>
            <w:r w:rsidRPr="00773E7E">
              <w:rPr>
                <w:sz w:val="17"/>
                <w:szCs w:val="17"/>
                <w:lang w:val="fr-FR"/>
              </w:rPr>
              <w:t>)</w:t>
            </w:r>
          </w:p>
        </w:tc>
        <w:tc>
          <w:tcPr>
            <w:tcW w:w="483" w:type="dxa"/>
            <w:shd w:val="clear" w:color="auto" w:fill="auto"/>
          </w:tcPr>
          <w:p w:rsidR="003A2D14" w:rsidRPr="00773E7E" w:rsidRDefault="003A2D14" w:rsidP="00773E7E">
            <w:pPr>
              <w:spacing w:before="40" w:after="40" w:line="220" w:lineRule="exact"/>
              <w:ind w:right="113"/>
              <w:jc w:val="center"/>
              <w:rPr>
                <w:sz w:val="17"/>
                <w:szCs w:val="17"/>
                <w:lang w:val="fr-FR"/>
              </w:rPr>
            </w:pPr>
            <w:r w:rsidRPr="00773E7E">
              <w:rPr>
                <w:sz w:val="17"/>
                <w:szCs w:val="17"/>
                <w:lang w:val="fr-FR"/>
              </w:rPr>
              <w:t>c)</w:t>
            </w:r>
          </w:p>
        </w:tc>
      </w:tr>
      <w:tr w:rsidR="00773E7E" w:rsidRPr="00773E7E" w:rsidTr="00773E7E">
        <w:tc>
          <w:tcPr>
            <w:tcW w:w="756"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38</w:t>
            </w:r>
          </w:p>
        </w:tc>
        <w:tc>
          <w:tcPr>
            <w:tcW w:w="7265"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(Secrétariat) Proposal for a new Regulation on Accident Emergency Call Systems</w:t>
            </w:r>
          </w:p>
        </w:tc>
        <w:tc>
          <w:tcPr>
            <w:tcW w:w="483" w:type="dxa"/>
            <w:shd w:val="clear" w:color="auto" w:fill="auto"/>
          </w:tcPr>
          <w:p w:rsidR="003A2D14" w:rsidRPr="00773E7E" w:rsidRDefault="003A2D14" w:rsidP="00773E7E">
            <w:pPr>
              <w:spacing w:before="40" w:after="40" w:line="220" w:lineRule="exact"/>
              <w:ind w:right="113"/>
              <w:jc w:val="center"/>
              <w:rPr>
                <w:sz w:val="17"/>
                <w:szCs w:val="17"/>
                <w:lang w:val="fr-FR"/>
              </w:rPr>
            </w:pPr>
            <w:r w:rsidRPr="00773E7E">
              <w:rPr>
                <w:sz w:val="17"/>
                <w:szCs w:val="17"/>
                <w:lang w:val="fr-FR"/>
              </w:rPr>
              <w:t>f)</w:t>
            </w:r>
          </w:p>
        </w:tc>
      </w:tr>
      <w:tr w:rsidR="00773E7E" w:rsidRPr="00773E7E" w:rsidTr="00773E7E">
        <w:tc>
          <w:tcPr>
            <w:tcW w:w="756"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39</w:t>
            </w:r>
          </w:p>
        </w:tc>
        <w:tc>
          <w:tcPr>
            <w:tcW w:w="7265" w:type="dxa"/>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(OICA) AECS : Accident Emergency Call System</w:t>
            </w:r>
          </w:p>
        </w:tc>
        <w:tc>
          <w:tcPr>
            <w:tcW w:w="483" w:type="dxa"/>
            <w:shd w:val="clear" w:color="auto" w:fill="auto"/>
          </w:tcPr>
          <w:p w:rsidR="003A2D14" w:rsidRPr="00773E7E" w:rsidRDefault="003A2D14" w:rsidP="00773E7E">
            <w:pPr>
              <w:spacing w:before="40" w:after="40" w:line="220" w:lineRule="exact"/>
              <w:ind w:right="113"/>
              <w:jc w:val="center"/>
              <w:rPr>
                <w:sz w:val="17"/>
                <w:szCs w:val="17"/>
                <w:lang w:val="fr-FR"/>
              </w:rPr>
            </w:pPr>
            <w:r w:rsidRPr="00773E7E">
              <w:rPr>
                <w:sz w:val="17"/>
                <w:szCs w:val="17"/>
                <w:lang w:val="fr-FR"/>
              </w:rPr>
              <w:t>f)</w:t>
            </w:r>
          </w:p>
        </w:tc>
      </w:tr>
      <w:tr w:rsidR="002C6B20" w:rsidRPr="00773E7E" w:rsidTr="00773E7E">
        <w:tc>
          <w:tcPr>
            <w:tcW w:w="756" w:type="dxa"/>
            <w:tcBorders>
              <w:bottom w:val="single" w:sz="12" w:space="0" w:color="auto"/>
            </w:tcBorders>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40</w:t>
            </w:r>
          </w:p>
        </w:tc>
        <w:tc>
          <w:tcPr>
            <w:tcW w:w="7265" w:type="dxa"/>
            <w:tcBorders>
              <w:bottom w:val="single" w:sz="12" w:space="0" w:color="auto"/>
            </w:tcBorders>
            <w:shd w:val="clear" w:color="auto" w:fill="auto"/>
          </w:tcPr>
          <w:p w:rsidR="003A2D14" w:rsidRPr="00773E7E" w:rsidRDefault="003A2D14" w:rsidP="00773E7E">
            <w:pPr>
              <w:spacing w:before="40" w:after="40" w:line="220" w:lineRule="exact"/>
              <w:ind w:right="113"/>
              <w:rPr>
                <w:sz w:val="17"/>
                <w:szCs w:val="17"/>
                <w:lang w:val="fr-FR"/>
              </w:rPr>
            </w:pPr>
            <w:r w:rsidRPr="00773E7E">
              <w:rPr>
                <w:sz w:val="17"/>
                <w:szCs w:val="17"/>
                <w:lang w:val="fr-FR"/>
              </w:rPr>
              <w:t>(UIT) Introduction to the Conformity Assessment Steering Committee (ITU-T CASC)</w:t>
            </w:r>
          </w:p>
        </w:tc>
        <w:tc>
          <w:tcPr>
            <w:tcW w:w="483" w:type="dxa"/>
            <w:tcBorders>
              <w:bottom w:val="single" w:sz="12" w:space="0" w:color="auto"/>
            </w:tcBorders>
            <w:shd w:val="clear" w:color="auto" w:fill="auto"/>
          </w:tcPr>
          <w:p w:rsidR="003A2D14" w:rsidRPr="00773E7E" w:rsidRDefault="003A2D14" w:rsidP="00773E7E">
            <w:pPr>
              <w:spacing w:before="40" w:after="40" w:line="220" w:lineRule="exact"/>
              <w:ind w:right="113"/>
              <w:jc w:val="center"/>
              <w:rPr>
                <w:sz w:val="17"/>
                <w:szCs w:val="17"/>
                <w:lang w:val="fr-FR"/>
              </w:rPr>
            </w:pPr>
            <w:r w:rsidRPr="00773E7E">
              <w:rPr>
                <w:sz w:val="17"/>
                <w:szCs w:val="17"/>
                <w:lang w:val="fr-FR"/>
              </w:rPr>
              <w:t>f)</w:t>
            </w:r>
          </w:p>
        </w:tc>
      </w:tr>
    </w:tbl>
    <w:p w:rsidR="003A2D14" w:rsidRPr="009278DC" w:rsidRDefault="003A2D14" w:rsidP="002C6B20">
      <w:pPr>
        <w:pStyle w:val="H1G"/>
        <w:rPr>
          <w:lang w:val="fr-FR"/>
        </w:rPr>
      </w:pPr>
      <w:r>
        <w:rPr>
          <w:lang w:val="fr-FR"/>
        </w:rPr>
        <w:tab/>
      </w:r>
      <w:r>
        <w:rPr>
          <w:lang w:val="fr-FR"/>
        </w:rPr>
        <w:tab/>
      </w:r>
      <w:r w:rsidRPr="00A01F77">
        <w:rPr>
          <w:lang w:val="fr-FR"/>
        </w:rPr>
        <w:t xml:space="preserve">Liste des documents sans cote officielle distribués lors de sessions précédentes du Groupe de travail ou du Forum mondial </w:t>
      </w:r>
      <w:r>
        <w:rPr>
          <w:lang w:val="fr-FR"/>
        </w:rPr>
        <w:br/>
      </w:r>
      <w:r w:rsidRPr="00A01F77">
        <w:rPr>
          <w:lang w:val="fr-FR"/>
        </w:rPr>
        <w:t>(anglais seulement)</w:t>
      </w:r>
    </w:p>
    <w:tbl>
      <w:tblPr>
        <w:tblW w:w="8504" w:type="dxa"/>
        <w:tblInd w:w="1134" w:type="dxa"/>
        <w:tblLayout w:type="fixed"/>
        <w:tblCellMar>
          <w:left w:w="0" w:type="dxa"/>
          <w:right w:w="0" w:type="dxa"/>
        </w:tblCellMar>
        <w:tblLook w:val="01E0" w:firstRow="1" w:lastRow="1" w:firstColumn="1" w:lastColumn="1" w:noHBand="0" w:noVBand="0"/>
      </w:tblPr>
      <w:tblGrid>
        <w:gridCol w:w="1843"/>
        <w:gridCol w:w="6178"/>
        <w:gridCol w:w="483"/>
      </w:tblGrid>
      <w:tr w:rsidR="003A2D14" w:rsidRPr="008021AA" w:rsidTr="008021AA">
        <w:trPr>
          <w:tblHeader/>
        </w:trPr>
        <w:tc>
          <w:tcPr>
            <w:tcW w:w="1843" w:type="dxa"/>
            <w:tcBorders>
              <w:top w:val="single" w:sz="4" w:space="0" w:color="auto"/>
              <w:bottom w:val="single" w:sz="12" w:space="0" w:color="auto"/>
            </w:tcBorders>
            <w:shd w:val="clear" w:color="auto" w:fill="auto"/>
            <w:vAlign w:val="bottom"/>
          </w:tcPr>
          <w:p w:rsidR="003A2D14" w:rsidRPr="008021AA" w:rsidRDefault="003A2D14" w:rsidP="008021AA">
            <w:pPr>
              <w:spacing w:before="80" w:after="80" w:line="200" w:lineRule="exact"/>
              <w:ind w:right="113"/>
              <w:rPr>
                <w:i/>
                <w:sz w:val="16"/>
                <w:lang w:val="fr-FR"/>
              </w:rPr>
            </w:pPr>
            <w:r w:rsidRPr="008021AA">
              <w:rPr>
                <w:i/>
                <w:sz w:val="16"/>
                <w:lang w:val="fr-FR"/>
              </w:rPr>
              <w:t>N</w:t>
            </w:r>
            <w:r w:rsidRPr="008021AA">
              <w:rPr>
                <w:i/>
                <w:sz w:val="16"/>
                <w:vertAlign w:val="superscript"/>
                <w:lang w:val="fr-FR"/>
              </w:rPr>
              <w:t>o</w:t>
            </w:r>
          </w:p>
        </w:tc>
        <w:tc>
          <w:tcPr>
            <w:tcW w:w="6178" w:type="dxa"/>
            <w:tcBorders>
              <w:top w:val="single" w:sz="4" w:space="0" w:color="auto"/>
              <w:bottom w:val="single" w:sz="12" w:space="0" w:color="auto"/>
            </w:tcBorders>
            <w:shd w:val="clear" w:color="auto" w:fill="auto"/>
            <w:vAlign w:val="bottom"/>
          </w:tcPr>
          <w:p w:rsidR="003A2D14" w:rsidRPr="008021AA" w:rsidRDefault="003A2D14" w:rsidP="008021AA">
            <w:pPr>
              <w:spacing w:before="80" w:after="80" w:line="200" w:lineRule="exact"/>
              <w:ind w:right="113"/>
              <w:rPr>
                <w:i/>
                <w:sz w:val="16"/>
                <w:lang w:val="fr-FR"/>
              </w:rPr>
            </w:pPr>
            <w:r w:rsidRPr="008021AA">
              <w:rPr>
                <w:i/>
                <w:sz w:val="16"/>
                <w:lang w:val="fr-FR"/>
              </w:rPr>
              <w:t>(Auteur) Titre</w:t>
            </w:r>
          </w:p>
        </w:tc>
        <w:tc>
          <w:tcPr>
            <w:tcW w:w="483" w:type="dxa"/>
            <w:tcBorders>
              <w:top w:val="single" w:sz="4" w:space="0" w:color="auto"/>
              <w:bottom w:val="single" w:sz="12" w:space="0" w:color="auto"/>
            </w:tcBorders>
            <w:shd w:val="clear" w:color="auto" w:fill="auto"/>
            <w:vAlign w:val="bottom"/>
          </w:tcPr>
          <w:p w:rsidR="003A2D14" w:rsidRPr="008021AA" w:rsidRDefault="003A2D14" w:rsidP="008021AA">
            <w:pPr>
              <w:spacing w:before="80" w:after="80" w:line="200" w:lineRule="exact"/>
              <w:ind w:right="113"/>
              <w:jc w:val="center"/>
              <w:rPr>
                <w:i/>
                <w:sz w:val="16"/>
                <w:lang w:val="fr-FR"/>
              </w:rPr>
            </w:pPr>
            <w:r w:rsidRPr="008021AA">
              <w:rPr>
                <w:i/>
                <w:sz w:val="16"/>
                <w:lang w:val="fr-FR"/>
              </w:rPr>
              <w:t>Suivi</w:t>
            </w:r>
          </w:p>
        </w:tc>
      </w:tr>
      <w:tr w:rsidR="008021AA" w:rsidRPr="008021AA" w:rsidTr="008021AA">
        <w:trPr>
          <w:trHeight w:hRule="exact" w:val="113"/>
          <w:tblHeader/>
        </w:trPr>
        <w:tc>
          <w:tcPr>
            <w:tcW w:w="1843" w:type="dxa"/>
            <w:tcBorders>
              <w:top w:val="single" w:sz="12" w:space="0" w:color="auto"/>
            </w:tcBorders>
            <w:shd w:val="clear" w:color="auto" w:fill="auto"/>
          </w:tcPr>
          <w:p w:rsidR="008021AA" w:rsidRPr="008021AA" w:rsidRDefault="008021AA" w:rsidP="008021AA">
            <w:pPr>
              <w:spacing w:before="40" w:after="120"/>
              <w:ind w:right="113"/>
              <w:rPr>
                <w:lang w:val="fr-FR"/>
              </w:rPr>
            </w:pPr>
          </w:p>
        </w:tc>
        <w:tc>
          <w:tcPr>
            <w:tcW w:w="6178" w:type="dxa"/>
            <w:tcBorders>
              <w:top w:val="single" w:sz="12" w:space="0" w:color="auto"/>
            </w:tcBorders>
            <w:shd w:val="clear" w:color="auto" w:fill="auto"/>
          </w:tcPr>
          <w:p w:rsidR="008021AA" w:rsidRPr="008021AA" w:rsidRDefault="008021AA" w:rsidP="008021AA">
            <w:pPr>
              <w:spacing w:before="40" w:after="120"/>
              <w:ind w:right="113"/>
              <w:rPr>
                <w:lang w:val="fr-FR"/>
              </w:rPr>
            </w:pPr>
          </w:p>
        </w:tc>
        <w:tc>
          <w:tcPr>
            <w:tcW w:w="483" w:type="dxa"/>
            <w:tcBorders>
              <w:top w:val="single" w:sz="12" w:space="0" w:color="auto"/>
            </w:tcBorders>
            <w:shd w:val="clear" w:color="auto" w:fill="auto"/>
          </w:tcPr>
          <w:p w:rsidR="008021AA" w:rsidRPr="008021AA" w:rsidRDefault="008021AA" w:rsidP="008021AA">
            <w:pPr>
              <w:spacing w:before="40" w:after="120"/>
              <w:ind w:right="113"/>
              <w:jc w:val="center"/>
              <w:rPr>
                <w:lang w:val="fr-FR"/>
              </w:rPr>
            </w:pPr>
          </w:p>
        </w:tc>
      </w:tr>
      <w:tr w:rsidR="003A2D14" w:rsidRPr="008021AA" w:rsidTr="008021AA">
        <w:tc>
          <w:tcPr>
            <w:tcW w:w="1843" w:type="dxa"/>
            <w:shd w:val="clear" w:color="auto" w:fill="auto"/>
          </w:tcPr>
          <w:p w:rsidR="003A2D14" w:rsidRPr="008021AA" w:rsidRDefault="003A2D14" w:rsidP="008021AA">
            <w:pPr>
              <w:spacing w:before="40" w:after="40" w:line="220" w:lineRule="exact"/>
              <w:ind w:right="113"/>
              <w:rPr>
                <w:sz w:val="17"/>
                <w:szCs w:val="17"/>
                <w:lang w:val="fr-FR"/>
              </w:rPr>
            </w:pPr>
            <w:r w:rsidRPr="008021AA">
              <w:rPr>
                <w:sz w:val="17"/>
                <w:szCs w:val="17"/>
                <w:lang w:val="fr-FR"/>
              </w:rPr>
              <w:t>GRSG-109-13</w:t>
            </w:r>
          </w:p>
        </w:tc>
        <w:tc>
          <w:tcPr>
            <w:tcW w:w="6178" w:type="dxa"/>
            <w:shd w:val="clear" w:color="auto" w:fill="auto"/>
          </w:tcPr>
          <w:p w:rsidR="003A2D14" w:rsidRPr="008021AA" w:rsidRDefault="003A2D14" w:rsidP="008021AA">
            <w:pPr>
              <w:spacing w:before="40" w:after="40" w:line="220" w:lineRule="exact"/>
              <w:ind w:right="113"/>
              <w:rPr>
                <w:sz w:val="17"/>
                <w:szCs w:val="17"/>
                <w:lang w:val="fr-FR"/>
              </w:rPr>
            </w:pPr>
            <w:r w:rsidRPr="008021AA">
              <w:rPr>
                <w:sz w:val="17"/>
                <w:szCs w:val="17"/>
                <w:lang w:val="fr-FR"/>
              </w:rPr>
              <w:t>(Commission européenne) Proposal for amendments to the 01 series of amendments to Regulation No. 39 (Speedometer)</w:t>
            </w:r>
          </w:p>
        </w:tc>
        <w:tc>
          <w:tcPr>
            <w:tcW w:w="483" w:type="dxa"/>
            <w:shd w:val="clear" w:color="auto" w:fill="auto"/>
          </w:tcPr>
          <w:p w:rsidR="003A2D14" w:rsidRPr="008021AA" w:rsidRDefault="003A2D14" w:rsidP="008021AA">
            <w:pPr>
              <w:spacing w:before="40" w:after="40" w:line="220" w:lineRule="exact"/>
              <w:ind w:right="113"/>
              <w:jc w:val="center"/>
              <w:rPr>
                <w:sz w:val="17"/>
                <w:szCs w:val="17"/>
                <w:lang w:val="fr-FR"/>
              </w:rPr>
            </w:pPr>
            <w:r w:rsidRPr="008021AA">
              <w:rPr>
                <w:sz w:val="17"/>
                <w:szCs w:val="17"/>
                <w:lang w:val="fr-FR"/>
              </w:rPr>
              <w:t>f)</w:t>
            </w:r>
          </w:p>
        </w:tc>
      </w:tr>
      <w:tr w:rsidR="003A2D14" w:rsidRPr="008021AA" w:rsidTr="008021AA">
        <w:tc>
          <w:tcPr>
            <w:tcW w:w="1843" w:type="dxa"/>
            <w:shd w:val="clear" w:color="auto" w:fill="auto"/>
          </w:tcPr>
          <w:p w:rsidR="003A2D14" w:rsidRPr="008021AA" w:rsidRDefault="003A2D14" w:rsidP="008021AA">
            <w:pPr>
              <w:spacing w:before="40" w:after="40" w:line="220" w:lineRule="exact"/>
              <w:ind w:right="113"/>
              <w:rPr>
                <w:sz w:val="17"/>
                <w:szCs w:val="17"/>
                <w:lang w:val="fr-FR"/>
              </w:rPr>
            </w:pPr>
            <w:r w:rsidRPr="008021AA">
              <w:rPr>
                <w:sz w:val="17"/>
                <w:szCs w:val="17"/>
                <w:lang w:val="fr-FR"/>
              </w:rPr>
              <w:t>GRSG-110-02</w:t>
            </w:r>
          </w:p>
        </w:tc>
        <w:tc>
          <w:tcPr>
            <w:tcW w:w="6178" w:type="dxa"/>
            <w:shd w:val="clear" w:color="auto" w:fill="auto"/>
          </w:tcPr>
          <w:p w:rsidR="003A2D14" w:rsidRPr="008021AA" w:rsidRDefault="003A2D14" w:rsidP="008021AA">
            <w:pPr>
              <w:spacing w:before="40" w:after="40" w:line="220" w:lineRule="exact"/>
              <w:ind w:right="113"/>
              <w:rPr>
                <w:sz w:val="17"/>
                <w:szCs w:val="17"/>
                <w:lang w:val="fr-FR"/>
              </w:rPr>
            </w:pPr>
            <w:r w:rsidRPr="008021AA">
              <w:rPr>
                <w:sz w:val="17"/>
                <w:szCs w:val="17"/>
                <w:lang w:val="fr-FR"/>
              </w:rPr>
              <w:t>(Finlande) Proposal for Supplement 3 to the 02 series of amendments and Supplement 1 to the 03 series of amendments to Regulation No. 118 (Burning behaviour)</w:t>
            </w:r>
          </w:p>
        </w:tc>
        <w:tc>
          <w:tcPr>
            <w:tcW w:w="483" w:type="dxa"/>
            <w:shd w:val="clear" w:color="auto" w:fill="auto"/>
          </w:tcPr>
          <w:p w:rsidR="003A2D14" w:rsidRPr="008021AA" w:rsidRDefault="003A2D14" w:rsidP="008021AA">
            <w:pPr>
              <w:spacing w:before="40" w:after="40" w:line="220" w:lineRule="exact"/>
              <w:ind w:right="113"/>
              <w:jc w:val="center"/>
              <w:rPr>
                <w:sz w:val="17"/>
                <w:szCs w:val="17"/>
                <w:lang w:val="fr-FR"/>
              </w:rPr>
            </w:pPr>
            <w:r w:rsidRPr="008021AA">
              <w:rPr>
                <w:sz w:val="17"/>
                <w:szCs w:val="17"/>
                <w:lang w:val="fr-FR"/>
              </w:rPr>
              <w:t>f)</w:t>
            </w:r>
          </w:p>
        </w:tc>
      </w:tr>
      <w:tr w:rsidR="003A2D14" w:rsidRPr="008021AA" w:rsidTr="008021AA">
        <w:tc>
          <w:tcPr>
            <w:tcW w:w="1843" w:type="dxa"/>
            <w:shd w:val="clear" w:color="auto" w:fill="auto"/>
          </w:tcPr>
          <w:p w:rsidR="003A2D14" w:rsidRPr="008021AA" w:rsidRDefault="003A2D14" w:rsidP="008021AA">
            <w:pPr>
              <w:spacing w:before="40" w:after="40" w:line="220" w:lineRule="exact"/>
              <w:ind w:right="113"/>
              <w:rPr>
                <w:sz w:val="17"/>
                <w:szCs w:val="17"/>
                <w:lang w:val="fr-FR"/>
              </w:rPr>
            </w:pPr>
            <w:r w:rsidRPr="008021AA">
              <w:rPr>
                <w:sz w:val="17"/>
                <w:szCs w:val="17"/>
                <w:lang w:val="fr-FR"/>
              </w:rPr>
              <w:t>GRSG-110-12</w:t>
            </w:r>
          </w:p>
        </w:tc>
        <w:tc>
          <w:tcPr>
            <w:tcW w:w="6178" w:type="dxa"/>
            <w:shd w:val="clear" w:color="auto" w:fill="auto"/>
          </w:tcPr>
          <w:p w:rsidR="003A2D14" w:rsidRPr="008021AA" w:rsidRDefault="003A2D14" w:rsidP="008021AA">
            <w:pPr>
              <w:spacing w:before="40" w:after="40" w:line="220" w:lineRule="exact"/>
              <w:ind w:right="113"/>
              <w:rPr>
                <w:sz w:val="17"/>
                <w:szCs w:val="17"/>
                <w:lang w:val="fr-FR"/>
              </w:rPr>
            </w:pPr>
            <w:r w:rsidRPr="008021AA">
              <w:rPr>
                <w:sz w:val="17"/>
                <w:szCs w:val="17"/>
                <w:lang w:val="fr-FR"/>
              </w:rPr>
              <w:t>(Japon) Proposal for amendments to Regulation No. 46 (Devices for indirect vision)</w:t>
            </w:r>
          </w:p>
        </w:tc>
        <w:tc>
          <w:tcPr>
            <w:tcW w:w="483" w:type="dxa"/>
            <w:shd w:val="clear" w:color="auto" w:fill="auto"/>
          </w:tcPr>
          <w:p w:rsidR="003A2D14" w:rsidRPr="008021AA" w:rsidRDefault="003A2D14" w:rsidP="008021AA">
            <w:pPr>
              <w:spacing w:before="40" w:after="40" w:line="220" w:lineRule="exact"/>
              <w:ind w:right="113"/>
              <w:jc w:val="center"/>
              <w:rPr>
                <w:sz w:val="17"/>
                <w:szCs w:val="17"/>
                <w:lang w:val="fr-FR"/>
              </w:rPr>
            </w:pPr>
            <w:r w:rsidRPr="008021AA">
              <w:rPr>
                <w:sz w:val="17"/>
                <w:szCs w:val="17"/>
                <w:lang w:val="fr-FR"/>
              </w:rPr>
              <w:t>f)</w:t>
            </w:r>
          </w:p>
        </w:tc>
      </w:tr>
      <w:tr w:rsidR="003A2D14" w:rsidRPr="008021AA" w:rsidTr="008021AA">
        <w:tc>
          <w:tcPr>
            <w:tcW w:w="1843" w:type="dxa"/>
            <w:shd w:val="clear" w:color="auto" w:fill="auto"/>
          </w:tcPr>
          <w:p w:rsidR="003A2D14" w:rsidRPr="008021AA" w:rsidRDefault="003A2D14" w:rsidP="008021AA">
            <w:pPr>
              <w:spacing w:before="40" w:after="40" w:line="220" w:lineRule="exact"/>
              <w:ind w:right="113"/>
              <w:rPr>
                <w:sz w:val="17"/>
                <w:szCs w:val="17"/>
                <w:lang w:val="fr-FR"/>
              </w:rPr>
            </w:pPr>
            <w:r w:rsidRPr="008021AA">
              <w:rPr>
                <w:sz w:val="17"/>
                <w:szCs w:val="17"/>
                <w:lang w:val="fr-FR"/>
              </w:rPr>
              <w:t>GRSG-110-16</w:t>
            </w:r>
          </w:p>
        </w:tc>
        <w:tc>
          <w:tcPr>
            <w:tcW w:w="6178" w:type="dxa"/>
            <w:shd w:val="clear" w:color="auto" w:fill="auto"/>
          </w:tcPr>
          <w:p w:rsidR="003A2D14" w:rsidRPr="008021AA" w:rsidRDefault="003A2D14" w:rsidP="008021AA">
            <w:pPr>
              <w:spacing w:before="40" w:after="40" w:line="220" w:lineRule="exact"/>
              <w:ind w:right="113"/>
              <w:rPr>
                <w:sz w:val="17"/>
                <w:szCs w:val="17"/>
                <w:lang w:val="fr-FR"/>
              </w:rPr>
            </w:pPr>
            <w:r w:rsidRPr="008021AA">
              <w:rPr>
                <w:sz w:val="17"/>
                <w:szCs w:val="17"/>
                <w:lang w:val="fr-FR"/>
              </w:rPr>
              <w:t>(Royaume-Uni) Proposal for the 02 series of amendments to Regulation No. 66 (Strength of superstructure (buses))</w:t>
            </w:r>
          </w:p>
        </w:tc>
        <w:tc>
          <w:tcPr>
            <w:tcW w:w="483" w:type="dxa"/>
            <w:shd w:val="clear" w:color="auto" w:fill="auto"/>
          </w:tcPr>
          <w:p w:rsidR="003A2D14" w:rsidRPr="008021AA" w:rsidRDefault="003A2D14" w:rsidP="008021AA">
            <w:pPr>
              <w:spacing w:before="40" w:after="40" w:line="220" w:lineRule="exact"/>
              <w:ind w:right="113"/>
              <w:jc w:val="center"/>
              <w:rPr>
                <w:sz w:val="17"/>
                <w:szCs w:val="17"/>
                <w:lang w:val="fr-FR"/>
              </w:rPr>
            </w:pPr>
            <w:r w:rsidRPr="008021AA">
              <w:rPr>
                <w:sz w:val="17"/>
                <w:szCs w:val="17"/>
                <w:lang w:val="fr-FR"/>
              </w:rPr>
              <w:t>e)</w:t>
            </w:r>
          </w:p>
        </w:tc>
      </w:tr>
      <w:tr w:rsidR="003A2D14" w:rsidRPr="008021AA" w:rsidTr="008021AA">
        <w:tc>
          <w:tcPr>
            <w:tcW w:w="1843" w:type="dxa"/>
            <w:tcBorders>
              <w:bottom w:val="single" w:sz="12" w:space="0" w:color="auto"/>
            </w:tcBorders>
            <w:shd w:val="clear" w:color="auto" w:fill="auto"/>
          </w:tcPr>
          <w:p w:rsidR="003A2D14" w:rsidRPr="008021AA" w:rsidRDefault="003A2D14" w:rsidP="008021AA">
            <w:pPr>
              <w:spacing w:before="40" w:after="40" w:line="220" w:lineRule="exact"/>
              <w:ind w:right="113"/>
              <w:rPr>
                <w:sz w:val="17"/>
                <w:szCs w:val="17"/>
                <w:lang w:val="fr-FR"/>
              </w:rPr>
            </w:pPr>
            <w:r w:rsidRPr="008021AA">
              <w:rPr>
                <w:sz w:val="17"/>
                <w:szCs w:val="17"/>
                <w:lang w:val="fr-FR"/>
              </w:rPr>
              <w:t>GRSG-110-20-Rev.1</w:t>
            </w:r>
          </w:p>
        </w:tc>
        <w:tc>
          <w:tcPr>
            <w:tcW w:w="6178" w:type="dxa"/>
            <w:tcBorders>
              <w:bottom w:val="single" w:sz="12" w:space="0" w:color="auto"/>
            </w:tcBorders>
            <w:shd w:val="clear" w:color="auto" w:fill="auto"/>
          </w:tcPr>
          <w:p w:rsidR="003A2D14" w:rsidRPr="008021AA" w:rsidRDefault="003A2D14" w:rsidP="008021AA">
            <w:pPr>
              <w:spacing w:before="40" w:after="40" w:line="220" w:lineRule="exact"/>
              <w:ind w:right="113"/>
              <w:rPr>
                <w:sz w:val="17"/>
                <w:szCs w:val="17"/>
                <w:lang w:val="fr-FR"/>
              </w:rPr>
            </w:pPr>
            <w:r w:rsidRPr="008021AA">
              <w:rPr>
                <w:sz w:val="17"/>
                <w:szCs w:val="17"/>
                <w:lang w:val="fr-FR"/>
              </w:rPr>
              <w:t>(CLCCR) Proposal for amendments to Regulation No. 73 (Lateral protection devices)</w:t>
            </w:r>
          </w:p>
        </w:tc>
        <w:tc>
          <w:tcPr>
            <w:tcW w:w="483" w:type="dxa"/>
            <w:tcBorders>
              <w:bottom w:val="single" w:sz="12" w:space="0" w:color="auto"/>
            </w:tcBorders>
            <w:shd w:val="clear" w:color="auto" w:fill="auto"/>
          </w:tcPr>
          <w:p w:rsidR="003A2D14" w:rsidRPr="008021AA" w:rsidRDefault="003A2D14" w:rsidP="008021AA">
            <w:pPr>
              <w:spacing w:before="40" w:after="40" w:line="220" w:lineRule="exact"/>
              <w:ind w:right="113"/>
              <w:jc w:val="center"/>
              <w:rPr>
                <w:sz w:val="17"/>
                <w:szCs w:val="17"/>
                <w:lang w:val="fr-FR"/>
              </w:rPr>
            </w:pPr>
            <w:r w:rsidRPr="008021AA">
              <w:rPr>
                <w:sz w:val="17"/>
                <w:szCs w:val="17"/>
                <w:lang w:val="fr-FR"/>
              </w:rPr>
              <w:t>f)</w:t>
            </w:r>
          </w:p>
        </w:tc>
      </w:tr>
    </w:tbl>
    <w:p w:rsidR="003A2D14" w:rsidRPr="008021AA" w:rsidRDefault="008021AA" w:rsidP="008021AA">
      <w:pPr>
        <w:pStyle w:val="SingleTxtG"/>
        <w:spacing w:before="120" w:after="0"/>
        <w:rPr>
          <w:i/>
          <w:sz w:val="18"/>
          <w:szCs w:val="18"/>
          <w:lang w:val="fr-FR"/>
        </w:rPr>
      </w:pPr>
      <w:r>
        <w:rPr>
          <w:i/>
          <w:sz w:val="18"/>
          <w:szCs w:val="18"/>
          <w:lang w:val="fr-FR"/>
        </w:rPr>
        <w:t>Notes </w:t>
      </w:r>
      <w:r w:rsidR="003A2D14" w:rsidRPr="008021AA">
        <w:t>:</w:t>
      </w:r>
    </w:p>
    <w:p w:rsidR="003A2D14" w:rsidRPr="008021AA" w:rsidRDefault="003A2D14" w:rsidP="008021AA">
      <w:pPr>
        <w:pStyle w:val="SingleTxtG"/>
        <w:spacing w:after="0"/>
        <w:rPr>
          <w:sz w:val="18"/>
          <w:szCs w:val="18"/>
          <w:lang w:val="fr-FR"/>
        </w:rPr>
      </w:pPr>
      <w:r w:rsidRPr="008021AA">
        <w:rPr>
          <w:sz w:val="18"/>
          <w:szCs w:val="18"/>
          <w:lang w:val="fr-FR"/>
        </w:rPr>
        <w:t>a)</w:t>
      </w:r>
      <w:r w:rsidRPr="008021AA">
        <w:rPr>
          <w:sz w:val="18"/>
          <w:szCs w:val="18"/>
          <w:lang w:val="fr-FR"/>
        </w:rPr>
        <w:tab/>
        <w:t>Document adopté sans modifications et transmis au Forum mondial pour examen.</w:t>
      </w:r>
    </w:p>
    <w:p w:rsidR="003A2D14" w:rsidRPr="008021AA" w:rsidRDefault="003A2D14" w:rsidP="008021AA">
      <w:pPr>
        <w:pStyle w:val="SingleTxtG"/>
        <w:spacing w:after="0"/>
        <w:rPr>
          <w:sz w:val="18"/>
          <w:szCs w:val="18"/>
          <w:lang w:val="fr-FR"/>
        </w:rPr>
      </w:pPr>
      <w:r w:rsidRPr="008021AA">
        <w:rPr>
          <w:sz w:val="18"/>
          <w:szCs w:val="18"/>
          <w:lang w:val="fr-FR"/>
        </w:rPr>
        <w:t>b)</w:t>
      </w:r>
      <w:r w:rsidRPr="008021AA">
        <w:rPr>
          <w:sz w:val="18"/>
          <w:szCs w:val="18"/>
          <w:lang w:val="fr-FR"/>
        </w:rPr>
        <w:tab/>
        <w:t>Document adopté avec des modifications et transmis au Forum mondial pour examen.</w:t>
      </w:r>
    </w:p>
    <w:p w:rsidR="003A2D14" w:rsidRPr="008021AA" w:rsidRDefault="003A2D14" w:rsidP="008021AA">
      <w:pPr>
        <w:pStyle w:val="SingleTxtG"/>
        <w:spacing w:after="0"/>
        <w:rPr>
          <w:sz w:val="18"/>
          <w:szCs w:val="18"/>
          <w:lang w:val="fr-FR"/>
        </w:rPr>
      </w:pPr>
      <w:r w:rsidRPr="008021AA">
        <w:rPr>
          <w:sz w:val="18"/>
          <w:szCs w:val="18"/>
          <w:lang w:val="fr-FR"/>
        </w:rPr>
        <w:t>c)</w:t>
      </w:r>
      <w:r w:rsidRPr="008021AA">
        <w:rPr>
          <w:sz w:val="18"/>
          <w:szCs w:val="18"/>
          <w:lang w:val="fr-FR"/>
        </w:rPr>
        <w:tab/>
        <w:t>Document dont l</w:t>
      </w:r>
      <w:r w:rsidR="006B6352" w:rsidRPr="008021AA">
        <w:rPr>
          <w:sz w:val="18"/>
          <w:szCs w:val="18"/>
          <w:lang w:val="fr-FR"/>
        </w:rPr>
        <w:t>’</w:t>
      </w:r>
      <w:r w:rsidRPr="008021AA">
        <w:rPr>
          <w:sz w:val="18"/>
          <w:szCs w:val="18"/>
          <w:lang w:val="fr-FR"/>
        </w:rPr>
        <w:t>examen doit être repris sous une cote officielle.</w:t>
      </w:r>
    </w:p>
    <w:p w:rsidR="003A2D14" w:rsidRPr="008021AA" w:rsidRDefault="003A2D14" w:rsidP="008021AA">
      <w:pPr>
        <w:pStyle w:val="SingleTxtG"/>
        <w:spacing w:after="0"/>
        <w:rPr>
          <w:sz w:val="18"/>
          <w:szCs w:val="18"/>
          <w:lang w:val="fr-FR"/>
        </w:rPr>
      </w:pPr>
      <w:r w:rsidRPr="008021AA">
        <w:rPr>
          <w:sz w:val="18"/>
          <w:szCs w:val="18"/>
          <w:lang w:val="fr-FR"/>
        </w:rPr>
        <w:t>d)</w:t>
      </w:r>
      <w:r w:rsidRPr="008021AA">
        <w:rPr>
          <w:sz w:val="18"/>
          <w:szCs w:val="18"/>
          <w:lang w:val="fr-FR"/>
        </w:rPr>
        <w:tab/>
        <w:t>Document conservé à titre de référence ou dont l</w:t>
      </w:r>
      <w:r w:rsidR="006B6352" w:rsidRPr="008021AA">
        <w:rPr>
          <w:sz w:val="18"/>
          <w:szCs w:val="18"/>
          <w:lang w:val="fr-FR"/>
        </w:rPr>
        <w:t>’</w:t>
      </w:r>
      <w:r w:rsidRPr="008021AA">
        <w:rPr>
          <w:sz w:val="18"/>
          <w:szCs w:val="18"/>
          <w:lang w:val="fr-FR"/>
        </w:rPr>
        <w:t>examen doit se poursuivre.</w:t>
      </w:r>
    </w:p>
    <w:p w:rsidR="003A2D14" w:rsidRPr="008021AA" w:rsidRDefault="003A2D14" w:rsidP="008021AA">
      <w:pPr>
        <w:pStyle w:val="SingleTxtG"/>
        <w:spacing w:after="0"/>
        <w:rPr>
          <w:sz w:val="18"/>
          <w:szCs w:val="18"/>
          <w:lang w:val="fr-FR"/>
        </w:rPr>
      </w:pPr>
      <w:r w:rsidRPr="008021AA">
        <w:rPr>
          <w:sz w:val="18"/>
          <w:szCs w:val="18"/>
          <w:lang w:val="fr-FR"/>
        </w:rPr>
        <w:t>e)</w:t>
      </w:r>
      <w:r w:rsidRPr="008021AA">
        <w:rPr>
          <w:sz w:val="18"/>
          <w:szCs w:val="18"/>
          <w:lang w:val="fr-FR"/>
        </w:rPr>
        <w:tab/>
        <w:t>Proposition révisée destinée à la prochaine session.</w:t>
      </w:r>
    </w:p>
    <w:p w:rsidR="003A2D14" w:rsidRPr="008021AA" w:rsidRDefault="003A2D14" w:rsidP="008021AA">
      <w:pPr>
        <w:pStyle w:val="SingleTxtG"/>
        <w:spacing w:after="0"/>
        <w:rPr>
          <w:sz w:val="18"/>
          <w:szCs w:val="18"/>
          <w:lang w:val="fr-FR"/>
        </w:rPr>
      </w:pPr>
      <w:r w:rsidRPr="008021AA">
        <w:rPr>
          <w:sz w:val="18"/>
          <w:szCs w:val="18"/>
          <w:lang w:val="fr-FR"/>
        </w:rPr>
        <w:t>f)</w:t>
      </w:r>
      <w:r w:rsidRPr="008021AA">
        <w:rPr>
          <w:sz w:val="18"/>
          <w:szCs w:val="18"/>
          <w:lang w:val="fr-FR"/>
        </w:rPr>
        <w:tab/>
        <w:t>Document dont l</w:t>
      </w:r>
      <w:r w:rsidR="006B6352" w:rsidRPr="008021AA">
        <w:rPr>
          <w:sz w:val="18"/>
          <w:szCs w:val="18"/>
          <w:lang w:val="fr-FR"/>
        </w:rPr>
        <w:t>’</w:t>
      </w:r>
      <w:r w:rsidRPr="008021AA">
        <w:rPr>
          <w:sz w:val="18"/>
          <w:szCs w:val="18"/>
          <w:lang w:val="fr-FR"/>
        </w:rPr>
        <w:t>examen est achevé ou qui doit être remplacé.</w:t>
      </w:r>
    </w:p>
    <w:p w:rsidR="003A2D14" w:rsidRPr="00FD3034" w:rsidRDefault="003A2D14" w:rsidP="003A2D14">
      <w:pPr>
        <w:pStyle w:val="HChG"/>
      </w:pPr>
      <w:r>
        <w:br w:type="page"/>
      </w:r>
      <w:r w:rsidR="0007077F">
        <w:t>Annexe </w:t>
      </w:r>
      <w:r w:rsidRPr="00FD3034">
        <w:t>II</w:t>
      </w:r>
    </w:p>
    <w:p w:rsidR="003A2D14" w:rsidRPr="00FD3034" w:rsidRDefault="00182E3B" w:rsidP="00182E3B">
      <w:pPr>
        <w:pStyle w:val="HChG"/>
        <w:rPr>
          <w:i/>
        </w:rPr>
      </w:pPr>
      <w:r>
        <w:tab/>
      </w:r>
      <w:r>
        <w:tab/>
      </w:r>
      <w:r w:rsidR="003A2D14" w:rsidRPr="00FD3034">
        <w:t>Projet de complément 5 à la série 01 d</w:t>
      </w:r>
      <w:r w:rsidR="006B6352">
        <w:t>’</w:t>
      </w:r>
      <w:r w:rsidR="003A2D14" w:rsidRPr="00FD3034">
        <w:t>amendements au Règlement n</w:t>
      </w:r>
      <w:r w:rsidR="003A2D14" w:rsidRPr="00FD3034">
        <w:rPr>
          <w:vertAlign w:val="superscript"/>
        </w:rPr>
        <w:t>o</w:t>
      </w:r>
      <w:r w:rsidR="0007077F">
        <w:t> 43 (par. </w:t>
      </w:r>
      <w:r w:rsidR="003A2D14" w:rsidRPr="00FD3034">
        <w:t>17) (remplace et annule le document ECE/TRANS/WP.29/GRSG/2016/21)</w:t>
      </w:r>
    </w:p>
    <w:p w:rsidR="003A2D14" w:rsidRPr="00182E3B" w:rsidRDefault="0007077F" w:rsidP="008A295D">
      <w:pPr>
        <w:pStyle w:val="SingleTxtG"/>
        <w:spacing w:after="100" w:line="220" w:lineRule="atLeast"/>
        <w:rPr>
          <w:i/>
        </w:rPr>
      </w:pPr>
      <w:r w:rsidRPr="00182E3B">
        <w:rPr>
          <w:i/>
          <w:lang w:eastAsia="ar-SA"/>
        </w:rPr>
        <w:t>Annexe </w:t>
      </w:r>
      <w:r w:rsidR="003A2D14" w:rsidRPr="00182E3B">
        <w:rPr>
          <w:i/>
          <w:lang w:eastAsia="ar-SA"/>
        </w:rPr>
        <w:t>14</w:t>
      </w:r>
    </w:p>
    <w:p w:rsidR="003A2D14" w:rsidRPr="00FD3034" w:rsidRDefault="0007077F" w:rsidP="008A295D">
      <w:pPr>
        <w:pStyle w:val="SingleTxtG"/>
        <w:keepNext/>
        <w:keepLines/>
        <w:spacing w:after="100" w:line="220" w:lineRule="atLeast"/>
        <w:rPr>
          <w:lang w:eastAsia="ar-SA"/>
        </w:rPr>
      </w:pPr>
      <w:r>
        <w:rPr>
          <w:i/>
          <w:lang w:eastAsia="ar-SA"/>
        </w:rPr>
        <w:t>Paragraphe </w:t>
      </w:r>
      <w:r w:rsidR="003A2D14" w:rsidRPr="00FD3034">
        <w:rPr>
          <w:i/>
          <w:lang w:eastAsia="ar-SA"/>
        </w:rPr>
        <w:t>1</w:t>
      </w:r>
      <w:r w:rsidR="003A2D14" w:rsidRPr="0007077F">
        <w:t>,</w:t>
      </w:r>
      <w:r w:rsidR="003A2D14" w:rsidRPr="00FD3034">
        <w:rPr>
          <w:lang w:eastAsia="ar-SA"/>
        </w:rPr>
        <w:t xml:space="preserve"> modifier comme suit :</w:t>
      </w:r>
    </w:p>
    <w:p w:rsidR="003A2D14" w:rsidRPr="00FD3034" w:rsidRDefault="003A2D14" w:rsidP="008A295D">
      <w:pPr>
        <w:tabs>
          <w:tab w:val="left" w:pos="2835"/>
          <w:tab w:val="left" w:pos="8505"/>
        </w:tabs>
        <w:spacing w:after="100" w:line="220" w:lineRule="atLeast"/>
        <w:ind w:left="2268" w:right="1134" w:hanging="1134"/>
        <w:jc w:val="both"/>
      </w:pPr>
      <w:r w:rsidRPr="00FD3034">
        <w:t>« 1.</w:t>
      </w:r>
      <w:r w:rsidRPr="00FD3034">
        <w:tab/>
        <w:t xml:space="preserve">On considère que les vitrages en plastique rigide (...) des </w:t>
      </w:r>
      <w:r w:rsidRPr="00FD3034">
        <w:rPr>
          <w:b/>
        </w:rPr>
        <w:t xml:space="preserve">caractéristiques principales </w:t>
      </w:r>
      <w:r w:rsidRPr="00FD3034">
        <w:t>suivan</w:t>
      </w:r>
      <w:r w:rsidR="0007077F">
        <w:t>tes</w:t>
      </w:r>
      <w:r w:rsidRPr="00FD3034">
        <w:t> ».</w:t>
      </w:r>
    </w:p>
    <w:p w:rsidR="003A2D14" w:rsidRPr="00FD3034" w:rsidRDefault="003A2D14" w:rsidP="008A295D">
      <w:pPr>
        <w:pStyle w:val="SingleTxtG"/>
        <w:keepNext/>
        <w:keepLines/>
        <w:spacing w:after="100" w:line="220" w:lineRule="atLeast"/>
        <w:rPr>
          <w:lang w:eastAsia="ar-SA"/>
        </w:rPr>
      </w:pPr>
      <w:r w:rsidRPr="00FD3034">
        <w:rPr>
          <w:i/>
          <w:lang w:eastAsia="ar-SA"/>
        </w:rPr>
        <w:t>Paragraphe 1.1.6</w:t>
      </w:r>
      <w:r w:rsidRPr="0007077F">
        <w:t xml:space="preserve">, </w:t>
      </w:r>
      <w:r w:rsidRPr="00FD3034">
        <w:rPr>
          <w:lang w:eastAsia="ar-SA"/>
        </w:rPr>
        <w:t>modifier comme suit :</w:t>
      </w:r>
    </w:p>
    <w:p w:rsidR="003A2D14" w:rsidRPr="00FD3034" w:rsidRDefault="003A2D14" w:rsidP="008A295D">
      <w:pPr>
        <w:spacing w:after="100" w:line="220" w:lineRule="atLeast"/>
        <w:ind w:left="2268" w:right="1134" w:hanging="1134"/>
        <w:jc w:val="both"/>
      </w:pPr>
      <w:r w:rsidRPr="00FD3034">
        <w:t>« 1.1.6</w:t>
      </w:r>
      <w:r w:rsidRPr="00FD3034">
        <w:tab/>
      </w:r>
      <w:r w:rsidRPr="00FD3034">
        <w:tab/>
        <w:t>L</w:t>
      </w:r>
      <w:r w:rsidR="006B6352">
        <w:t>’</w:t>
      </w:r>
      <w:r w:rsidR="0007077F">
        <w:t>épaisseur nominale,</w:t>
      </w:r>
      <w:r w:rsidRPr="00FD3034">
        <w:t xml:space="preserve"> (...) (par exemple les plastiques acryliques coulés), elle est de ± (0,4 </w:t>
      </w:r>
      <w:r w:rsidRPr="00FD3034">
        <w:rPr>
          <w:b/>
        </w:rPr>
        <w:t>mm</w:t>
      </w:r>
      <w:r w:rsidR="00182E3B">
        <w:t xml:space="preserve"> + 0,1 </w:t>
      </w:r>
      <w:r w:rsidRPr="00FD3034">
        <w:t>e),</w:t>
      </w:r>
    </w:p>
    <w:p w:rsidR="003A2D14" w:rsidRPr="00FD3034" w:rsidRDefault="003A2D14" w:rsidP="008A295D">
      <w:pPr>
        <w:spacing w:after="100" w:line="220" w:lineRule="atLeast"/>
        <w:ind w:left="2268" w:right="1134"/>
        <w:jc w:val="both"/>
      </w:pPr>
      <w:r w:rsidRPr="00FD3034">
        <w:t>e étant l</w:t>
      </w:r>
      <w:r w:rsidR="006B6352">
        <w:t>’</w:t>
      </w:r>
      <w:r w:rsidRPr="00FD3034">
        <w:t xml:space="preserve">épaisseur </w:t>
      </w:r>
      <w:r w:rsidRPr="00FD3034">
        <w:rPr>
          <w:b/>
        </w:rPr>
        <w:t>nominale</w:t>
      </w:r>
      <w:r w:rsidRPr="00FD3034">
        <w:t xml:space="preserve"> du vitrage en millimètres.</w:t>
      </w:r>
    </w:p>
    <w:p w:rsidR="003A2D14" w:rsidRPr="00FD3034" w:rsidRDefault="003A2D14" w:rsidP="008A295D">
      <w:pPr>
        <w:spacing w:after="100" w:line="220" w:lineRule="atLeast"/>
        <w:ind w:left="2268" w:right="1134"/>
        <w:jc w:val="both"/>
      </w:pPr>
      <w:r w:rsidRPr="00FD3034">
        <w:t xml:space="preserve">La norme de référence est la norme ISO </w:t>
      </w:r>
      <w:r w:rsidR="00D64952">
        <w:rPr>
          <w:b/>
        </w:rPr>
        <w:t>7823-1</w:t>
      </w:r>
      <w:r w:rsidR="001E2511">
        <w:rPr>
          <w:b/>
        </w:rPr>
        <w:t>:</w:t>
      </w:r>
      <w:r w:rsidRPr="00FD3034">
        <w:rPr>
          <w:b/>
        </w:rPr>
        <w:t>2003</w:t>
      </w:r>
      <w:r w:rsidRPr="00FD3034">
        <w:t> ».</w:t>
      </w:r>
    </w:p>
    <w:p w:rsidR="003A2D14" w:rsidRPr="00FD3034" w:rsidRDefault="003A2D14" w:rsidP="008A295D">
      <w:pPr>
        <w:pStyle w:val="SingleTxtG"/>
        <w:keepNext/>
        <w:keepLines/>
        <w:spacing w:after="100" w:line="220" w:lineRule="atLeast"/>
        <w:rPr>
          <w:lang w:eastAsia="ar-SA"/>
        </w:rPr>
      </w:pPr>
      <w:r w:rsidRPr="00FD3034">
        <w:rPr>
          <w:i/>
          <w:lang w:eastAsia="ar-SA"/>
        </w:rPr>
        <w:t>Ajouter un nouveau paragraphe 1.2.2</w:t>
      </w:r>
      <w:r w:rsidRPr="00FD3034">
        <w:rPr>
          <w:lang w:eastAsia="ar-SA"/>
        </w:rPr>
        <w:t>, ainsi conçu :</w:t>
      </w:r>
    </w:p>
    <w:p w:rsidR="003A2D14" w:rsidRPr="00FD3034" w:rsidRDefault="003A2D14" w:rsidP="008A295D">
      <w:pPr>
        <w:pStyle w:val="SingleTxtG"/>
        <w:keepNext/>
        <w:keepLines/>
        <w:spacing w:after="100" w:line="220" w:lineRule="atLeast"/>
      </w:pPr>
      <w:r w:rsidRPr="00FD3034">
        <w:t>« </w:t>
      </w:r>
      <w:r w:rsidRPr="00FD3034">
        <w:rPr>
          <w:b/>
        </w:rPr>
        <w:t>1.2.2</w:t>
      </w:r>
      <w:r w:rsidRPr="00FD3034">
        <w:rPr>
          <w:b/>
        </w:rPr>
        <w:tab/>
      </w:r>
      <w:r w:rsidR="00182E3B">
        <w:rPr>
          <w:b/>
        </w:rPr>
        <w:tab/>
      </w:r>
      <w:r w:rsidRPr="00FD3034">
        <w:rPr>
          <w:b/>
        </w:rPr>
        <w:t>La présence ou l</w:t>
      </w:r>
      <w:r w:rsidR="006B6352">
        <w:rPr>
          <w:b/>
        </w:rPr>
        <w:t>’</w:t>
      </w:r>
      <w:r w:rsidRPr="00FD3034">
        <w:rPr>
          <w:b/>
        </w:rPr>
        <w:t>absence de masques opaques</w:t>
      </w:r>
      <w:r w:rsidRPr="00FD3034">
        <w:t> ».</w:t>
      </w:r>
    </w:p>
    <w:p w:rsidR="003A2D14" w:rsidRPr="00FD3034" w:rsidRDefault="003A2D14" w:rsidP="008A295D">
      <w:pPr>
        <w:spacing w:after="100" w:line="220" w:lineRule="atLeast"/>
        <w:ind w:left="1134" w:right="1134"/>
        <w:jc w:val="both"/>
      </w:pPr>
      <w:r w:rsidRPr="00FD3034">
        <w:rPr>
          <w:i/>
        </w:rPr>
        <w:t>Paragraphe 4.2</w:t>
      </w:r>
      <w:r w:rsidRPr="00FD3034">
        <w:t xml:space="preserve">, modifier comme suit (en ajoutant aussi </w:t>
      </w:r>
      <w:r w:rsidR="00D64952">
        <w:t>un appel de note de bas de page</w:t>
      </w:r>
      <w:r w:rsidRPr="00FD3034">
        <w:rPr>
          <w:vertAlign w:val="superscript"/>
        </w:rPr>
        <w:t>1</w:t>
      </w:r>
      <w:r w:rsidRPr="00FD3034">
        <w:t xml:space="preserve"> ainsi que la note correspondante) :</w:t>
      </w:r>
    </w:p>
    <w:p w:rsidR="003A2D14" w:rsidRPr="00FD3034" w:rsidRDefault="003A2D14" w:rsidP="008A295D">
      <w:pPr>
        <w:pStyle w:val="SingleTxtG"/>
        <w:keepNext/>
        <w:keepLines/>
        <w:spacing w:after="100" w:line="220" w:lineRule="atLeast"/>
      </w:pPr>
      <w:r w:rsidRPr="00FD3034">
        <w:t>« 4.2</w:t>
      </w:r>
      <w:r w:rsidRPr="00FD3034">
        <w:tab/>
      </w:r>
      <w:r w:rsidR="00182E3B">
        <w:tab/>
      </w:r>
      <w:r w:rsidRPr="00FD3034">
        <w:t>Nombre d</w:t>
      </w:r>
      <w:r w:rsidR="006B6352">
        <w:t>’</w:t>
      </w:r>
      <w:r w:rsidRPr="00FD3034">
        <w:t>éprouvettes</w:t>
      </w:r>
    </w:p>
    <w:p w:rsidR="003A2D14" w:rsidRPr="00FD3034" w:rsidRDefault="003A2D14" w:rsidP="008A295D">
      <w:pPr>
        <w:spacing w:after="100" w:line="220" w:lineRule="atLeast"/>
        <w:ind w:left="2268" w:right="1134"/>
        <w:jc w:val="both"/>
      </w:pPr>
      <w:r w:rsidRPr="00FD3034">
        <w:tab/>
        <w:t>Six éprouve</w:t>
      </w:r>
      <w:r w:rsidR="00D64952">
        <w:t>ttes plates (1</w:t>
      </w:r>
      <w:r w:rsidR="00182E3B">
        <w:t> 170 </w:t>
      </w:r>
      <w:r w:rsidR="00D64952">
        <w:t>x</w:t>
      </w:r>
      <w:r w:rsidR="00182E3B">
        <w:t> </w:t>
      </w:r>
      <w:r w:rsidR="00D64952">
        <w:t>570 + 0/-2 </w:t>
      </w:r>
      <w:r w:rsidRPr="00FD3034">
        <w:t>mm) ou six pièces complètes sont soumises aux essais.</w:t>
      </w:r>
    </w:p>
    <w:p w:rsidR="003A2D14" w:rsidRPr="00FD3034" w:rsidRDefault="003A2D14" w:rsidP="008A295D">
      <w:pPr>
        <w:spacing w:after="100" w:line="220" w:lineRule="atLeast"/>
        <w:ind w:left="2268" w:right="1134"/>
        <w:jc w:val="both"/>
        <w:rPr>
          <w:b/>
        </w:rPr>
      </w:pPr>
      <w:r w:rsidRPr="00FD3034">
        <w:rPr>
          <w:b/>
        </w:rPr>
        <w:t>Le tableau ci-dessous montre le type d</w:t>
      </w:r>
      <w:r w:rsidR="006B6352">
        <w:rPr>
          <w:b/>
        </w:rPr>
        <w:t>’</w:t>
      </w:r>
      <w:r w:rsidRPr="00FD3034">
        <w:rPr>
          <w:b/>
        </w:rPr>
        <w:t>éprouvettes à soumettre à des</w:t>
      </w:r>
      <w:r w:rsidR="00182E3B">
        <w:rPr>
          <w:b/>
        </w:rPr>
        <w:t> </w:t>
      </w:r>
      <w:r w:rsidRPr="00FD3034">
        <w:rPr>
          <w:b/>
        </w:rPr>
        <w:t>essais, en fonction des dimensions de la vitre à évaluer.</w:t>
      </w:r>
    </w:p>
    <w:tbl>
      <w:tblPr>
        <w:tblW w:w="7377"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38"/>
        <w:gridCol w:w="1800"/>
        <w:gridCol w:w="2269"/>
        <w:gridCol w:w="2270"/>
      </w:tblGrid>
      <w:tr w:rsidR="003A2D14" w:rsidRPr="00FD3034" w:rsidTr="00651D17">
        <w:trPr>
          <w:tblHeader/>
        </w:trPr>
        <w:tc>
          <w:tcPr>
            <w:tcW w:w="1038" w:type="dxa"/>
            <w:tcBorders>
              <w:bottom w:val="single" w:sz="12" w:space="0" w:color="auto"/>
            </w:tcBorders>
            <w:shd w:val="clear" w:color="auto" w:fill="auto"/>
            <w:hideMark/>
          </w:tcPr>
          <w:p w:rsidR="003A2D14" w:rsidRPr="00FD3034" w:rsidRDefault="003A2D14" w:rsidP="00651D17">
            <w:pPr>
              <w:spacing w:before="80" w:after="80" w:line="200" w:lineRule="exact"/>
              <w:ind w:left="57" w:right="57"/>
              <w:rPr>
                <w:rFonts w:eastAsia="MS Mincho"/>
                <w:b/>
                <w:i/>
                <w:sz w:val="16"/>
                <w:szCs w:val="16"/>
              </w:rPr>
            </w:pPr>
            <w:r w:rsidRPr="00FD3034">
              <w:rPr>
                <w:b/>
                <w:i/>
                <w:sz w:val="16"/>
              </w:rPr>
              <w:t xml:space="preserve">Type </w:t>
            </w:r>
            <w:r w:rsidRPr="00FD3034">
              <w:rPr>
                <w:b/>
                <w:i/>
                <w:sz w:val="16"/>
              </w:rPr>
              <w:br/>
              <w:t>de fenêtre</w:t>
            </w:r>
          </w:p>
        </w:tc>
        <w:tc>
          <w:tcPr>
            <w:tcW w:w="1800" w:type="dxa"/>
            <w:tcBorders>
              <w:bottom w:val="single" w:sz="12" w:space="0" w:color="auto"/>
            </w:tcBorders>
            <w:shd w:val="clear" w:color="auto" w:fill="auto"/>
            <w:vAlign w:val="bottom"/>
            <w:hideMark/>
          </w:tcPr>
          <w:p w:rsidR="003A2D14" w:rsidRPr="00FD3034" w:rsidRDefault="003A2D14" w:rsidP="00651D17">
            <w:pPr>
              <w:spacing w:before="80" w:after="80" w:line="200" w:lineRule="exact"/>
              <w:ind w:left="57" w:right="57"/>
              <w:rPr>
                <w:rFonts w:eastAsia="MS Mincho"/>
                <w:b/>
                <w:i/>
                <w:sz w:val="16"/>
                <w:szCs w:val="16"/>
              </w:rPr>
            </w:pPr>
            <w:r w:rsidRPr="00FD3034">
              <w:rPr>
                <w:b/>
                <w:i/>
                <w:sz w:val="16"/>
              </w:rPr>
              <w:t xml:space="preserve">Caractéristique </w:t>
            </w:r>
            <w:r w:rsidRPr="00FD3034">
              <w:rPr>
                <w:b/>
                <w:i/>
                <w:sz w:val="16"/>
              </w:rPr>
              <w:br/>
              <w:t>de la fenêtre</w:t>
            </w:r>
          </w:p>
        </w:tc>
        <w:tc>
          <w:tcPr>
            <w:tcW w:w="2269" w:type="dxa"/>
            <w:tcBorders>
              <w:bottom w:val="single" w:sz="12" w:space="0" w:color="auto"/>
            </w:tcBorders>
            <w:shd w:val="clear" w:color="auto" w:fill="auto"/>
            <w:vAlign w:val="bottom"/>
            <w:hideMark/>
          </w:tcPr>
          <w:p w:rsidR="003A2D14" w:rsidRPr="00FD3034" w:rsidRDefault="003A2D14" w:rsidP="00651D17">
            <w:pPr>
              <w:spacing w:before="80" w:after="80" w:line="200" w:lineRule="exact"/>
              <w:ind w:left="57" w:right="57"/>
              <w:rPr>
                <w:rFonts w:eastAsia="MS Mincho"/>
                <w:b/>
                <w:i/>
                <w:sz w:val="16"/>
                <w:szCs w:val="16"/>
              </w:rPr>
            </w:pPr>
            <w:r w:rsidRPr="00FD3034">
              <w:rPr>
                <w:b/>
                <w:i/>
                <w:sz w:val="16"/>
              </w:rPr>
              <w:t xml:space="preserve">Dimensions </w:t>
            </w:r>
            <w:r w:rsidRPr="00FD3034">
              <w:rPr>
                <w:b/>
                <w:i/>
                <w:sz w:val="16"/>
              </w:rPr>
              <w:br/>
              <w:t>de l</w:t>
            </w:r>
            <w:r w:rsidR="006B6352">
              <w:rPr>
                <w:b/>
                <w:i/>
                <w:sz w:val="16"/>
              </w:rPr>
              <w:t>’</w:t>
            </w:r>
            <w:r w:rsidRPr="00FD3034">
              <w:rPr>
                <w:b/>
                <w:i/>
                <w:sz w:val="16"/>
              </w:rPr>
              <w:t>éprouvette plate</w:t>
            </w:r>
          </w:p>
        </w:tc>
        <w:tc>
          <w:tcPr>
            <w:tcW w:w="2270" w:type="dxa"/>
            <w:tcBorders>
              <w:bottom w:val="single" w:sz="12" w:space="0" w:color="auto"/>
            </w:tcBorders>
            <w:shd w:val="clear" w:color="auto" w:fill="auto"/>
            <w:vAlign w:val="bottom"/>
            <w:hideMark/>
          </w:tcPr>
          <w:p w:rsidR="003A2D14" w:rsidRPr="00FD3034" w:rsidRDefault="003A2D14" w:rsidP="00651D17">
            <w:pPr>
              <w:spacing w:before="80" w:after="80" w:line="200" w:lineRule="exact"/>
              <w:ind w:left="57" w:right="57"/>
              <w:rPr>
                <w:rFonts w:eastAsia="MS Mincho"/>
                <w:b/>
                <w:i/>
                <w:sz w:val="16"/>
                <w:szCs w:val="16"/>
              </w:rPr>
            </w:pPr>
            <w:r w:rsidRPr="00FD3034">
              <w:rPr>
                <w:b/>
                <w:i/>
                <w:sz w:val="16"/>
              </w:rPr>
              <w:t>Autre solution</w:t>
            </w:r>
          </w:p>
        </w:tc>
      </w:tr>
      <w:tr w:rsidR="003A2D14" w:rsidRPr="008A295D" w:rsidTr="00651D17">
        <w:tc>
          <w:tcPr>
            <w:tcW w:w="1038" w:type="dxa"/>
            <w:tcBorders>
              <w:top w:val="single" w:sz="12" w:space="0" w:color="auto"/>
              <w:bottom w:val="single" w:sz="2" w:space="0" w:color="auto"/>
            </w:tcBorders>
            <w:shd w:val="clear" w:color="auto" w:fill="auto"/>
            <w:tcMar>
              <w:left w:w="0" w:type="dxa"/>
            </w:tcMar>
            <w:hideMark/>
          </w:tcPr>
          <w:p w:rsidR="003A2D14" w:rsidRPr="008A295D" w:rsidRDefault="003A2D14" w:rsidP="00651D17">
            <w:pPr>
              <w:spacing w:before="40" w:after="60" w:line="200" w:lineRule="exact"/>
              <w:ind w:left="57" w:right="57"/>
              <w:rPr>
                <w:rFonts w:eastAsia="MS Mincho"/>
                <w:b/>
                <w:sz w:val="15"/>
                <w:szCs w:val="15"/>
              </w:rPr>
            </w:pPr>
            <w:r w:rsidRPr="008A295D">
              <w:rPr>
                <w:b/>
                <w:sz w:val="15"/>
                <w:szCs w:val="15"/>
              </w:rPr>
              <w:t>Petite fenêtre</w:t>
            </w:r>
          </w:p>
        </w:tc>
        <w:tc>
          <w:tcPr>
            <w:tcW w:w="1800" w:type="dxa"/>
            <w:tcBorders>
              <w:top w:val="single" w:sz="12" w:space="0" w:color="auto"/>
              <w:bottom w:val="single" w:sz="2" w:space="0" w:color="auto"/>
            </w:tcBorders>
            <w:shd w:val="clear" w:color="auto" w:fill="auto"/>
            <w:hideMark/>
          </w:tcPr>
          <w:p w:rsidR="003A2D14" w:rsidRPr="008A295D" w:rsidRDefault="003A2D14" w:rsidP="00651D17">
            <w:pPr>
              <w:spacing w:before="40" w:after="60" w:line="200" w:lineRule="exact"/>
              <w:ind w:left="57" w:right="57"/>
              <w:rPr>
                <w:rFonts w:eastAsia="MS Mincho"/>
                <w:b/>
                <w:sz w:val="15"/>
                <w:szCs w:val="15"/>
              </w:rPr>
            </w:pPr>
            <w:r w:rsidRPr="008A295D">
              <w:rPr>
                <w:b/>
                <w:sz w:val="15"/>
                <w:szCs w:val="15"/>
              </w:rPr>
              <w:t>Diamètre D du cercle pouvant y être inscrit :</w:t>
            </w:r>
            <w:r w:rsidR="00D64952" w:rsidRPr="008A295D">
              <w:rPr>
                <w:b/>
                <w:sz w:val="15"/>
                <w:szCs w:val="15"/>
              </w:rPr>
              <w:t xml:space="preserve"> </w:t>
            </w:r>
            <w:r w:rsidR="00D64952" w:rsidRPr="008A295D">
              <w:rPr>
                <w:rFonts w:eastAsia="MS Mincho"/>
                <w:b/>
                <w:sz w:val="15"/>
                <w:szCs w:val="15"/>
              </w:rPr>
              <w:br/>
            </w:r>
            <w:r w:rsidRPr="008A295D">
              <w:rPr>
                <w:b/>
                <w:sz w:val="15"/>
                <w:szCs w:val="15"/>
              </w:rPr>
              <w:t xml:space="preserve">D &lt; 150 mm </w:t>
            </w:r>
            <w:r w:rsidRPr="008A295D">
              <w:rPr>
                <w:b/>
                <w:sz w:val="15"/>
                <w:szCs w:val="15"/>
              </w:rPr>
              <w:br/>
              <w:t>et surface &lt; </w:t>
            </w:r>
            <w:r w:rsidRPr="008A295D">
              <w:rPr>
                <w:rFonts w:eastAsia="MS Mincho"/>
                <w:b/>
                <w:sz w:val="15"/>
                <w:szCs w:val="15"/>
              </w:rPr>
              <w:t>200 cm</w:t>
            </w:r>
            <w:r w:rsidRPr="008A295D">
              <w:rPr>
                <w:rFonts w:eastAsia="MS Mincho"/>
                <w:b/>
                <w:sz w:val="15"/>
                <w:szCs w:val="15"/>
                <w:vertAlign w:val="superscript"/>
              </w:rPr>
              <w:t>2</w:t>
            </w:r>
          </w:p>
        </w:tc>
        <w:tc>
          <w:tcPr>
            <w:tcW w:w="4539" w:type="dxa"/>
            <w:gridSpan w:val="2"/>
            <w:tcBorders>
              <w:top w:val="single" w:sz="12" w:space="0" w:color="auto"/>
              <w:bottom w:val="single" w:sz="2" w:space="0" w:color="auto"/>
            </w:tcBorders>
            <w:shd w:val="clear" w:color="auto" w:fill="auto"/>
            <w:tcMar>
              <w:left w:w="113" w:type="dxa"/>
            </w:tcMar>
            <w:vAlign w:val="center"/>
          </w:tcPr>
          <w:p w:rsidR="003A2D14" w:rsidRPr="008A295D" w:rsidRDefault="003A2D14" w:rsidP="00651D17">
            <w:pPr>
              <w:spacing w:before="40" w:after="60" w:line="200" w:lineRule="exact"/>
              <w:ind w:left="57" w:right="57"/>
              <w:jc w:val="center"/>
              <w:rPr>
                <w:rFonts w:eastAsia="MS Mincho"/>
                <w:b/>
                <w:sz w:val="15"/>
                <w:szCs w:val="15"/>
              </w:rPr>
            </w:pPr>
            <w:r w:rsidRPr="008A295D">
              <w:rPr>
                <w:b/>
                <w:sz w:val="15"/>
                <w:szCs w:val="15"/>
              </w:rPr>
              <w:t>Pas d</w:t>
            </w:r>
            <w:r w:rsidR="006B6352" w:rsidRPr="008A295D">
              <w:rPr>
                <w:b/>
                <w:sz w:val="15"/>
                <w:szCs w:val="15"/>
              </w:rPr>
              <w:t>’</w:t>
            </w:r>
            <w:r w:rsidRPr="008A295D">
              <w:rPr>
                <w:b/>
                <w:sz w:val="15"/>
                <w:szCs w:val="15"/>
              </w:rPr>
              <w:t>essai</w:t>
            </w:r>
          </w:p>
        </w:tc>
      </w:tr>
      <w:tr w:rsidR="003A2D14" w:rsidRPr="008A295D" w:rsidTr="00651D17">
        <w:tc>
          <w:tcPr>
            <w:tcW w:w="1038" w:type="dxa"/>
            <w:vMerge w:val="restart"/>
            <w:shd w:val="clear" w:color="auto" w:fill="auto"/>
            <w:tcMar>
              <w:left w:w="0" w:type="dxa"/>
            </w:tcMar>
            <w:hideMark/>
          </w:tcPr>
          <w:p w:rsidR="003A2D14" w:rsidRPr="008A295D" w:rsidRDefault="003A2D14" w:rsidP="00651D17">
            <w:pPr>
              <w:spacing w:before="40" w:after="60" w:line="200" w:lineRule="exact"/>
              <w:ind w:left="57" w:right="57"/>
              <w:rPr>
                <w:rFonts w:eastAsia="MS Mincho"/>
                <w:b/>
                <w:sz w:val="15"/>
                <w:szCs w:val="15"/>
              </w:rPr>
            </w:pPr>
            <w:r w:rsidRPr="008A295D">
              <w:rPr>
                <w:b/>
                <w:sz w:val="15"/>
                <w:szCs w:val="15"/>
              </w:rPr>
              <w:t>Fenêtre autre que petite</w:t>
            </w:r>
          </w:p>
        </w:tc>
        <w:tc>
          <w:tcPr>
            <w:tcW w:w="1800" w:type="dxa"/>
            <w:shd w:val="clear" w:color="auto" w:fill="auto"/>
            <w:hideMark/>
          </w:tcPr>
          <w:p w:rsidR="003A2D14" w:rsidRPr="008A295D" w:rsidRDefault="003A2D14" w:rsidP="00651D17">
            <w:pPr>
              <w:spacing w:before="40" w:after="60" w:line="200" w:lineRule="exact"/>
              <w:ind w:left="57" w:right="57"/>
              <w:rPr>
                <w:rFonts w:eastAsia="MS Mincho"/>
                <w:b/>
                <w:sz w:val="15"/>
                <w:szCs w:val="15"/>
              </w:rPr>
            </w:pPr>
            <w:r w:rsidRPr="008A295D">
              <w:rPr>
                <w:b/>
                <w:sz w:val="15"/>
                <w:szCs w:val="15"/>
              </w:rPr>
              <w:t>Diamètre D du cercle pouvant y être inscrit :</w:t>
            </w:r>
            <w:r w:rsidR="00651D17" w:rsidRPr="008A295D">
              <w:rPr>
                <w:b/>
                <w:sz w:val="15"/>
                <w:szCs w:val="15"/>
              </w:rPr>
              <w:t xml:space="preserve"> </w:t>
            </w:r>
            <w:r w:rsidR="00651D17" w:rsidRPr="008A295D">
              <w:rPr>
                <w:rFonts w:eastAsia="MS Mincho"/>
                <w:b/>
                <w:sz w:val="15"/>
                <w:szCs w:val="15"/>
              </w:rPr>
              <w:br/>
            </w:r>
            <w:r w:rsidRPr="008A295D">
              <w:rPr>
                <w:b/>
                <w:sz w:val="15"/>
                <w:szCs w:val="15"/>
              </w:rPr>
              <w:t>150 mm &lt; D &lt; 400 mm et surface ≥ </w:t>
            </w:r>
            <w:r w:rsidRPr="008A295D">
              <w:rPr>
                <w:rFonts w:eastAsia="MS Mincho"/>
                <w:b/>
                <w:sz w:val="15"/>
                <w:szCs w:val="15"/>
              </w:rPr>
              <w:t>200 cm</w:t>
            </w:r>
            <w:r w:rsidRPr="008A295D">
              <w:rPr>
                <w:rFonts w:eastAsia="MS Mincho"/>
                <w:b/>
                <w:sz w:val="15"/>
                <w:szCs w:val="15"/>
                <w:vertAlign w:val="superscript"/>
              </w:rPr>
              <w:t>2</w:t>
            </w:r>
          </w:p>
        </w:tc>
        <w:tc>
          <w:tcPr>
            <w:tcW w:w="2269" w:type="dxa"/>
            <w:shd w:val="clear" w:color="auto" w:fill="auto"/>
            <w:hideMark/>
          </w:tcPr>
          <w:p w:rsidR="003A2D14" w:rsidRPr="008A295D" w:rsidRDefault="003A2D14" w:rsidP="00651D17">
            <w:pPr>
              <w:spacing w:before="40" w:after="60" w:line="200" w:lineRule="exact"/>
              <w:ind w:left="57" w:right="57"/>
              <w:rPr>
                <w:rFonts w:eastAsia="MS Mincho"/>
                <w:b/>
                <w:sz w:val="15"/>
                <w:szCs w:val="15"/>
              </w:rPr>
            </w:pPr>
            <w:r w:rsidRPr="008A295D">
              <w:rPr>
                <w:b/>
                <w:sz w:val="15"/>
                <w:szCs w:val="15"/>
              </w:rPr>
              <w:t>1 170 mm x 570 mm</w:t>
            </w:r>
            <w:r w:rsidR="00651D17" w:rsidRPr="008A295D">
              <w:rPr>
                <w:b/>
                <w:sz w:val="15"/>
                <w:szCs w:val="15"/>
              </w:rPr>
              <w:t xml:space="preserve"> </w:t>
            </w:r>
            <w:r w:rsidR="00651D17" w:rsidRPr="008A295D">
              <w:rPr>
                <w:rFonts w:eastAsia="MS Mincho"/>
                <w:b/>
                <w:sz w:val="15"/>
                <w:szCs w:val="15"/>
              </w:rPr>
              <w:br/>
            </w:r>
            <w:r w:rsidRPr="008A295D">
              <w:rPr>
                <w:b/>
                <w:sz w:val="15"/>
                <w:szCs w:val="15"/>
              </w:rPr>
              <w:t>(essai du type de matériau et cadre de support standard)</w:t>
            </w:r>
          </w:p>
        </w:tc>
        <w:tc>
          <w:tcPr>
            <w:tcW w:w="2270" w:type="dxa"/>
            <w:shd w:val="clear" w:color="auto" w:fill="auto"/>
            <w:tcMar>
              <w:left w:w="0" w:type="dxa"/>
            </w:tcMar>
            <w:hideMark/>
          </w:tcPr>
          <w:p w:rsidR="003A2D14" w:rsidRPr="008A295D" w:rsidRDefault="003A2D14" w:rsidP="00651D17">
            <w:pPr>
              <w:spacing w:before="40" w:after="60" w:line="200" w:lineRule="exact"/>
              <w:ind w:left="57" w:right="57"/>
              <w:rPr>
                <w:rFonts w:eastAsia="MS Mincho"/>
                <w:b/>
                <w:sz w:val="15"/>
                <w:szCs w:val="15"/>
              </w:rPr>
            </w:pPr>
            <w:r w:rsidRPr="008A295D">
              <w:rPr>
                <w:b/>
                <w:sz w:val="15"/>
                <w:szCs w:val="15"/>
              </w:rPr>
              <w:t>Autre pièce du même matériau, procédure de production, épaisseur, couleur de dimensions supérieures à celles de la pièce d</w:t>
            </w:r>
            <w:r w:rsidR="006B6352" w:rsidRPr="008A295D">
              <w:rPr>
                <w:b/>
                <w:sz w:val="15"/>
                <w:szCs w:val="15"/>
              </w:rPr>
              <w:t>’</w:t>
            </w:r>
            <w:r w:rsidRPr="008A295D">
              <w:rPr>
                <w:b/>
                <w:sz w:val="15"/>
                <w:szCs w:val="15"/>
              </w:rPr>
              <w:t>origine, dans laquelle un cercle de 400</w:t>
            </w:r>
            <w:r w:rsidR="00982FC2" w:rsidRPr="008A295D">
              <w:rPr>
                <w:b/>
                <w:sz w:val="15"/>
                <w:szCs w:val="15"/>
              </w:rPr>
              <w:t> </w:t>
            </w:r>
            <w:r w:rsidRPr="008A295D">
              <w:rPr>
                <w:b/>
                <w:sz w:val="15"/>
                <w:szCs w:val="15"/>
              </w:rPr>
              <w:t>mm de diamètre peut être inscrit, et avec une zone de surface développée inférieure à 1 170 × 570</w:t>
            </w:r>
            <w:r w:rsidR="00982FC2" w:rsidRPr="008A295D">
              <w:rPr>
                <w:b/>
                <w:sz w:val="15"/>
                <w:szCs w:val="15"/>
              </w:rPr>
              <w:t> </w:t>
            </w:r>
            <w:r w:rsidRPr="008A295D">
              <w:rPr>
                <w:b/>
                <w:sz w:val="15"/>
                <w:szCs w:val="15"/>
              </w:rPr>
              <w:t>mm (homologation de type de la pièce d</w:t>
            </w:r>
            <w:r w:rsidR="006B6352" w:rsidRPr="008A295D">
              <w:rPr>
                <w:b/>
                <w:sz w:val="15"/>
                <w:szCs w:val="15"/>
              </w:rPr>
              <w:t>’</w:t>
            </w:r>
            <w:r w:rsidRPr="008A295D">
              <w:rPr>
                <w:b/>
                <w:sz w:val="15"/>
                <w:szCs w:val="15"/>
              </w:rPr>
              <w:t>origine</w:t>
            </w:r>
            <w:r w:rsidRPr="008A295D">
              <w:rPr>
                <w:b/>
                <w:sz w:val="15"/>
                <w:szCs w:val="15"/>
                <w:vertAlign w:val="superscript"/>
              </w:rPr>
              <w:t>1</w:t>
            </w:r>
            <w:r w:rsidRPr="008A295D">
              <w:rPr>
                <w:b/>
                <w:sz w:val="15"/>
                <w:szCs w:val="15"/>
              </w:rPr>
              <w:t>)</w:t>
            </w:r>
          </w:p>
        </w:tc>
      </w:tr>
      <w:tr w:rsidR="003A2D14" w:rsidRPr="008A295D" w:rsidTr="00651D17">
        <w:tc>
          <w:tcPr>
            <w:tcW w:w="1038" w:type="dxa"/>
            <w:vMerge/>
            <w:tcBorders>
              <w:bottom w:val="single" w:sz="4" w:space="0" w:color="auto"/>
            </w:tcBorders>
            <w:shd w:val="clear" w:color="auto" w:fill="auto"/>
            <w:tcMar>
              <w:left w:w="113" w:type="dxa"/>
            </w:tcMar>
            <w:hideMark/>
          </w:tcPr>
          <w:p w:rsidR="003A2D14" w:rsidRPr="008A295D" w:rsidRDefault="003A2D14" w:rsidP="00651D17">
            <w:pPr>
              <w:spacing w:before="40" w:after="60" w:line="200" w:lineRule="exact"/>
              <w:ind w:left="57" w:right="57"/>
              <w:rPr>
                <w:rFonts w:eastAsia="MS Mincho"/>
                <w:b/>
                <w:sz w:val="15"/>
                <w:szCs w:val="15"/>
              </w:rPr>
            </w:pPr>
          </w:p>
        </w:tc>
        <w:tc>
          <w:tcPr>
            <w:tcW w:w="1800" w:type="dxa"/>
            <w:tcBorders>
              <w:bottom w:val="single" w:sz="4" w:space="0" w:color="auto"/>
            </w:tcBorders>
            <w:shd w:val="clear" w:color="auto" w:fill="auto"/>
            <w:hideMark/>
          </w:tcPr>
          <w:p w:rsidR="003A2D14" w:rsidRPr="008A295D" w:rsidRDefault="00982FC2" w:rsidP="00651D17">
            <w:pPr>
              <w:spacing w:before="40" w:after="60" w:line="200" w:lineRule="exact"/>
              <w:ind w:left="57" w:right="57"/>
              <w:rPr>
                <w:rFonts w:eastAsia="MS Mincho"/>
                <w:b/>
                <w:sz w:val="15"/>
                <w:szCs w:val="15"/>
              </w:rPr>
            </w:pPr>
            <w:r w:rsidRPr="008A295D">
              <w:rPr>
                <w:b/>
                <w:sz w:val="15"/>
                <w:szCs w:val="15"/>
              </w:rPr>
              <w:t>Diamètre </w:t>
            </w:r>
            <w:r w:rsidR="003A2D14" w:rsidRPr="008A295D">
              <w:rPr>
                <w:b/>
                <w:sz w:val="15"/>
                <w:szCs w:val="15"/>
              </w:rPr>
              <w:t>D du cercle pouvant y être inscrit :</w:t>
            </w:r>
            <w:r w:rsidR="00651D17" w:rsidRPr="008A295D">
              <w:rPr>
                <w:b/>
                <w:sz w:val="15"/>
                <w:szCs w:val="15"/>
              </w:rPr>
              <w:t xml:space="preserve"> </w:t>
            </w:r>
            <w:r w:rsidR="00651D17" w:rsidRPr="008A295D">
              <w:rPr>
                <w:rFonts w:eastAsia="MS Mincho"/>
                <w:b/>
                <w:sz w:val="15"/>
                <w:szCs w:val="15"/>
              </w:rPr>
              <w:br/>
            </w:r>
            <w:r w:rsidRPr="008A295D">
              <w:rPr>
                <w:b/>
                <w:sz w:val="15"/>
                <w:szCs w:val="15"/>
              </w:rPr>
              <w:t>400 </w:t>
            </w:r>
            <w:r w:rsidR="003A2D14" w:rsidRPr="008A295D">
              <w:rPr>
                <w:b/>
                <w:sz w:val="15"/>
                <w:szCs w:val="15"/>
              </w:rPr>
              <w:t>mm</w:t>
            </w:r>
            <w:r w:rsidRPr="008A295D">
              <w:rPr>
                <w:b/>
                <w:sz w:val="15"/>
                <w:szCs w:val="15"/>
              </w:rPr>
              <w:t> &lt; </w:t>
            </w:r>
            <w:r w:rsidR="003A2D14" w:rsidRPr="008A295D">
              <w:rPr>
                <w:b/>
                <w:sz w:val="15"/>
                <w:szCs w:val="15"/>
              </w:rPr>
              <w:t>D</w:t>
            </w:r>
          </w:p>
        </w:tc>
        <w:tc>
          <w:tcPr>
            <w:tcW w:w="2269" w:type="dxa"/>
            <w:tcBorders>
              <w:bottom w:val="single" w:sz="4" w:space="0" w:color="auto"/>
            </w:tcBorders>
            <w:shd w:val="clear" w:color="auto" w:fill="auto"/>
            <w:hideMark/>
          </w:tcPr>
          <w:p w:rsidR="003A2D14" w:rsidRPr="008A295D" w:rsidRDefault="00982FC2" w:rsidP="00651D17">
            <w:pPr>
              <w:spacing w:before="40" w:after="60" w:line="200" w:lineRule="exact"/>
              <w:ind w:left="57" w:right="57"/>
              <w:rPr>
                <w:rFonts w:eastAsia="MS Mincho"/>
                <w:b/>
                <w:sz w:val="15"/>
                <w:szCs w:val="15"/>
              </w:rPr>
            </w:pPr>
            <w:r w:rsidRPr="008A295D">
              <w:rPr>
                <w:b/>
                <w:sz w:val="15"/>
                <w:szCs w:val="15"/>
              </w:rPr>
              <w:t>1 170 mm x 570 </w:t>
            </w:r>
            <w:r w:rsidR="003A2D14" w:rsidRPr="008A295D">
              <w:rPr>
                <w:b/>
                <w:sz w:val="15"/>
                <w:szCs w:val="15"/>
              </w:rPr>
              <w:t>mm</w:t>
            </w:r>
          </w:p>
          <w:p w:rsidR="003A2D14" w:rsidRPr="008A295D" w:rsidRDefault="003A2D14" w:rsidP="00651D17">
            <w:pPr>
              <w:spacing w:before="40" w:after="60" w:line="200" w:lineRule="exact"/>
              <w:ind w:left="57" w:right="57"/>
              <w:rPr>
                <w:rFonts w:eastAsia="MS Mincho"/>
                <w:b/>
                <w:sz w:val="15"/>
                <w:szCs w:val="15"/>
              </w:rPr>
            </w:pPr>
            <w:r w:rsidRPr="008A295D">
              <w:rPr>
                <w:b/>
                <w:sz w:val="15"/>
                <w:szCs w:val="15"/>
              </w:rPr>
              <w:t>(essai du type de matériau et cadre de support standard)</w:t>
            </w:r>
          </w:p>
        </w:tc>
        <w:tc>
          <w:tcPr>
            <w:tcW w:w="2270" w:type="dxa"/>
            <w:tcBorders>
              <w:bottom w:val="single" w:sz="4" w:space="0" w:color="auto"/>
            </w:tcBorders>
            <w:shd w:val="clear" w:color="auto" w:fill="auto"/>
            <w:hideMark/>
          </w:tcPr>
          <w:p w:rsidR="003A2D14" w:rsidRPr="008A295D" w:rsidRDefault="003A2D14" w:rsidP="00651D17">
            <w:pPr>
              <w:spacing w:before="40" w:after="60" w:line="200" w:lineRule="exact"/>
              <w:ind w:left="57" w:right="57"/>
              <w:rPr>
                <w:rFonts w:eastAsia="MS Mincho"/>
                <w:b/>
                <w:sz w:val="15"/>
                <w:szCs w:val="15"/>
              </w:rPr>
            </w:pPr>
            <w:r w:rsidRPr="008A295D">
              <w:rPr>
                <w:b/>
                <w:sz w:val="15"/>
                <w:szCs w:val="15"/>
              </w:rPr>
              <w:t>Pièce réelle (soumise pour homologation) (homologation de type de la pièce et cadre de support spécifique)</w:t>
            </w:r>
          </w:p>
        </w:tc>
      </w:tr>
    </w:tbl>
    <w:p w:rsidR="003A2D14" w:rsidRPr="00E25243" w:rsidRDefault="003A2D14" w:rsidP="00182E3B">
      <w:pPr>
        <w:spacing w:before="120" w:after="240"/>
        <w:ind w:left="1134" w:right="1134"/>
        <w:jc w:val="both"/>
        <w:rPr>
          <w:sz w:val="18"/>
          <w:szCs w:val="18"/>
        </w:rPr>
      </w:pPr>
      <w:r w:rsidRPr="00E25243">
        <w:rPr>
          <w:b/>
          <w:i/>
          <w:sz w:val="18"/>
          <w:szCs w:val="18"/>
        </w:rPr>
        <w:t>Note </w:t>
      </w:r>
      <w:r w:rsidRPr="00E25243">
        <w:rPr>
          <w:b/>
        </w:rPr>
        <w:t>:</w:t>
      </w:r>
      <w:r w:rsidRPr="00E25243">
        <w:rPr>
          <w:b/>
          <w:sz w:val="18"/>
          <w:szCs w:val="18"/>
        </w:rPr>
        <w:tab/>
      </w:r>
      <w:r w:rsidRPr="00E25243">
        <w:rPr>
          <w:b/>
          <w:sz w:val="18"/>
          <w:szCs w:val="18"/>
          <w:vertAlign w:val="superscript"/>
        </w:rPr>
        <w:t>1</w:t>
      </w:r>
      <w:r w:rsidR="00E25243">
        <w:rPr>
          <w:b/>
          <w:sz w:val="18"/>
          <w:szCs w:val="18"/>
        </w:rPr>
        <w:t xml:space="preserve">  </w:t>
      </w:r>
      <w:r w:rsidRPr="00E25243">
        <w:rPr>
          <w:b/>
          <w:sz w:val="18"/>
          <w:szCs w:val="18"/>
        </w:rPr>
        <w:t>Les dimensions de la pièce d</w:t>
      </w:r>
      <w:r w:rsidR="006B6352" w:rsidRPr="00E25243">
        <w:rPr>
          <w:b/>
          <w:sz w:val="18"/>
          <w:szCs w:val="18"/>
        </w:rPr>
        <w:t>’</w:t>
      </w:r>
      <w:r w:rsidRPr="00E25243">
        <w:rPr>
          <w:b/>
          <w:sz w:val="18"/>
          <w:szCs w:val="18"/>
        </w:rPr>
        <w:t>origine sont trop petites pour que l</w:t>
      </w:r>
      <w:r w:rsidR="006B6352" w:rsidRPr="00E25243">
        <w:rPr>
          <w:b/>
          <w:sz w:val="18"/>
          <w:szCs w:val="18"/>
        </w:rPr>
        <w:t>’</w:t>
      </w:r>
      <w:r w:rsidRPr="00E25243">
        <w:rPr>
          <w:b/>
          <w:sz w:val="18"/>
          <w:szCs w:val="18"/>
        </w:rPr>
        <w:t>essai puisse être effectué </w:t>
      </w:r>
      <w:r w:rsidRPr="001E2511">
        <w:t>»</w:t>
      </w:r>
      <w:r w:rsidRPr="00E25243">
        <w:rPr>
          <w:sz w:val="18"/>
          <w:szCs w:val="18"/>
        </w:rPr>
        <w:t>.</w:t>
      </w:r>
    </w:p>
    <w:p w:rsidR="003A2D14" w:rsidRPr="00FD3034" w:rsidRDefault="003A2D14" w:rsidP="00182E3B">
      <w:pPr>
        <w:pStyle w:val="SingleTxtG"/>
        <w:keepNext/>
        <w:keepLines/>
      </w:pPr>
      <w:r w:rsidRPr="00FD3034">
        <w:rPr>
          <w:i/>
          <w:lang w:eastAsia="ar-SA"/>
        </w:rPr>
        <w:t xml:space="preserve">Paragraphes </w:t>
      </w:r>
      <w:r w:rsidRPr="00FD3034">
        <w:rPr>
          <w:i/>
        </w:rPr>
        <w:t>4.3.2 et 4.3.3</w:t>
      </w:r>
      <w:r w:rsidRPr="00FD3034">
        <w:t>, modifier comme suit :</w:t>
      </w:r>
    </w:p>
    <w:p w:rsidR="003A2D14" w:rsidRPr="00FD3034" w:rsidRDefault="003A2D14" w:rsidP="003A2D14">
      <w:pPr>
        <w:pStyle w:val="SingleTxtG"/>
        <w:ind w:left="2268" w:hanging="1134"/>
      </w:pPr>
      <w:r w:rsidRPr="00FD3034">
        <w:t>« 4.3.2</w:t>
      </w:r>
      <w:r w:rsidRPr="00FD3034">
        <w:tab/>
        <w:t xml:space="preserve">Pour des vitrages tels que des parois ou des fenêtres de séparation </w:t>
      </w:r>
      <w:r w:rsidRPr="00FD3034">
        <w:rPr>
          <w:b/>
        </w:rPr>
        <w:t>faisant face vers l</w:t>
      </w:r>
      <w:r w:rsidR="006B6352">
        <w:rPr>
          <w:b/>
        </w:rPr>
        <w:t>’</w:t>
      </w:r>
      <w:r w:rsidRPr="00FD3034">
        <w:rPr>
          <w:b/>
        </w:rPr>
        <w:t>avant qui sont situés devant un occupant et</w:t>
      </w:r>
      <w:r w:rsidRPr="00FD3034">
        <w:t xml:space="preserve"> ayant une probabilité de choc de classe VIII/A, la hauteur de chute est de 3 m. La valeur HIC </w:t>
      </w:r>
      <w:r w:rsidRPr="00FD3034">
        <w:rPr>
          <w:b/>
        </w:rPr>
        <w:t xml:space="preserve">doit aussi être </w:t>
      </w:r>
      <w:r w:rsidRPr="00FD3034">
        <w:t>mesurée.</w:t>
      </w:r>
    </w:p>
    <w:p w:rsidR="003A2D14" w:rsidRPr="00FD3034" w:rsidRDefault="003A2D14" w:rsidP="003A2D14">
      <w:pPr>
        <w:pStyle w:val="SingleTxtG"/>
        <w:ind w:left="2268" w:hanging="1134"/>
      </w:pPr>
      <w:r w:rsidRPr="00FD3034">
        <w:t>4.3.3</w:t>
      </w:r>
      <w:r w:rsidRPr="00FD3034">
        <w:tab/>
        <w:t>Pour les vitrages tels que les vitres latérales, les lunettes arrière et les toits ouvrants, peu exposés à un choc de la tête (classe VIII/B),</w:t>
      </w:r>
      <w:r w:rsidR="00182E3B">
        <w:t xml:space="preserve"> la hauteur de chute est de 1,5 </w:t>
      </w:r>
      <w:r w:rsidRPr="00FD3034">
        <w:t xml:space="preserve">m. La valeur HIC </w:t>
      </w:r>
      <w:r w:rsidRPr="00FD3034">
        <w:rPr>
          <w:b/>
        </w:rPr>
        <w:t xml:space="preserve">doit aussi être </w:t>
      </w:r>
      <w:r w:rsidR="00182E3B">
        <w:t>mesurée</w:t>
      </w:r>
      <w:r w:rsidRPr="00FD3034">
        <w:t> ».</w:t>
      </w:r>
    </w:p>
    <w:p w:rsidR="003A2D14" w:rsidRPr="00FD3034" w:rsidRDefault="003A2D14" w:rsidP="00182E3B">
      <w:pPr>
        <w:pStyle w:val="SingleTxtG"/>
        <w:keepNext/>
        <w:keepLines/>
        <w:rPr>
          <w:lang w:eastAsia="ar-SA"/>
        </w:rPr>
      </w:pPr>
      <w:r w:rsidRPr="00FD3034">
        <w:rPr>
          <w:i/>
          <w:lang w:eastAsia="ar-SA"/>
        </w:rPr>
        <w:t>Paragraphe 4.4.3</w:t>
      </w:r>
      <w:r w:rsidRPr="00182E3B">
        <w:t xml:space="preserve">, </w:t>
      </w:r>
      <w:r w:rsidRPr="00FD3034">
        <w:rPr>
          <w:lang w:eastAsia="ar-SA"/>
        </w:rPr>
        <w:t>modifier comme suit :</w:t>
      </w:r>
    </w:p>
    <w:p w:rsidR="003A2D14" w:rsidRPr="00FD3034" w:rsidRDefault="003A2D14" w:rsidP="003A2D14">
      <w:pPr>
        <w:pStyle w:val="SingleTxtG"/>
        <w:ind w:left="2268" w:hanging="1134"/>
      </w:pPr>
      <w:r w:rsidRPr="00FD3034">
        <w:t>« 4.4.3</w:t>
      </w:r>
      <w:r w:rsidRPr="00FD3034">
        <w:tab/>
        <w:t>Un ensemble d</w:t>
      </w:r>
      <w:r w:rsidR="006B6352">
        <w:t>’</w:t>
      </w:r>
      <w:r w:rsidRPr="00FD3034">
        <w:t>éprouvettes soumis à l</w:t>
      </w:r>
      <w:r w:rsidR="006B6352">
        <w:t>’</w:t>
      </w:r>
      <w:r w:rsidRPr="00FD3034">
        <w:t>homologation est considéré comme ayant satisfait à l</w:t>
      </w:r>
      <w:r w:rsidR="006B6352">
        <w:t>’</w:t>
      </w:r>
      <w:r w:rsidRPr="00FD3034">
        <w:t xml:space="preserve">essai de comportement au choc de la tête si </w:t>
      </w:r>
      <w:r w:rsidRPr="00FD3034">
        <w:rPr>
          <w:b/>
        </w:rPr>
        <w:t>tous les essais donnent un résultat positif</w:t>
      </w:r>
      <w:r w:rsidRPr="00FD3034">
        <w:t> ».</w:t>
      </w:r>
    </w:p>
    <w:p w:rsidR="003A2D14" w:rsidRPr="00FD3034" w:rsidRDefault="003A2D14" w:rsidP="00182E3B">
      <w:pPr>
        <w:pStyle w:val="SingleTxtG"/>
        <w:keepNext/>
        <w:keepLines/>
        <w:rPr>
          <w:lang w:eastAsia="ar-SA"/>
        </w:rPr>
      </w:pPr>
      <w:r w:rsidRPr="00FD3034">
        <w:rPr>
          <w:i/>
          <w:lang w:eastAsia="ar-SA"/>
        </w:rPr>
        <w:t>Paragraphes 4.4.3.1 et 4.4.3.2</w:t>
      </w:r>
      <w:r w:rsidRPr="00182E3B">
        <w:t xml:space="preserve">, </w:t>
      </w:r>
      <w:r w:rsidRPr="00FD3034">
        <w:rPr>
          <w:lang w:eastAsia="ar-SA"/>
        </w:rPr>
        <w:t>supprimer.</w:t>
      </w:r>
    </w:p>
    <w:p w:rsidR="003A2D14" w:rsidRPr="00FD3034" w:rsidRDefault="003A2D14" w:rsidP="00182E3B">
      <w:pPr>
        <w:pStyle w:val="SingleTxtG"/>
        <w:keepNext/>
        <w:keepLines/>
        <w:rPr>
          <w:lang w:eastAsia="ar-SA"/>
        </w:rPr>
      </w:pPr>
      <w:r w:rsidRPr="00FD3034">
        <w:rPr>
          <w:i/>
          <w:lang w:eastAsia="ar-SA"/>
        </w:rPr>
        <w:t>Paragraphe 5.1</w:t>
      </w:r>
      <w:r w:rsidRPr="00182E3B">
        <w:t xml:space="preserve">, </w:t>
      </w:r>
      <w:r w:rsidRPr="00FD3034">
        <w:rPr>
          <w:lang w:eastAsia="ar-SA"/>
        </w:rPr>
        <w:t>modifier comme suit :</w:t>
      </w:r>
    </w:p>
    <w:p w:rsidR="003A2D14" w:rsidRPr="00FD3034" w:rsidRDefault="003A2D14" w:rsidP="00182E3B">
      <w:pPr>
        <w:pStyle w:val="SingleTxtG"/>
        <w:keepNext/>
        <w:keepLines/>
        <w:ind w:left="2268" w:hanging="1134"/>
      </w:pPr>
      <w:r w:rsidRPr="00FD3034">
        <w:t>« 5.1</w:t>
      </w:r>
      <w:r w:rsidRPr="00FD3034">
        <w:tab/>
        <w:t>Indices de difficulté des caractéristiques secondaires :</w:t>
      </w:r>
    </w:p>
    <w:p w:rsidR="003A2D14" w:rsidRPr="00FD3034" w:rsidRDefault="003A2D14" w:rsidP="003A2D14">
      <w:pPr>
        <w:pStyle w:val="SingleTxtG"/>
        <w:ind w:left="2268"/>
      </w:pPr>
      <w:r w:rsidRPr="00FD3034">
        <w:t>1)</w:t>
      </w:r>
      <w:r w:rsidRPr="00FD3034">
        <w:tab/>
        <w:t>Sans conducteurs</w:t>
      </w:r>
      <w:r w:rsidRPr="00FD3034">
        <w:rPr>
          <w:b/>
        </w:rPr>
        <w:t>, masque(s) opaque(s)</w:t>
      </w:r>
      <w:r w:rsidRPr="00FD3034">
        <w:t xml:space="preserve"> ni éléments de chauffage ;</w:t>
      </w:r>
    </w:p>
    <w:p w:rsidR="003A2D14" w:rsidRPr="00FD3034" w:rsidRDefault="003A2D14" w:rsidP="003A2D14">
      <w:pPr>
        <w:pStyle w:val="SingleTxtG"/>
        <w:ind w:left="2268"/>
      </w:pPr>
      <w:r w:rsidRPr="00FD3034">
        <w:tab/>
        <w:t>2)</w:t>
      </w:r>
      <w:r w:rsidRPr="00FD3034">
        <w:tab/>
        <w:t>Avec conducteur</w:t>
      </w:r>
      <w:r w:rsidRPr="00FD3034">
        <w:rPr>
          <w:b/>
        </w:rPr>
        <w:t>, masque(s) opaque(s)</w:t>
      </w:r>
      <w:r w:rsidRPr="00FD3034">
        <w:t xml:space="preserve"> ou élément de chauffage ».</w:t>
      </w:r>
    </w:p>
    <w:p w:rsidR="003A2D14" w:rsidRPr="00FD3034" w:rsidRDefault="003A2D14" w:rsidP="00182E3B">
      <w:pPr>
        <w:pStyle w:val="SingleTxtG"/>
        <w:keepNext/>
        <w:keepLines/>
        <w:rPr>
          <w:lang w:eastAsia="ar-SA"/>
        </w:rPr>
      </w:pPr>
      <w:r w:rsidRPr="00FD3034">
        <w:rPr>
          <w:i/>
          <w:lang w:eastAsia="ar-SA"/>
        </w:rPr>
        <w:t>Paragraphe 5.2</w:t>
      </w:r>
      <w:r w:rsidRPr="00182E3B">
        <w:t xml:space="preserve">, </w:t>
      </w:r>
      <w:r w:rsidRPr="00FD3034">
        <w:rPr>
          <w:lang w:eastAsia="ar-SA"/>
        </w:rPr>
        <w:t>modifier comme suit :</w:t>
      </w:r>
    </w:p>
    <w:p w:rsidR="003A2D14" w:rsidRPr="00FD3034" w:rsidRDefault="003A2D14" w:rsidP="00182E3B">
      <w:pPr>
        <w:pStyle w:val="SingleTxtG"/>
        <w:keepNext/>
        <w:keepLines/>
      </w:pPr>
      <w:r w:rsidRPr="00FD3034">
        <w:t>« 5.2</w:t>
      </w:r>
      <w:r w:rsidRPr="00FD3034">
        <w:tab/>
      </w:r>
      <w:r w:rsidR="00182E3B">
        <w:tab/>
      </w:r>
      <w:r w:rsidRPr="00FD3034">
        <w:t>Nombre d</w:t>
      </w:r>
      <w:r w:rsidR="006B6352">
        <w:t>’</w:t>
      </w:r>
      <w:r w:rsidRPr="00FD3034">
        <w:t>éprouvettes</w:t>
      </w:r>
    </w:p>
    <w:p w:rsidR="003A2D14" w:rsidRPr="00FD3034" w:rsidRDefault="003A2D14" w:rsidP="003A2D14">
      <w:pPr>
        <w:pStyle w:val="SingleTxtG"/>
        <w:ind w:left="2268"/>
      </w:pPr>
      <w:r w:rsidRPr="00FD3034">
        <w:tab/>
        <w:t xml:space="preserve">Dix éprouvettes plates de 300 mm + 10/– 0 mm de côté ou 10 pièces finies à peu près plates sont soumises aux essais. </w:t>
      </w:r>
      <w:r w:rsidRPr="00FD3034">
        <w:rPr>
          <w:b/>
        </w:rPr>
        <w:t>Dans ce dernier cas, le contact entre la pièce et le support doit se faire tout autour du périmètre sur une largeur d</w:t>
      </w:r>
      <w:r w:rsidR="006B6352">
        <w:rPr>
          <w:b/>
        </w:rPr>
        <w:t>’</w:t>
      </w:r>
      <w:r w:rsidRPr="00FD3034">
        <w:rPr>
          <w:b/>
        </w:rPr>
        <w:t>environ 15 mm. Les cadres supérieurs et inférieurs du support doivent être serrés l</w:t>
      </w:r>
      <w:r w:rsidR="006B6352">
        <w:rPr>
          <w:b/>
        </w:rPr>
        <w:t>’</w:t>
      </w:r>
      <w:r w:rsidRPr="00FD3034">
        <w:rPr>
          <w:b/>
        </w:rPr>
        <w:t>un contre l</w:t>
      </w:r>
      <w:r w:rsidR="006B6352">
        <w:rPr>
          <w:b/>
        </w:rPr>
        <w:t>’</w:t>
      </w:r>
      <w:r w:rsidRPr="00FD3034">
        <w:rPr>
          <w:b/>
        </w:rPr>
        <w:t>autre de manière à ce que l</w:t>
      </w:r>
      <w:r w:rsidR="006B6352">
        <w:rPr>
          <w:b/>
        </w:rPr>
        <w:t>’</w:t>
      </w:r>
      <w:r w:rsidRPr="00FD3034">
        <w:rPr>
          <w:b/>
        </w:rPr>
        <w:t>éprouvette ne se déplace pas de plus de 2 mm pendant l</w:t>
      </w:r>
      <w:r w:rsidR="006B6352">
        <w:rPr>
          <w:b/>
        </w:rPr>
        <w:t>’</w:t>
      </w:r>
      <w:r w:rsidRPr="00FD3034">
        <w:rPr>
          <w:b/>
        </w:rPr>
        <w:t>essai</w:t>
      </w:r>
      <w:r w:rsidRPr="00FD3034">
        <w:t> ».</w:t>
      </w:r>
    </w:p>
    <w:p w:rsidR="003A2D14" w:rsidRPr="00FD3034" w:rsidRDefault="003A2D14" w:rsidP="00182E3B">
      <w:pPr>
        <w:pStyle w:val="SingleTxtG"/>
        <w:keepNext/>
        <w:keepLines/>
      </w:pPr>
      <w:r w:rsidRPr="00FD3034">
        <w:rPr>
          <w:i/>
        </w:rPr>
        <w:t>Paragraphe 5.3.2</w:t>
      </w:r>
      <w:r w:rsidRPr="00FD3034">
        <w:t>,</w:t>
      </w:r>
      <w:r w:rsidRPr="00FD3034">
        <w:rPr>
          <w:i/>
        </w:rPr>
        <w:t xml:space="preserve"> </w:t>
      </w:r>
      <w:r w:rsidRPr="00FD3034">
        <w:t>modifier comme suit :</w:t>
      </w:r>
    </w:p>
    <w:p w:rsidR="003A2D14" w:rsidRPr="000D0ED4" w:rsidRDefault="003A2D14" w:rsidP="00182E3B">
      <w:pPr>
        <w:pStyle w:val="SingleTxtG"/>
        <w:keepNext/>
        <w:keepLines/>
        <w:ind w:left="2268" w:hanging="1134"/>
      </w:pPr>
      <w:r w:rsidRPr="000D0ED4">
        <w:t>« 5.3.2</w:t>
      </w:r>
      <w:r w:rsidRPr="000D0ED4">
        <w:tab/>
        <w:t>La correspondance entre la hauteur de chute et l</w:t>
      </w:r>
      <w:r w:rsidR="006B6352" w:rsidRPr="000D0ED4">
        <w:t>’</w:t>
      </w:r>
      <w:r w:rsidRPr="000D0ED4">
        <w:t xml:space="preserve">épaisseur </w:t>
      </w:r>
      <w:r w:rsidRPr="000D0ED4">
        <w:rPr>
          <w:b/>
        </w:rPr>
        <w:t>nominale</w:t>
      </w:r>
      <w:r w:rsidRPr="000D0ED4">
        <w:t xml:space="preserve"> de l</w:t>
      </w:r>
      <w:r w:rsidR="006B6352" w:rsidRPr="000D0ED4">
        <w:t>’</w:t>
      </w:r>
      <w:r w:rsidRPr="000D0ED4">
        <w:t>éprouvette est donnée (...)</w:t>
      </w:r>
    </w:p>
    <w:p w:rsidR="003A2D14" w:rsidRPr="000D0ED4" w:rsidRDefault="003A2D14" w:rsidP="003A2D14">
      <w:pPr>
        <w:pStyle w:val="SingleTxtG"/>
        <w:ind w:left="2268"/>
      </w:pPr>
      <w:r w:rsidRPr="000D0ED4">
        <w:tab/>
        <w:t>…</w:t>
      </w:r>
    </w:p>
    <w:p w:rsidR="003A2D14" w:rsidRPr="000D0ED4" w:rsidRDefault="003A2D14" w:rsidP="003A2D14">
      <w:pPr>
        <w:pStyle w:val="SingleTxtG"/>
        <w:ind w:left="2268"/>
      </w:pPr>
      <w:r w:rsidRPr="000D0ED4">
        <w:tab/>
        <w:t xml:space="preserve">Pour les épaisseurs </w:t>
      </w:r>
      <w:r w:rsidRPr="000D0ED4">
        <w:rPr>
          <w:b/>
        </w:rPr>
        <w:t>nominales</w:t>
      </w:r>
      <w:r w:rsidRPr="000D0ED4">
        <w:t xml:space="preserve"> intermédiaires co</w:t>
      </w:r>
      <w:r w:rsidR="00182E3B" w:rsidRPr="000D0ED4">
        <w:t>mprises (...) par interpolation</w:t>
      </w:r>
      <w:r w:rsidRPr="000D0ED4">
        <w:t> ».</w:t>
      </w:r>
    </w:p>
    <w:p w:rsidR="003A2D14" w:rsidRPr="000D0ED4" w:rsidRDefault="003A2D14" w:rsidP="00182E3B">
      <w:pPr>
        <w:pStyle w:val="SingleTxtG"/>
        <w:keepNext/>
        <w:keepLines/>
      </w:pPr>
      <w:r w:rsidRPr="000D0ED4">
        <w:rPr>
          <w:i/>
        </w:rPr>
        <w:t>Paragraphes 5.4.1 et 5.4.2</w:t>
      </w:r>
      <w:r w:rsidRPr="000D0ED4">
        <w:t>,</w:t>
      </w:r>
      <w:r w:rsidRPr="000D0ED4">
        <w:rPr>
          <w:i/>
        </w:rPr>
        <w:t xml:space="preserve"> </w:t>
      </w:r>
      <w:r w:rsidRPr="000D0ED4">
        <w:t>modifier comme suit :</w:t>
      </w:r>
    </w:p>
    <w:p w:rsidR="003A2D14" w:rsidRPr="000D0ED4" w:rsidRDefault="003A2D14" w:rsidP="003A2D14">
      <w:pPr>
        <w:pStyle w:val="SingleTxtG"/>
        <w:ind w:left="2268" w:hanging="1134"/>
      </w:pPr>
      <w:r w:rsidRPr="000D0ED4">
        <w:t>« 5.4.1</w:t>
      </w:r>
      <w:r w:rsidRPr="000D0ED4">
        <w:tab/>
        <w:t>L</w:t>
      </w:r>
      <w:r w:rsidR="006B6352" w:rsidRPr="000D0ED4">
        <w:t>’</w:t>
      </w:r>
      <w:r w:rsidRPr="000D0ED4">
        <w:t>essai est considéré comme (...)</w:t>
      </w:r>
    </w:p>
    <w:p w:rsidR="003A2D14" w:rsidRPr="000D0ED4" w:rsidRDefault="003A2D14" w:rsidP="003A2D14">
      <w:pPr>
        <w:pStyle w:val="SingleTxtG"/>
        <w:ind w:left="2268"/>
      </w:pPr>
      <w:r w:rsidRPr="000D0ED4">
        <w:tab/>
        <w:t>b)</w:t>
      </w:r>
      <w:r w:rsidRPr="000D0ED4">
        <w:tab/>
        <w:t>L</w:t>
      </w:r>
      <w:r w:rsidR="006B6352" w:rsidRPr="000D0ED4">
        <w:t>’</w:t>
      </w:r>
      <w:r w:rsidRPr="000D0ED4">
        <w:t>éprouvette ne se brise pas en morceaux distincts.</w:t>
      </w:r>
    </w:p>
    <w:p w:rsidR="003A2D14" w:rsidRPr="00FD3034" w:rsidRDefault="003A2D14" w:rsidP="003A2D14">
      <w:pPr>
        <w:pStyle w:val="SingleTxtG"/>
        <w:ind w:left="2268"/>
      </w:pPr>
      <w:r w:rsidRPr="000D0ED4">
        <w:tab/>
        <w:t>Les craquelures et les fissures de l</w:t>
      </w:r>
      <w:r w:rsidR="006B6352" w:rsidRPr="000D0ED4">
        <w:t>’</w:t>
      </w:r>
      <w:r w:rsidRPr="000D0ED4">
        <w:t>éprouvette dues au choc sont cependant autorisées.</w:t>
      </w:r>
    </w:p>
    <w:p w:rsidR="003A2D14" w:rsidRPr="00FD3034" w:rsidRDefault="003A2D14" w:rsidP="003A2D14">
      <w:pPr>
        <w:pStyle w:val="SingleTxtG"/>
        <w:ind w:left="2268" w:hanging="1134"/>
      </w:pPr>
      <w:r w:rsidRPr="00FD3034">
        <w:t>5.4.2</w:t>
      </w:r>
      <w:r w:rsidRPr="00FD3034">
        <w:tab/>
        <w:t>Un ensemble d</w:t>
      </w:r>
      <w:r w:rsidR="006B6352">
        <w:t>’</w:t>
      </w:r>
      <w:r w:rsidRPr="00FD3034">
        <w:t>éprouvettes soumises à l</w:t>
      </w:r>
      <w:r w:rsidR="006B6352">
        <w:t>’</w:t>
      </w:r>
      <w:r w:rsidRPr="00FD3034">
        <w:t>homologation est considéré comme ayant satisfait à l</w:t>
      </w:r>
      <w:r w:rsidR="006B6352">
        <w:t>’</w:t>
      </w:r>
      <w:r w:rsidRPr="00FD3034">
        <w:t xml:space="preserve">essai de résistance mécanique à la bille de 227 g, si </w:t>
      </w:r>
      <w:r w:rsidRPr="00FD3034">
        <w:rPr>
          <w:b/>
        </w:rPr>
        <w:t xml:space="preserve">huit essais ou davantage donnent un résultat positif </w:t>
      </w:r>
      <w:r w:rsidR="00651D17">
        <w:rPr>
          <w:b/>
        </w:rPr>
        <w:t>à la hauteur de chute prescrite</w:t>
      </w:r>
      <w:r w:rsidRPr="00FD3034">
        <w:rPr>
          <w:b/>
        </w:rPr>
        <w:t> </w:t>
      </w:r>
      <w:r w:rsidRPr="00FD3034">
        <w:t>».</w:t>
      </w:r>
    </w:p>
    <w:p w:rsidR="003A2D14" w:rsidRPr="00FD3034" w:rsidRDefault="003A2D14" w:rsidP="00651D17">
      <w:pPr>
        <w:pStyle w:val="SingleTxtG"/>
        <w:keepNext/>
        <w:keepLines/>
        <w:rPr>
          <w:lang w:eastAsia="ar-SA"/>
        </w:rPr>
      </w:pPr>
      <w:r w:rsidRPr="00FD3034">
        <w:rPr>
          <w:i/>
          <w:lang w:eastAsia="ar-SA"/>
        </w:rPr>
        <w:t>Paragraphes 5.4.2.1 et 5.4.2.2,</w:t>
      </w:r>
      <w:r w:rsidRPr="00FD3034">
        <w:rPr>
          <w:lang w:eastAsia="ar-SA"/>
        </w:rPr>
        <w:t xml:space="preserve"> supprimer.</w:t>
      </w:r>
    </w:p>
    <w:p w:rsidR="003A2D14" w:rsidRPr="00FD3034" w:rsidRDefault="003A2D14" w:rsidP="00651D17">
      <w:pPr>
        <w:pStyle w:val="SingleTxtG"/>
        <w:keepNext/>
        <w:keepLines/>
      </w:pPr>
      <w:r w:rsidRPr="00FD3034">
        <w:rPr>
          <w:i/>
        </w:rPr>
        <w:t>Ajouter un nouveau paragraphe 5.4.3</w:t>
      </w:r>
      <w:r w:rsidRPr="00FD3034">
        <w:t>, ainsi conçu :</w:t>
      </w:r>
    </w:p>
    <w:p w:rsidR="003A2D14" w:rsidRPr="00FD3034" w:rsidRDefault="003A2D14" w:rsidP="003A2D14">
      <w:pPr>
        <w:spacing w:after="120"/>
        <w:ind w:left="2268" w:right="1134" w:hanging="1134"/>
        <w:jc w:val="both"/>
      </w:pPr>
      <w:r w:rsidRPr="00FD3034">
        <w:t>« </w:t>
      </w:r>
      <w:r w:rsidRPr="00FD3034">
        <w:rPr>
          <w:b/>
        </w:rPr>
        <w:t>5.4.3</w:t>
      </w:r>
      <w:r w:rsidRPr="00FD3034">
        <w:tab/>
      </w:r>
      <w:r w:rsidRPr="00FD3034">
        <w:rPr>
          <w:b/>
        </w:rPr>
        <w:t>L</w:t>
      </w:r>
      <w:r w:rsidR="006B6352">
        <w:rPr>
          <w:b/>
        </w:rPr>
        <w:t>’</w:t>
      </w:r>
      <w:r w:rsidRPr="00FD3034">
        <w:rPr>
          <w:b/>
        </w:rPr>
        <w:t>essai à la bille à température ambiante ne doit être effectué qu</w:t>
      </w:r>
      <w:r w:rsidR="006B6352">
        <w:rPr>
          <w:b/>
        </w:rPr>
        <w:t>’</w:t>
      </w:r>
      <w:r w:rsidRPr="00FD3034">
        <w:rPr>
          <w:b/>
        </w:rPr>
        <w:t>après l</w:t>
      </w:r>
      <w:r w:rsidR="006B6352">
        <w:rPr>
          <w:b/>
        </w:rPr>
        <w:t>’</w:t>
      </w:r>
      <w:r w:rsidRPr="00FD3034">
        <w:rPr>
          <w:b/>
        </w:rPr>
        <w:t>essai de résistance à l</w:t>
      </w:r>
      <w:r w:rsidR="006B6352">
        <w:rPr>
          <w:b/>
        </w:rPr>
        <w:t>’</w:t>
      </w:r>
      <w:r w:rsidRPr="00FD3034">
        <w:rPr>
          <w:b/>
        </w:rPr>
        <w:t>humidité décrit au paragraphe</w:t>
      </w:r>
      <w:r w:rsidR="008A295D">
        <w:rPr>
          <w:b/>
        </w:rPr>
        <w:t> </w:t>
      </w:r>
      <w:r w:rsidRPr="00FD3034">
        <w:rPr>
          <w:b/>
        </w:rPr>
        <w:t>6.4.4 de la présente annexe</w:t>
      </w:r>
      <w:r w:rsidRPr="00FD3034">
        <w:t> ».</w:t>
      </w:r>
    </w:p>
    <w:p w:rsidR="003A2D14" w:rsidRPr="00FD3034" w:rsidRDefault="003A2D14" w:rsidP="00651D17">
      <w:pPr>
        <w:pStyle w:val="SingleTxtG"/>
        <w:keepNext/>
        <w:keepLines/>
      </w:pPr>
      <w:r w:rsidRPr="00FD3034">
        <w:rPr>
          <w:i/>
        </w:rPr>
        <w:t>Paragraphes 6.1.3.1 et 6.1.3.2</w:t>
      </w:r>
      <w:r w:rsidRPr="00FD3034">
        <w:t>,</w:t>
      </w:r>
      <w:r w:rsidRPr="00FD3034">
        <w:rPr>
          <w:i/>
        </w:rPr>
        <w:t xml:space="preserve"> </w:t>
      </w:r>
      <w:r w:rsidRPr="00FD3034">
        <w:t>modifier comme suit :</w:t>
      </w:r>
    </w:p>
    <w:p w:rsidR="003A2D14" w:rsidRPr="000D0ED4" w:rsidRDefault="003A2D14" w:rsidP="003A2D14">
      <w:pPr>
        <w:pStyle w:val="SingleTxtG"/>
        <w:keepNext/>
        <w:ind w:left="2268" w:hanging="1134"/>
      </w:pPr>
      <w:r w:rsidRPr="000D0ED4">
        <w:t>« 6.1.3.1</w:t>
      </w:r>
      <w:r w:rsidRPr="000D0ED4">
        <w:tab/>
        <w:t>Dans le cas des vitrages de la classe L, on considère que l</w:t>
      </w:r>
      <w:r w:rsidR="006B6352" w:rsidRPr="000D0ED4">
        <w:t>’</w:t>
      </w:r>
      <w:r w:rsidRPr="000D0ED4">
        <w:t>essai d</w:t>
      </w:r>
      <w:r w:rsidR="006B6352" w:rsidRPr="000D0ED4">
        <w:t>’</w:t>
      </w:r>
      <w:r w:rsidRPr="000D0ED4">
        <w:t xml:space="preserve">abrasion a donné un résultat satisfaisant si </w:t>
      </w:r>
      <w:r w:rsidRPr="000D0ED4">
        <w:rPr>
          <w:b/>
        </w:rPr>
        <w:t>l</w:t>
      </w:r>
      <w:r w:rsidR="006B6352" w:rsidRPr="000D0ED4">
        <w:rPr>
          <w:b/>
        </w:rPr>
        <w:t>’</w:t>
      </w:r>
      <w:r w:rsidRPr="000D0ED4">
        <w:rPr>
          <w:b/>
        </w:rPr>
        <w:t>accroissement de l</w:t>
      </w:r>
      <w:r w:rsidR="006B6352" w:rsidRPr="000D0ED4">
        <w:rPr>
          <w:b/>
        </w:rPr>
        <w:t>’</w:t>
      </w:r>
      <w:r w:rsidRPr="000D0ED4">
        <w:rPr>
          <w:b/>
        </w:rPr>
        <w:t xml:space="preserve">atténuation de la visibilité </w:t>
      </w:r>
      <w:r w:rsidRPr="000D0ED4">
        <w:t>après abrasion ne dépasse pas 2 % après 1 000 cycles sur la surface extérieure de l</w:t>
      </w:r>
      <w:r w:rsidR="006B6352" w:rsidRPr="000D0ED4">
        <w:t>’</w:t>
      </w:r>
      <w:r w:rsidRPr="000D0ED4">
        <w:t>éprouvette, ni 4 % après 100 cycles sur sa surface intérieure.</w:t>
      </w:r>
    </w:p>
    <w:p w:rsidR="003A2D14" w:rsidRPr="00FD3034" w:rsidRDefault="003A2D14" w:rsidP="003A2D14">
      <w:pPr>
        <w:pStyle w:val="SingleTxtG"/>
        <w:ind w:left="2268" w:hanging="1134"/>
      </w:pPr>
      <w:r w:rsidRPr="000D0ED4">
        <w:t>6.1.3.2</w:t>
      </w:r>
      <w:r w:rsidRPr="000D0ED4">
        <w:tab/>
        <w:t>Dans le cas des vitrages de la classe M, on considère que l</w:t>
      </w:r>
      <w:r w:rsidR="006B6352" w:rsidRPr="000D0ED4">
        <w:t>’</w:t>
      </w:r>
      <w:r w:rsidRPr="000D0ED4">
        <w:t>essai d</w:t>
      </w:r>
      <w:r w:rsidR="006B6352" w:rsidRPr="000D0ED4">
        <w:t>’</w:t>
      </w:r>
      <w:r w:rsidRPr="000D0ED4">
        <w:t xml:space="preserve">abrasion a donné un résultat satisfaisant si </w:t>
      </w:r>
      <w:r w:rsidRPr="000D0ED4">
        <w:rPr>
          <w:b/>
        </w:rPr>
        <w:t>l</w:t>
      </w:r>
      <w:r w:rsidR="006B6352" w:rsidRPr="000D0ED4">
        <w:rPr>
          <w:b/>
        </w:rPr>
        <w:t>’</w:t>
      </w:r>
      <w:r w:rsidRPr="000D0ED4">
        <w:rPr>
          <w:b/>
        </w:rPr>
        <w:t>accroissement de l</w:t>
      </w:r>
      <w:r w:rsidR="006B6352" w:rsidRPr="000D0ED4">
        <w:rPr>
          <w:b/>
        </w:rPr>
        <w:t>’</w:t>
      </w:r>
      <w:r w:rsidRPr="000D0ED4">
        <w:rPr>
          <w:b/>
        </w:rPr>
        <w:t xml:space="preserve">atténuation de la visibilité </w:t>
      </w:r>
      <w:r w:rsidRPr="000D0ED4">
        <w:t>après a</w:t>
      </w:r>
      <w:r w:rsidR="008A295D" w:rsidRPr="000D0ED4">
        <w:t>brasion ne dépasse pas 10 % après 500 </w:t>
      </w:r>
      <w:r w:rsidRPr="000D0ED4">
        <w:t>cycles sur la surface extérieure de l</w:t>
      </w:r>
      <w:r w:rsidR="006B6352" w:rsidRPr="000D0ED4">
        <w:t>’</w:t>
      </w:r>
      <w:r w:rsidR="008A295D" w:rsidRPr="000D0ED4">
        <w:t>éprouvette, ni 4 % après 100 </w:t>
      </w:r>
      <w:r w:rsidRPr="000D0ED4">
        <w:t>c</w:t>
      </w:r>
      <w:r w:rsidR="008A295D" w:rsidRPr="000D0ED4">
        <w:t>ycles sur sa surface intérieure</w:t>
      </w:r>
      <w:r w:rsidRPr="000D0ED4">
        <w:t> ».</w:t>
      </w:r>
    </w:p>
    <w:p w:rsidR="003A2D14" w:rsidRPr="00FD3034" w:rsidRDefault="003A2D14" w:rsidP="00651D17">
      <w:pPr>
        <w:pStyle w:val="SingleTxtG"/>
        <w:keepNext/>
        <w:keepLines/>
      </w:pPr>
      <w:r w:rsidRPr="00FD3034">
        <w:rPr>
          <w:i/>
        </w:rPr>
        <w:t>Ajouter un nouveau paragraphe 6.1.3.3</w:t>
      </w:r>
      <w:r w:rsidRPr="00FD3034">
        <w:t>, ainsi conçu :</w:t>
      </w:r>
    </w:p>
    <w:p w:rsidR="003A2D14" w:rsidRPr="00FD3034" w:rsidRDefault="003A2D14" w:rsidP="003A2D14">
      <w:pPr>
        <w:pStyle w:val="SingleTxtG"/>
        <w:ind w:left="2268" w:hanging="1134"/>
      </w:pPr>
      <w:r w:rsidRPr="00FD3034">
        <w:t>« </w:t>
      </w:r>
      <w:r w:rsidRPr="00FD3034">
        <w:rPr>
          <w:b/>
        </w:rPr>
        <w:t>6.1.3.3</w:t>
      </w:r>
      <w:r w:rsidRPr="00FD3034">
        <w:tab/>
      </w:r>
      <w:r w:rsidRPr="00FD3034">
        <w:rPr>
          <w:b/>
        </w:rPr>
        <w:t>Dans le cas des vitrages de la classe</w:t>
      </w:r>
      <w:r w:rsidR="008A295D">
        <w:rPr>
          <w:b/>
        </w:rPr>
        <w:t> </w:t>
      </w:r>
      <w:r w:rsidRPr="00FD3034">
        <w:rPr>
          <w:b/>
        </w:rPr>
        <w:t>L, pour l</w:t>
      </w:r>
      <w:r w:rsidR="006B6352">
        <w:rPr>
          <w:b/>
        </w:rPr>
        <w:t>’</w:t>
      </w:r>
      <w:r w:rsidRPr="00FD3034">
        <w:rPr>
          <w:b/>
        </w:rPr>
        <w:t>abrasion sur la surface externe de l</w:t>
      </w:r>
      <w:r w:rsidR="006B6352">
        <w:rPr>
          <w:b/>
        </w:rPr>
        <w:t>’</w:t>
      </w:r>
      <w:r w:rsidRPr="00FD3034">
        <w:rPr>
          <w:b/>
        </w:rPr>
        <w:t>éprouvette, on peut effectuer soit l</w:t>
      </w:r>
      <w:r w:rsidR="006B6352">
        <w:rPr>
          <w:b/>
        </w:rPr>
        <w:t>’</w:t>
      </w:r>
      <w:r w:rsidRPr="00FD3034">
        <w:rPr>
          <w:b/>
        </w:rPr>
        <w:t>essai d</w:t>
      </w:r>
      <w:r w:rsidR="006B6352">
        <w:rPr>
          <w:b/>
        </w:rPr>
        <w:t>’</w:t>
      </w:r>
      <w:r w:rsidRPr="00FD3034">
        <w:rPr>
          <w:b/>
        </w:rPr>
        <w:t>abrasion décrit au paragraphe 4 de l</w:t>
      </w:r>
      <w:r w:rsidR="006B6352">
        <w:rPr>
          <w:b/>
        </w:rPr>
        <w:t>’</w:t>
      </w:r>
      <w:r w:rsidRPr="00FD3034">
        <w:rPr>
          <w:b/>
        </w:rPr>
        <w:t>annexe 3 soit la série équivalente constituée de l</w:t>
      </w:r>
      <w:r w:rsidR="006B6352">
        <w:rPr>
          <w:b/>
        </w:rPr>
        <w:t>’</w:t>
      </w:r>
      <w:r w:rsidRPr="00FD3034">
        <w:rPr>
          <w:b/>
        </w:rPr>
        <w:t>essai avec ruissellement de sable, de l</w:t>
      </w:r>
      <w:r w:rsidR="006B6352">
        <w:rPr>
          <w:b/>
        </w:rPr>
        <w:t>’</w:t>
      </w:r>
      <w:r w:rsidRPr="00FD3034">
        <w:rPr>
          <w:b/>
        </w:rPr>
        <w:t>essai sur poste de lavage automobile et de l</w:t>
      </w:r>
      <w:r w:rsidR="006B6352">
        <w:rPr>
          <w:b/>
        </w:rPr>
        <w:t>’</w:t>
      </w:r>
      <w:r w:rsidRPr="00FD3034">
        <w:rPr>
          <w:b/>
        </w:rPr>
        <w:t>essai avec essuie-glace, tels qu</w:t>
      </w:r>
      <w:r w:rsidR="006B6352">
        <w:rPr>
          <w:b/>
        </w:rPr>
        <w:t>’</w:t>
      </w:r>
      <w:r w:rsidRPr="00FD3034">
        <w:rPr>
          <w:b/>
        </w:rPr>
        <w:t>ils sont décrits aux paragraphes</w:t>
      </w:r>
      <w:r w:rsidR="008A295D">
        <w:rPr>
          <w:b/>
        </w:rPr>
        <w:t> </w:t>
      </w:r>
      <w:r w:rsidRPr="00FD3034">
        <w:rPr>
          <w:b/>
        </w:rPr>
        <w:t>6.1.2 à 6.1.4 de l</w:t>
      </w:r>
      <w:r w:rsidR="006B6352">
        <w:rPr>
          <w:b/>
        </w:rPr>
        <w:t>’</w:t>
      </w:r>
      <w:r w:rsidR="008A295D">
        <w:rPr>
          <w:b/>
        </w:rPr>
        <w:t>annexe </w:t>
      </w:r>
      <w:r w:rsidRPr="00FD3034">
        <w:rPr>
          <w:b/>
        </w:rPr>
        <w:t>17</w:t>
      </w:r>
      <w:r w:rsidRPr="00FD3034">
        <w:t> ».</w:t>
      </w:r>
    </w:p>
    <w:p w:rsidR="003A2D14" w:rsidRPr="00FD3034" w:rsidRDefault="003A2D14" w:rsidP="00651D17">
      <w:pPr>
        <w:pStyle w:val="SingleTxtG"/>
        <w:keepNext/>
        <w:keepLines/>
      </w:pPr>
      <w:r w:rsidRPr="00FD3034">
        <w:rPr>
          <w:i/>
        </w:rPr>
        <w:t>Le paragraphe 6.1.3.3</w:t>
      </w:r>
      <w:r w:rsidRPr="00FD3034">
        <w:t xml:space="preserve"> devient le paragraphe 6.1.3.4.</w:t>
      </w:r>
    </w:p>
    <w:p w:rsidR="003A2D14" w:rsidRPr="00FD3034" w:rsidRDefault="003A2D14" w:rsidP="00651D17">
      <w:pPr>
        <w:pStyle w:val="SingleTxtG"/>
        <w:keepNext/>
        <w:keepLines/>
      </w:pPr>
      <w:r w:rsidRPr="00FD3034">
        <w:rPr>
          <w:i/>
        </w:rPr>
        <w:t>Paragraphe 6.2.4</w:t>
      </w:r>
      <w:r w:rsidRPr="00FD3034">
        <w:t>,</w:t>
      </w:r>
      <w:r w:rsidRPr="00FD3034">
        <w:rPr>
          <w:i/>
        </w:rPr>
        <w:t xml:space="preserve"> </w:t>
      </w:r>
      <w:r w:rsidRPr="00FD3034">
        <w:t>modifier comme suit :</w:t>
      </w:r>
    </w:p>
    <w:p w:rsidR="003A2D14" w:rsidRPr="00FD3034" w:rsidRDefault="003A2D14" w:rsidP="003A2D14">
      <w:pPr>
        <w:pStyle w:val="SingleTxtG"/>
        <w:ind w:left="2268" w:hanging="1134"/>
      </w:pPr>
      <w:r w:rsidRPr="00FD3034">
        <w:t>« 6.2.4</w:t>
      </w:r>
      <w:r w:rsidRPr="00FD3034">
        <w:tab/>
        <w:t>Un jeu d</w:t>
      </w:r>
      <w:r w:rsidR="006B6352">
        <w:t>’</w:t>
      </w:r>
      <w:r w:rsidRPr="00FD3034">
        <w:t>éprouvettes ou d</w:t>
      </w:r>
      <w:r w:rsidR="006B6352">
        <w:t>’</w:t>
      </w:r>
      <w:r w:rsidRPr="00FD3034">
        <w:t>échantillons soumis à l</w:t>
      </w:r>
      <w:r w:rsidR="006B6352">
        <w:t>’</w:t>
      </w:r>
      <w:r w:rsidRPr="00FD3034">
        <w:t>homologation est considéré comme ayant satisfait à l</w:t>
      </w:r>
      <w:r w:rsidR="006B6352">
        <w:t>’</w:t>
      </w:r>
      <w:r w:rsidRPr="00FD3034">
        <w:t xml:space="preserve">essai de résistance aux intempéries si </w:t>
      </w:r>
      <w:r w:rsidRPr="00FD3034">
        <w:rPr>
          <w:b/>
        </w:rPr>
        <w:t>toutes les éprouvettes ont donné un résultat positif</w:t>
      </w:r>
      <w:r w:rsidRPr="00FD3034">
        <w:t> ».</w:t>
      </w:r>
    </w:p>
    <w:p w:rsidR="003A2D14" w:rsidRPr="00FD3034" w:rsidRDefault="003A2D14" w:rsidP="00651D17">
      <w:pPr>
        <w:pStyle w:val="SingleTxtG"/>
        <w:keepNext/>
        <w:keepLines/>
      </w:pPr>
      <w:r w:rsidRPr="00FD3034">
        <w:rPr>
          <w:i/>
        </w:rPr>
        <w:t>Paragraphes 6.2.4.1 et 6.2.4.2</w:t>
      </w:r>
      <w:r w:rsidRPr="00FD3034">
        <w:t>, supprimer.</w:t>
      </w:r>
    </w:p>
    <w:p w:rsidR="003A2D14" w:rsidRPr="00FD3034" w:rsidRDefault="003A2D14" w:rsidP="00651D17">
      <w:pPr>
        <w:pStyle w:val="SingleTxtG"/>
        <w:keepNext/>
        <w:keepLines/>
      </w:pPr>
      <w:r w:rsidRPr="00FD3034">
        <w:rPr>
          <w:i/>
        </w:rPr>
        <w:t>Paragraphe 6.3.3.2</w:t>
      </w:r>
      <w:r w:rsidRPr="00FD3034">
        <w:t>, modifier comme suit :</w:t>
      </w:r>
    </w:p>
    <w:p w:rsidR="003A2D14" w:rsidRPr="00FD3034" w:rsidRDefault="003A2D14" w:rsidP="003A2D14">
      <w:pPr>
        <w:pStyle w:val="SingleTxtG"/>
        <w:ind w:left="2268" w:hanging="1134"/>
      </w:pPr>
      <w:r w:rsidRPr="00FD3034">
        <w:t>« 6.3.3.2</w:t>
      </w:r>
      <w:r w:rsidRPr="00FD3034">
        <w:tab/>
        <w:t>L</w:t>
      </w:r>
      <w:r w:rsidR="006B6352">
        <w:t>’</w:t>
      </w:r>
      <w:r w:rsidRPr="00FD3034">
        <w:t>échantillon est considéré comme satisfaisant du point de vue de l</w:t>
      </w:r>
      <w:r w:rsidR="006B6352">
        <w:t>’</w:t>
      </w:r>
      <w:r w:rsidRPr="00FD3034">
        <w:t xml:space="preserve">homologation si </w:t>
      </w:r>
      <w:r w:rsidRPr="00FD3034">
        <w:rPr>
          <w:b/>
        </w:rPr>
        <w:t>l</w:t>
      </w:r>
      <w:r w:rsidR="006B6352">
        <w:rPr>
          <w:b/>
        </w:rPr>
        <w:t>’</w:t>
      </w:r>
      <w:r w:rsidRPr="00FD3034">
        <w:rPr>
          <w:b/>
        </w:rPr>
        <w:t>essai a donné un résultat positif</w:t>
      </w:r>
      <w:r w:rsidRPr="00FD3034">
        <w:t> ».</w:t>
      </w:r>
    </w:p>
    <w:p w:rsidR="003A2D14" w:rsidRPr="00FD3034" w:rsidRDefault="003A2D14" w:rsidP="00651D17">
      <w:pPr>
        <w:pStyle w:val="SingleTxtG"/>
        <w:keepNext/>
        <w:keepLines/>
      </w:pPr>
      <w:r w:rsidRPr="00FD3034">
        <w:rPr>
          <w:i/>
        </w:rPr>
        <w:t>Paragraphes 6.3.3.2.1 et 6.3.3.2.2</w:t>
      </w:r>
      <w:r w:rsidRPr="008A295D">
        <w:t>,</w:t>
      </w:r>
      <w:r w:rsidRPr="00FD3034">
        <w:t xml:space="preserve"> supprimer.</w:t>
      </w:r>
    </w:p>
    <w:p w:rsidR="003A2D14" w:rsidRPr="00FD3034" w:rsidRDefault="003A2D14" w:rsidP="00651D17">
      <w:pPr>
        <w:pStyle w:val="SingleTxtG"/>
        <w:keepNext/>
        <w:keepLines/>
      </w:pPr>
      <w:r w:rsidRPr="00FD3034">
        <w:rPr>
          <w:i/>
        </w:rPr>
        <w:t>Paragraphe 6.4.2</w:t>
      </w:r>
      <w:r w:rsidRPr="00FD3034">
        <w:t>,</w:t>
      </w:r>
      <w:r w:rsidRPr="00FD3034">
        <w:rPr>
          <w:i/>
        </w:rPr>
        <w:t xml:space="preserve"> </w:t>
      </w:r>
      <w:r w:rsidRPr="00FD3034">
        <w:t>modifier comme suit :</w:t>
      </w:r>
    </w:p>
    <w:p w:rsidR="003A2D14" w:rsidRPr="00FD3034" w:rsidRDefault="003A2D14" w:rsidP="003A2D14">
      <w:pPr>
        <w:pStyle w:val="SingleTxtG"/>
        <w:ind w:left="2268" w:hanging="1134"/>
      </w:pPr>
      <w:r w:rsidRPr="00FD3034">
        <w:t>« 6.4.2</w:t>
      </w:r>
      <w:r w:rsidRPr="00FD3034">
        <w:tab/>
        <w:t>Dix éprouvettes plates, carrées, de 300 mm de côté</w:t>
      </w:r>
      <w:r w:rsidRPr="00FD3034">
        <w:rPr>
          <w:b/>
        </w:rPr>
        <w:t>, ou dix pièces d</w:t>
      </w:r>
      <w:r w:rsidR="006B6352">
        <w:rPr>
          <w:b/>
        </w:rPr>
        <w:t>’</w:t>
      </w:r>
      <w:r w:rsidRPr="00FD3034">
        <w:rPr>
          <w:b/>
        </w:rPr>
        <w:t>origine,</w:t>
      </w:r>
      <w:r w:rsidRPr="00FD3034">
        <w:t xml:space="preserve"> sont soumises aux essais ».</w:t>
      </w:r>
    </w:p>
    <w:p w:rsidR="003A2D14" w:rsidRPr="00FD3034" w:rsidRDefault="003A2D14" w:rsidP="00651D17">
      <w:pPr>
        <w:pStyle w:val="SingleTxtG"/>
        <w:keepNext/>
        <w:keepLines/>
      </w:pPr>
      <w:r w:rsidRPr="00FD3034">
        <w:rPr>
          <w:i/>
        </w:rPr>
        <w:t>Paragraphe 7.1</w:t>
      </w:r>
      <w:r w:rsidRPr="00FD3034">
        <w:t>,</w:t>
      </w:r>
      <w:r w:rsidRPr="00FD3034">
        <w:rPr>
          <w:i/>
        </w:rPr>
        <w:t xml:space="preserve"> </w:t>
      </w:r>
      <w:r w:rsidRPr="00FD3034">
        <w:t>modifier comme suit :</w:t>
      </w:r>
    </w:p>
    <w:p w:rsidR="003A2D14" w:rsidRPr="00FD3034" w:rsidRDefault="003A2D14" w:rsidP="00651D17">
      <w:pPr>
        <w:pStyle w:val="SingleTxtG"/>
        <w:keepNext/>
        <w:keepLines/>
      </w:pPr>
      <w:r w:rsidRPr="00FD3034">
        <w:t>« 7.1</w:t>
      </w:r>
      <w:r w:rsidRPr="00FD3034">
        <w:tab/>
      </w:r>
      <w:r w:rsidR="001E2511">
        <w:tab/>
      </w:r>
      <w:r w:rsidRPr="00FD3034">
        <w:t>Interprétation des résultats</w:t>
      </w:r>
    </w:p>
    <w:p w:rsidR="003A2D14" w:rsidRPr="00FD3034" w:rsidRDefault="003A2D14" w:rsidP="003A2D14">
      <w:pPr>
        <w:pStyle w:val="SingleTxtG"/>
        <w:ind w:left="2268"/>
      </w:pPr>
      <w:r w:rsidRPr="00FD3034">
        <w:tab/>
        <w:t xml:space="preserve">Un jeu </w:t>
      </w:r>
      <w:r w:rsidRPr="00FD3034">
        <w:rPr>
          <w:b/>
        </w:rPr>
        <w:t>de quatre</w:t>
      </w:r>
      <w:r w:rsidRPr="00FD3034">
        <w:t xml:space="preserve"> échantillons est considéré comme ayant donné des résultats positifs si </w:t>
      </w:r>
      <w:r w:rsidRPr="00FD3034">
        <w:rPr>
          <w:b/>
        </w:rPr>
        <w:t>tous les échantillons donnent un résultat positif</w:t>
      </w:r>
      <w:r w:rsidRPr="00FD3034">
        <w:t> ».</w:t>
      </w:r>
    </w:p>
    <w:p w:rsidR="003A2D14" w:rsidRPr="00FD3034" w:rsidRDefault="003A2D14" w:rsidP="00651D17">
      <w:pPr>
        <w:pStyle w:val="SingleTxtG"/>
        <w:keepNext/>
        <w:keepLines/>
      </w:pPr>
      <w:r w:rsidRPr="00FD3034">
        <w:rPr>
          <w:i/>
        </w:rPr>
        <w:t>Paragraphes 7.1.1 et 7.1.2,</w:t>
      </w:r>
      <w:r w:rsidRPr="00FD3034">
        <w:t xml:space="preserve"> supprimer.</w:t>
      </w:r>
    </w:p>
    <w:p w:rsidR="003A2D14" w:rsidRPr="00FD3034" w:rsidRDefault="003A2D14" w:rsidP="00651D17">
      <w:pPr>
        <w:pStyle w:val="SingleTxtG"/>
        <w:keepNext/>
        <w:keepLines/>
      </w:pPr>
      <w:r w:rsidRPr="00FD3034">
        <w:rPr>
          <w:i/>
        </w:rPr>
        <w:t>Paragraphe 8.2.1</w:t>
      </w:r>
      <w:r w:rsidRPr="00FD3034">
        <w:t>,</w:t>
      </w:r>
      <w:r w:rsidRPr="00FD3034">
        <w:rPr>
          <w:i/>
        </w:rPr>
        <w:t xml:space="preserve"> </w:t>
      </w:r>
      <w:r w:rsidRPr="00FD3034">
        <w:t>modifier comme suit :</w:t>
      </w:r>
    </w:p>
    <w:p w:rsidR="003A2D14" w:rsidRPr="00FD3034" w:rsidRDefault="003A2D14" w:rsidP="003A2D14">
      <w:pPr>
        <w:pStyle w:val="SingleTxtG"/>
        <w:ind w:left="2268" w:hanging="1134"/>
      </w:pPr>
      <w:r w:rsidRPr="00FD3034">
        <w:t>« 8.2.1</w:t>
      </w:r>
      <w:r w:rsidRPr="00FD3034">
        <w:tab/>
        <w:t>Aux fins de l</w:t>
      </w:r>
      <w:r w:rsidR="006B6352">
        <w:t>’</w:t>
      </w:r>
      <w:r w:rsidRPr="00FD3034">
        <w:t>homologation, une série d</w:t>
      </w:r>
      <w:r w:rsidR="006B6352">
        <w:t>’</w:t>
      </w:r>
      <w:r w:rsidRPr="00FD3034">
        <w:t xml:space="preserve">échantillons est considérée comme ayant donné un résultat positif si </w:t>
      </w:r>
      <w:r w:rsidRPr="00FD3034">
        <w:rPr>
          <w:b/>
        </w:rPr>
        <w:t>tous les échantillons donnent un résultat positif</w:t>
      </w:r>
      <w:r w:rsidRPr="00FD3034">
        <w:t> ».</w:t>
      </w:r>
    </w:p>
    <w:p w:rsidR="003A2D14" w:rsidRPr="00FD3034" w:rsidRDefault="003A2D14" w:rsidP="00651D17">
      <w:pPr>
        <w:pStyle w:val="SingleTxtG"/>
        <w:keepNext/>
        <w:keepLines/>
      </w:pPr>
      <w:r w:rsidRPr="00FD3034">
        <w:rPr>
          <w:i/>
        </w:rPr>
        <w:t>Paragraphes 8.2.1.1 et 8.2.1.2,</w:t>
      </w:r>
      <w:r w:rsidRPr="00FD3034">
        <w:t xml:space="preserve"> supprimer.</w:t>
      </w:r>
    </w:p>
    <w:p w:rsidR="003A2D14" w:rsidRPr="00FD3034" w:rsidRDefault="003A2D14" w:rsidP="00651D17">
      <w:pPr>
        <w:pStyle w:val="SingleTxtG"/>
        <w:keepNext/>
        <w:keepLines/>
      </w:pPr>
      <w:r w:rsidRPr="00FD3034">
        <w:rPr>
          <w:i/>
        </w:rPr>
        <w:t>Paragraphes 9.1 à 9.2.2,</w:t>
      </w:r>
      <w:r w:rsidRPr="00FD3034">
        <w:t xml:space="preserve"> modifier comme suit :</w:t>
      </w:r>
    </w:p>
    <w:p w:rsidR="003A2D14" w:rsidRPr="00FD3034" w:rsidRDefault="003A2D14" w:rsidP="008A295D">
      <w:pPr>
        <w:pStyle w:val="SingleTxtG"/>
        <w:keepNext/>
        <w:keepLines/>
        <w:ind w:left="2268" w:hanging="1134"/>
        <w:rPr>
          <w:b/>
        </w:rPr>
      </w:pPr>
      <w:r w:rsidRPr="00FD3034">
        <w:t>« </w:t>
      </w:r>
      <w:r w:rsidRPr="00FD3034">
        <w:rPr>
          <w:b/>
        </w:rPr>
        <w:t>9.1</w:t>
      </w:r>
      <w:r w:rsidRPr="00FD3034">
        <w:tab/>
      </w:r>
      <w:r w:rsidRPr="00FD3034">
        <w:rPr>
          <w:b/>
        </w:rPr>
        <w:t>Essai d</w:t>
      </w:r>
      <w:r w:rsidR="006B6352">
        <w:rPr>
          <w:b/>
        </w:rPr>
        <w:t>’</w:t>
      </w:r>
      <w:r w:rsidRPr="00FD3034">
        <w:rPr>
          <w:b/>
        </w:rPr>
        <w:t>immersion</w:t>
      </w:r>
    </w:p>
    <w:p w:rsidR="003A2D14" w:rsidRPr="00FD3034" w:rsidRDefault="003A2D14" w:rsidP="003A2D14">
      <w:pPr>
        <w:pStyle w:val="SingleTxtG"/>
        <w:ind w:left="2268" w:hanging="1134"/>
        <w:rPr>
          <w:b/>
        </w:rPr>
      </w:pPr>
      <w:r w:rsidRPr="00FD3034">
        <w:rPr>
          <w:b/>
        </w:rPr>
        <w:t>9.1.1</w:t>
      </w:r>
      <w:r w:rsidRPr="00FD3034">
        <w:tab/>
      </w:r>
      <w:r w:rsidRPr="00FD3034">
        <w:rPr>
          <w:b/>
        </w:rPr>
        <w:t>Indices de difficulté et méthode d</w:t>
      </w:r>
      <w:r w:rsidR="006B6352">
        <w:rPr>
          <w:b/>
        </w:rPr>
        <w:t>’</w:t>
      </w:r>
      <w:r w:rsidRPr="00FD3034">
        <w:rPr>
          <w:b/>
        </w:rPr>
        <w:t>essai</w:t>
      </w:r>
    </w:p>
    <w:p w:rsidR="003A2D14" w:rsidRPr="00FD3034" w:rsidRDefault="003A2D14" w:rsidP="003A2D14">
      <w:pPr>
        <w:pStyle w:val="SingleTxtG"/>
        <w:ind w:left="2268"/>
        <w:rPr>
          <w:b/>
        </w:rPr>
      </w:pPr>
      <w:r w:rsidRPr="00FD3034">
        <w:tab/>
      </w:r>
      <w:r w:rsidRPr="00FD3034">
        <w:rPr>
          <w:b/>
        </w:rPr>
        <w:t>Les prescriptions du paragraphe 11.2.1 de l</w:t>
      </w:r>
      <w:r w:rsidR="006B6352">
        <w:rPr>
          <w:b/>
        </w:rPr>
        <w:t>’</w:t>
      </w:r>
      <w:r w:rsidRPr="00FD3034">
        <w:rPr>
          <w:b/>
        </w:rPr>
        <w:t>annexe 3 s</w:t>
      </w:r>
      <w:r w:rsidR="006B6352">
        <w:rPr>
          <w:b/>
        </w:rPr>
        <w:t>’</w:t>
      </w:r>
      <w:r w:rsidRPr="00FD3034">
        <w:rPr>
          <w:b/>
        </w:rPr>
        <w:t>appliquent.</w:t>
      </w:r>
    </w:p>
    <w:p w:rsidR="003A2D14" w:rsidRPr="00FD3034" w:rsidRDefault="003A2D14" w:rsidP="008A295D">
      <w:pPr>
        <w:pStyle w:val="SingleTxtG"/>
        <w:keepNext/>
        <w:keepLines/>
        <w:ind w:left="2268" w:hanging="1134"/>
        <w:rPr>
          <w:b/>
        </w:rPr>
      </w:pPr>
      <w:r w:rsidRPr="00FD3034">
        <w:rPr>
          <w:b/>
        </w:rPr>
        <w:t>9.1.2</w:t>
      </w:r>
      <w:r w:rsidRPr="00FD3034">
        <w:tab/>
      </w:r>
      <w:r w:rsidRPr="00FD3034">
        <w:rPr>
          <w:b/>
        </w:rPr>
        <w:t>Interprétation des résultats</w:t>
      </w:r>
    </w:p>
    <w:p w:rsidR="003A2D14" w:rsidRPr="00FD3034" w:rsidRDefault="003A2D14" w:rsidP="003A2D14">
      <w:pPr>
        <w:pStyle w:val="SingleTxtG"/>
        <w:ind w:left="2268"/>
        <w:rPr>
          <w:b/>
        </w:rPr>
      </w:pPr>
      <w:r w:rsidRPr="00FD3034">
        <w:tab/>
      </w:r>
      <w:r w:rsidRPr="00FD3034">
        <w:rPr>
          <w:b/>
        </w:rPr>
        <w:t>Pour chaque agent chimique, un jeu de quatre éprouvettes doit être soumis aux essais. Dans l</w:t>
      </w:r>
      <w:r w:rsidR="008A295D">
        <w:rPr>
          <w:b/>
        </w:rPr>
        <w:t>e cas des vitrages de la classe </w:t>
      </w:r>
      <w:r w:rsidRPr="00FD3034">
        <w:rPr>
          <w:b/>
        </w:rPr>
        <w:t>L, pour chaque agent chimique une de ces éprouvettes doit faire l</w:t>
      </w:r>
      <w:r w:rsidR="006B6352">
        <w:rPr>
          <w:b/>
        </w:rPr>
        <w:t>’</w:t>
      </w:r>
      <w:r w:rsidRPr="00FD3034">
        <w:rPr>
          <w:b/>
        </w:rPr>
        <w:t>objet d</w:t>
      </w:r>
      <w:r w:rsidR="006B6352">
        <w:rPr>
          <w:b/>
        </w:rPr>
        <w:t>’</w:t>
      </w:r>
      <w:r w:rsidRPr="00FD3034">
        <w:rPr>
          <w:b/>
        </w:rPr>
        <w:t>incisions croi</w:t>
      </w:r>
      <w:r w:rsidR="008A295D">
        <w:rPr>
          <w:b/>
        </w:rPr>
        <w:t>sées conformément au paragraphe </w:t>
      </w:r>
      <w:r w:rsidRPr="00FD3034">
        <w:rPr>
          <w:b/>
        </w:rPr>
        <w:t>13 de l</w:t>
      </w:r>
      <w:r w:rsidR="006B6352">
        <w:rPr>
          <w:b/>
        </w:rPr>
        <w:t>’</w:t>
      </w:r>
      <w:r w:rsidR="008A295D">
        <w:rPr>
          <w:b/>
        </w:rPr>
        <w:t>annexe </w:t>
      </w:r>
      <w:r w:rsidRPr="00FD3034">
        <w:rPr>
          <w:b/>
        </w:rPr>
        <w:t>3.</w:t>
      </w:r>
    </w:p>
    <w:p w:rsidR="003A2D14" w:rsidRPr="00FD3034" w:rsidRDefault="003A2D14" w:rsidP="003A2D14">
      <w:pPr>
        <w:pStyle w:val="SingleTxtG"/>
        <w:ind w:left="2268"/>
        <w:rPr>
          <w:b/>
        </w:rPr>
      </w:pPr>
      <w:r w:rsidRPr="00FD3034">
        <w:tab/>
      </w:r>
      <w:r w:rsidRPr="00FD3034">
        <w:rPr>
          <w:b/>
        </w:rPr>
        <w:t>Trois éprouvettes sur quatre, dont celle qui a fait l</w:t>
      </w:r>
      <w:r w:rsidR="006B6352">
        <w:rPr>
          <w:b/>
        </w:rPr>
        <w:t>’</w:t>
      </w:r>
      <w:r w:rsidRPr="00FD3034">
        <w:rPr>
          <w:b/>
        </w:rPr>
        <w:t>objet d</w:t>
      </w:r>
      <w:r w:rsidR="006B6352">
        <w:rPr>
          <w:b/>
        </w:rPr>
        <w:t>’</w:t>
      </w:r>
      <w:r w:rsidRPr="00FD3034">
        <w:rPr>
          <w:b/>
        </w:rPr>
        <w:t>incisions croisées le cas échéant, doivent donner des résultats satisfaisants pour chaque agent chimique.</w:t>
      </w:r>
    </w:p>
    <w:p w:rsidR="003A2D14" w:rsidRPr="00FD3034" w:rsidRDefault="003A2D14" w:rsidP="008A295D">
      <w:pPr>
        <w:pStyle w:val="SingleTxtG"/>
        <w:keepNext/>
        <w:keepLines/>
        <w:ind w:left="2268" w:hanging="1134"/>
        <w:rPr>
          <w:b/>
        </w:rPr>
      </w:pPr>
      <w:r w:rsidRPr="00FD3034">
        <w:rPr>
          <w:b/>
        </w:rPr>
        <w:t>9.2</w:t>
      </w:r>
      <w:r w:rsidRPr="00FD3034">
        <w:tab/>
      </w:r>
      <w:r w:rsidRPr="00FD3034">
        <w:rPr>
          <w:b/>
        </w:rPr>
        <w:t>Essai sous charge</w:t>
      </w:r>
    </w:p>
    <w:p w:rsidR="003A2D14" w:rsidRPr="00FD3034" w:rsidRDefault="003A2D14" w:rsidP="003A2D14">
      <w:pPr>
        <w:pStyle w:val="SingleTxtG"/>
        <w:ind w:left="2268" w:hanging="1134"/>
        <w:rPr>
          <w:b/>
        </w:rPr>
      </w:pPr>
      <w:r w:rsidRPr="00FD3034">
        <w:rPr>
          <w:b/>
        </w:rPr>
        <w:t>9.2.1</w:t>
      </w:r>
      <w:r w:rsidRPr="00FD3034">
        <w:tab/>
      </w:r>
      <w:r w:rsidRPr="00FD3034">
        <w:rPr>
          <w:b/>
        </w:rPr>
        <w:t>Indices de difficulté et méthode d</w:t>
      </w:r>
      <w:r w:rsidR="006B6352">
        <w:rPr>
          <w:b/>
        </w:rPr>
        <w:t>’</w:t>
      </w:r>
      <w:r w:rsidRPr="00FD3034">
        <w:rPr>
          <w:b/>
        </w:rPr>
        <w:t>essai</w:t>
      </w:r>
    </w:p>
    <w:p w:rsidR="003A2D14" w:rsidRPr="00FD3034" w:rsidRDefault="003A2D14" w:rsidP="003A2D14">
      <w:pPr>
        <w:pStyle w:val="SingleTxtG"/>
        <w:ind w:left="2268"/>
        <w:rPr>
          <w:b/>
        </w:rPr>
      </w:pPr>
      <w:r w:rsidRPr="00FD3034">
        <w:tab/>
      </w:r>
      <w:r w:rsidRPr="00FD3034">
        <w:rPr>
          <w:b/>
        </w:rPr>
        <w:t>Les prescriptions du paragraphe 11.2.4 de l</w:t>
      </w:r>
      <w:r w:rsidR="006B6352">
        <w:rPr>
          <w:b/>
        </w:rPr>
        <w:t>’</w:t>
      </w:r>
      <w:r w:rsidRPr="00FD3034">
        <w:rPr>
          <w:b/>
        </w:rPr>
        <w:t>annexe 3 s</w:t>
      </w:r>
      <w:r w:rsidR="006B6352">
        <w:rPr>
          <w:b/>
        </w:rPr>
        <w:t>’</w:t>
      </w:r>
      <w:r w:rsidRPr="00FD3034">
        <w:rPr>
          <w:b/>
        </w:rPr>
        <w:t>appliquent.</w:t>
      </w:r>
    </w:p>
    <w:p w:rsidR="003A2D14" w:rsidRPr="00FD3034" w:rsidRDefault="003A2D14" w:rsidP="003A2D14">
      <w:pPr>
        <w:pStyle w:val="SingleTxtG"/>
        <w:ind w:left="2268" w:hanging="1134"/>
        <w:rPr>
          <w:b/>
        </w:rPr>
      </w:pPr>
      <w:r w:rsidRPr="00FD3034">
        <w:rPr>
          <w:b/>
        </w:rPr>
        <w:t>9.2.2</w:t>
      </w:r>
      <w:r w:rsidRPr="00FD3034">
        <w:tab/>
      </w:r>
      <w:r w:rsidRPr="00FD3034">
        <w:rPr>
          <w:b/>
        </w:rPr>
        <w:t>Interprétation des résultats</w:t>
      </w:r>
    </w:p>
    <w:p w:rsidR="003A2D14" w:rsidRPr="00FD3034" w:rsidRDefault="003A2D14" w:rsidP="003A2D14">
      <w:pPr>
        <w:pStyle w:val="SingleTxtG"/>
        <w:ind w:left="2268"/>
        <w:rPr>
          <w:b/>
        </w:rPr>
      </w:pPr>
      <w:r w:rsidRPr="00FD3034">
        <w:tab/>
      </w:r>
      <w:r w:rsidRPr="00FD3034">
        <w:rPr>
          <w:b/>
        </w:rPr>
        <w:t>Un jeu de quatre éprouvettes, autres que celles mentionnées au paragraphe 9.1 ci-dessus, doit être soumis à des essais pour chaque agent chimique.</w:t>
      </w:r>
    </w:p>
    <w:p w:rsidR="003A2D14" w:rsidRPr="00FD3034" w:rsidRDefault="003A2D14" w:rsidP="003A2D14">
      <w:pPr>
        <w:pStyle w:val="SingleTxtG"/>
        <w:ind w:left="2268"/>
      </w:pPr>
      <w:r w:rsidRPr="00FD3034">
        <w:tab/>
      </w:r>
      <w:r w:rsidRPr="00FD3034">
        <w:rPr>
          <w:b/>
        </w:rPr>
        <w:t>Trois éprouvettes sur quatre doivent donner des résultats satisfais</w:t>
      </w:r>
      <w:r w:rsidR="008A295D">
        <w:rPr>
          <w:b/>
        </w:rPr>
        <w:t>ants pour chaque agent chimique</w:t>
      </w:r>
      <w:r w:rsidRPr="00FD3034">
        <w:rPr>
          <w:b/>
        </w:rPr>
        <w:t> </w:t>
      </w:r>
      <w:r w:rsidRPr="00FD3034">
        <w:t>».</w:t>
      </w:r>
    </w:p>
    <w:p w:rsidR="003A2D14" w:rsidRPr="00FD3034" w:rsidRDefault="003A2D14" w:rsidP="00651D17">
      <w:pPr>
        <w:pStyle w:val="SingleTxtG"/>
        <w:keepNext/>
        <w:keepLines/>
        <w:rPr>
          <w:i/>
        </w:rPr>
      </w:pPr>
      <w:r w:rsidRPr="00FD3034">
        <w:rPr>
          <w:i/>
        </w:rPr>
        <w:t>Annexe 15</w:t>
      </w:r>
    </w:p>
    <w:p w:rsidR="003A2D14" w:rsidRPr="00FD3034" w:rsidRDefault="003A2D14" w:rsidP="00651D17">
      <w:pPr>
        <w:pStyle w:val="SingleTxtG"/>
        <w:keepNext/>
        <w:keepLines/>
      </w:pPr>
      <w:r w:rsidRPr="00FD3034">
        <w:rPr>
          <w:i/>
        </w:rPr>
        <w:t>Paragraphe 1.1.5,</w:t>
      </w:r>
      <w:r w:rsidRPr="00FD3034">
        <w:t xml:space="preserve"> modifier comme suit :</w:t>
      </w:r>
    </w:p>
    <w:p w:rsidR="003A2D14" w:rsidRPr="00FD3034" w:rsidRDefault="003A2D14" w:rsidP="003A2D14">
      <w:pPr>
        <w:pStyle w:val="SingleTxtG"/>
        <w:ind w:left="2268" w:hanging="1134"/>
      </w:pPr>
      <w:r w:rsidRPr="00FD3034">
        <w:t>« 1.1.5</w:t>
      </w:r>
      <w:r w:rsidRPr="00FD3034">
        <w:tab/>
        <w:t>L</w:t>
      </w:r>
      <w:r w:rsidR="006B6352">
        <w:t>’</w:t>
      </w:r>
      <w:r w:rsidRPr="00FD3034">
        <w:t>épaisseur nominale (e) dont la tolérance de fabrication est de ± (0,1 mm +</w:t>
      </w:r>
      <w:r w:rsidRPr="00FD3034">
        <w:rPr>
          <w:sz w:val="22"/>
        </w:rPr>
        <w:t> </w:t>
      </w:r>
      <w:r w:rsidRPr="00FD3034">
        <w:t xml:space="preserve">0,1 e), </w:t>
      </w:r>
      <w:r w:rsidRPr="00FD3034">
        <w:rPr>
          <w:b/>
        </w:rPr>
        <w:t>e</w:t>
      </w:r>
      <w:r w:rsidRPr="00FD3034">
        <w:t xml:space="preserve"> étant supérieur à 0,1 mm ; ».</w:t>
      </w:r>
    </w:p>
    <w:p w:rsidR="003A2D14" w:rsidRPr="00FD3034" w:rsidRDefault="003A2D14" w:rsidP="003A2D14">
      <w:pPr>
        <w:pStyle w:val="SingleTxtG"/>
      </w:pPr>
      <w:r w:rsidRPr="00FD3034">
        <w:rPr>
          <w:i/>
        </w:rPr>
        <w:t>Paragraphe 4.2.1</w:t>
      </w:r>
      <w:r w:rsidRPr="00FD3034">
        <w:t>,</w:t>
      </w:r>
      <w:r w:rsidRPr="00FD3034">
        <w:rPr>
          <w:i/>
        </w:rPr>
        <w:t xml:space="preserve"> </w:t>
      </w:r>
      <w:r w:rsidRPr="00FD3034">
        <w:t>modification sans objet en français.</w:t>
      </w:r>
    </w:p>
    <w:p w:rsidR="003A2D14" w:rsidRPr="00FD3034" w:rsidRDefault="003A2D14" w:rsidP="00651D17">
      <w:pPr>
        <w:pStyle w:val="SingleTxtG"/>
        <w:keepNext/>
        <w:keepLines/>
      </w:pPr>
      <w:r w:rsidRPr="00FD3034">
        <w:rPr>
          <w:i/>
        </w:rPr>
        <w:t>Paragraphe 4.2.3.2</w:t>
      </w:r>
      <w:r w:rsidRPr="00FD3034">
        <w:t>, modifier comme suit :</w:t>
      </w:r>
    </w:p>
    <w:p w:rsidR="003A2D14" w:rsidRPr="00FD3034" w:rsidRDefault="003A2D14" w:rsidP="003A2D14">
      <w:pPr>
        <w:pStyle w:val="SingleTxtG"/>
        <w:ind w:left="2268" w:hanging="1134"/>
      </w:pPr>
      <w:r w:rsidRPr="00FD3034">
        <w:t>« 4.2.3.2</w:t>
      </w:r>
      <w:r w:rsidRPr="00FD3034">
        <w:tab/>
        <w:t>Une série d</w:t>
      </w:r>
      <w:r w:rsidR="006B6352">
        <w:t>’</w:t>
      </w:r>
      <w:r w:rsidRPr="00FD3034">
        <w:t>éprouvettes présentée à l</w:t>
      </w:r>
      <w:r w:rsidR="006B6352">
        <w:t>’</w:t>
      </w:r>
      <w:r w:rsidRPr="00FD3034">
        <w:t>homologation est considérée comme ayant satisfait à l</w:t>
      </w:r>
      <w:r w:rsidR="006B6352">
        <w:t>’</w:t>
      </w:r>
      <w:r w:rsidRPr="00FD3034">
        <w:t xml:space="preserve">essai de résistance mécanique à la bille de 227 g si </w:t>
      </w:r>
      <w:r w:rsidRPr="00FD3034">
        <w:rPr>
          <w:b/>
        </w:rPr>
        <w:t xml:space="preserve">huit essais ou plus donnent un résultat positif </w:t>
      </w:r>
      <w:r w:rsidR="008A295D">
        <w:rPr>
          <w:b/>
        </w:rPr>
        <w:t>à la hauteur de chute prescrite</w:t>
      </w:r>
      <w:r w:rsidRPr="00FD3034">
        <w:rPr>
          <w:b/>
        </w:rPr>
        <w:t> </w:t>
      </w:r>
      <w:r w:rsidRPr="00FD3034">
        <w:t>».</w:t>
      </w:r>
    </w:p>
    <w:p w:rsidR="003A2D14" w:rsidRPr="00FD3034" w:rsidRDefault="003A2D14" w:rsidP="003A2D14">
      <w:pPr>
        <w:tabs>
          <w:tab w:val="left" w:pos="2835"/>
          <w:tab w:val="left" w:pos="8505"/>
        </w:tabs>
        <w:spacing w:before="120" w:after="120" w:line="240" w:lineRule="auto"/>
        <w:ind w:left="2268" w:right="1134" w:hanging="1134"/>
        <w:jc w:val="both"/>
      </w:pPr>
      <w:r w:rsidRPr="00FD3034">
        <w:rPr>
          <w:i/>
        </w:rPr>
        <w:t>Paragraphes 4.2.3.2.1 et 4.2.3.2.2,</w:t>
      </w:r>
      <w:r w:rsidRPr="00FD3034">
        <w:t xml:space="preserve"> supprimer.</w:t>
      </w:r>
    </w:p>
    <w:p w:rsidR="003A2D14" w:rsidRPr="00FD3034" w:rsidRDefault="003A2D14" w:rsidP="00651D17">
      <w:pPr>
        <w:pStyle w:val="SingleTxtG"/>
        <w:keepNext/>
        <w:keepLines/>
      </w:pPr>
      <w:r w:rsidRPr="00FD3034">
        <w:rPr>
          <w:i/>
        </w:rPr>
        <w:t>Paragraphe 5.1.4</w:t>
      </w:r>
      <w:r w:rsidRPr="00FD3034">
        <w:t>,</w:t>
      </w:r>
      <w:r w:rsidRPr="00FD3034">
        <w:rPr>
          <w:i/>
        </w:rPr>
        <w:t xml:space="preserve"> </w:t>
      </w:r>
      <w:r w:rsidRPr="00FD3034">
        <w:t>modifier comme suit :</w:t>
      </w:r>
    </w:p>
    <w:p w:rsidR="003A2D14" w:rsidRPr="00FD3034" w:rsidRDefault="003A2D14" w:rsidP="003A2D14">
      <w:pPr>
        <w:pStyle w:val="SingleTxtG"/>
        <w:ind w:left="2268" w:hanging="1134"/>
      </w:pPr>
      <w:r w:rsidRPr="00FD3034">
        <w:t>« 5.1.4</w:t>
      </w:r>
      <w:r w:rsidRPr="00FD3034">
        <w:tab/>
        <w:t>Une série d</w:t>
      </w:r>
      <w:r w:rsidR="006B6352">
        <w:t>’</w:t>
      </w:r>
      <w:r w:rsidRPr="00FD3034">
        <w:t>éprouvettes ou d</w:t>
      </w:r>
      <w:r w:rsidR="006B6352">
        <w:t>’</w:t>
      </w:r>
      <w:r w:rsidRPr="00FD3034">
        <w:t>échantillons soumis à l</w:t>
      </w:r>
      <w:r w:rsidR="006B6352">
        <w:t>’</w:t>
      </w:r>
      <w:r w:rsidRPr="00FD3034">
        <w:t>homologation est considérée comme ayant satisfait à l</w:t>
      </w:r>
      <w:r w:rsidR="006B6352">
        <w:t>’</w:t>
      </w:r>
      <w:r w:rsidRPr="00FD3034">
        <w:t xml:space="preserve">essai de résistance aux intempéries si </w:t>
      </w:r>
      <w:r w:rsidRPr="00FD3034">
        <w:rPr>
          <w:b/>
        </w:rPr>
        <w:t>tous les essais ou échantillons donnent un résultat positif</w:t>
      </w:r>
      <w:r w:rsidRPr="00FD3034">
        <w:t> ».</w:t>
      </w:r>
    </w:p>
    <w:p w:rsidR="003A2D14" w:rsidRPr="00FD3034" w:rsidRDefault="003A2D14" w:rsidP="003A2D14">
      <w:pPr>
        <w:tabs>
          <w:tab w:val="left" w:pos="2835"/>
          <w:tab w:val="left" w:pos="8505"/>
        </w:tabs>
        <w:spacing w:before="120" w:after="120" w:line="240" w:lineRule="auto"/>
        <w:ind w:left="2268" w:right="1134" w:hanging="1134"/>
        <w:jc w:val="both"/>
      </w:pPr>
      <w:r w:rsidRPr="00FD3034">
        <w:rPr>
          <w:i/>
        </w:rPr>
        <w:t>Paragraphes 5.1.4.1 et 5.1.4.2,</w:t>
      </w:r>
      <w:r w:rsidRPr="00FD3034">
        <w:t xml:space="preserve"> supprimer.</w:t>
      </w:r>
    </w:p>
    <w:p w:rsidR="003A2D14" w:rsidRPr="00FD3034" w:rsidRDefault="003A2D14" w:rsidP="00651D17">
      <w:pPr>
        <w:pStyle w:val="SingleTxtG"/>
        <w:keepNext/>
        <w:keepLines/>
      </w:pPr>
      <w:r w:rsidRPr="00FD3034">
        <w:rPr>
          <w:i/>
        </w:rPr>
        <w:t>Paragraphe 6.1</w:t>
      </w:r>
      <w:r w:rsidRPr="00FD3034">
        <w:t>,</w:t>
      </w:r>
      <w:r w:rsidRPr="00FD3034">
        <w:rPr>
          <w:i/>
        </w:rPr>
        <w:t xml:space="preserve"> </w:t>
      </w:r>
      <w:r w:rsidRPr="00FD3034">
        <w:t>modifier comme suit :</w:t>
      </w:r>
    </w:p>
    <w:p w:rsidR="003A2D14" w:rsidRPr="00FD3034" w:rsidRDefault="003A2D14" w:rsidP="003A2D14">
      <w:pPr>
        <w:pStyle w:val="SingleTxtG"/>
        <w:ind w:left="2268" w:hanging="1134"/>
      </w:pPr>
      <w:r w:rsidRPr="00FD3034">
        <w:t>« 6.1</w:t>
      </w:r>
      <w:r w:rsidRPr="00FD3034">
        <w:tab/>
        <w:t>Interprétation des résultats</w:t>
      </w:r>
    </w:p>
    <w:p w:rsidR="003A2D14" w:rsidRPr="00FD3034" w:rsidRDefault="003A2D14" w:rsidP="003A2D14">
      <w:pPr>
        <w:pStyle w:val="SingleTxtG"/>
        <w:ind w:left="2268"/>
      </w:pPr>
      <w:r w:rsidRPr="00FD3034">
        <w:tab/>
        <w:t xml:space="preserve">Une série </w:t>
      </w:r>
      <w:r w:rsidRPr="00FD3034">
        <w:rPr>
          <w:b/>
        </w:rPr>
        <w:t>de quatre</w:t>
      </w:r>
      <w:r w:rsidRPr="00FD3034">
        <w:t xml:space="preserve"> échantillons est considérée comme ayant satisfait à l</w:t>
      </w:r>
      <w:r w:rsidR="006B6352">
        <w:t>’</w:t>
      </w:r>
      <w:r w:rsidRPr="00FD3034">
        <w:t xml:space="preserve">essai si </w:t>
      </w:r>
      <w:r w:rsidRPr="00FD3034">
        <w:rPr>
          <w:b/>
        </w:rPr>
        <w:t>tous les échantillons donnent un résultat positif</w:t>
      </w:r>
      <w:r w:rsidRPr="00FD3034">
        <w:t> ».</w:t>
      </w:r>
    </w:p>
    <w:p w:rsidR="003A2D14" w:rsidRPr="00FD3034" w:rsidRDefault="003A2D14" w:rsidP="003A2D14">
      <w:pPr>
        <w:tabs>
          <w:tab w:val="left" w:pos="2835"/>
          <w:tab w:val="left" w:pos="8505"/>
        </w:tabs>
        <w:spacing w:before="120" w:after="120" w:line="240" w:lineRule="auto"/>
        <w:ind w:left="2268" w:right="1134" w:hanging="1134"/>
        <w:jc w:val="both"/>
      </w:pPr>
      <w:r w:rsidRPr="00FD3034">
        <w:rPr>
          <w:i/>
        </w:rPr>
        <w:t>Paragraphes 6.1.1 et 6.1.2,</w:t>
      </w:r>
      <w:r w:rsidRPr="00FD3034">
        <w:t xml:space="preserve"> supprimer.</w:t>
      </w:r>
    </w:p>
    <w:p w:rsidR="003A2D14" w:rsidRPr="00FD3034" w:rsidRDefault="003A2D14" w:rsidP="00651D17">
      <w:pPr>
        <w:pStyle w:val="SingleTxtG"/>
        <w:keepNext/>
        <w:keepLines/>
      </w:pPr>
      <w:r w:rsidRPr="00FD3034">
        <w:rPr>
          <w:i/>
        </w:rPr>
        <w:t>Paragraphe 7.2.1</w:t>
      </w:r>
      <w:r w:rsidRPr="00FD3034">
        <w:t>,</w:t>
      </w:r>
      <w:r w:rsidRPr="00FD3034">
        <w:rPr>
          <w:i/>
        </w:rPr>
        <w:t xml:space="preserve"> </w:t>
      </w:r>
      <w:r w:rsidRPr="00FD3034">
        <w:t>modifier comme suit :</w:t>
      </w:r>
    </w:p>
    <w:p w:rsidR="003A2D14" w:rsidRPr="00FD3034" w:rsidRDefault="003A2D14" w:rsidP="003A2D14">
      <w:pPr>
        <w:pStyle w:val="SingleTxtG"/>
        <w:ind w:left="2268" w:hanging="1134"/>
      </w:pPr>
      <w:r w:rsidRPr="00FD3034">
        <w:t>« 7.2.1</w:t>
      </w:r>
      <w:r w:rsidRPr="00FD3034">
        <w:tab/>
        <w:t>Aux fins de l</w:t>
      </w:r>
      <w:r w:rsidR="006B6352">
        <w:t>’</w:t>
      </w:r>
      <w:r w:rsidRPr="00FD3034">
        <w:t>homologation, une série d</w:t>
      </w:r>
      <w:r w:rsidR="006B6352">
        <w:t>’</w:t>
      </w:r>
      <w:r w:rsidRPr="00FD3034">
        <w:t xml:space="preserve">échantillons est considérée comme ayant satisfait aux prescriptions si </w:t>
      </w:r>
      <w:r w:rsidRPr="00FD3034">
        <w:rPr>
          <w:b/>
        </w:rPr>
        <w:t>tous les échantillons donnent un résultat positif</w:t>
      </w:r>
      <w:r w:rsidRPr="00FD3034">
        <w:t> ».</w:t>
      </w:r>
    </w:p>
    <w:p w:rsidR="003A2D14" w:rsidRPr="00FD3034" w:rsidRDefault="003A2D14" w:rsidP="003A2D14">
      <w:pPr>
        <w:tabs>
          <w:tab w:val="left" w:pos="2835"/>
          <w:tab w:val="left" w:pos="8505"/>
        </w:tabs>
        <w:spacing w:before="120" w:after="120" w:line="240" w:lineRule="auto"/>
        <w:ind w:left="2268" w:right="1134" w:hanging="1134"/>
        <w:jc w:val="both"/>
      </w:pPr>
      <w:r w:rsidRPr="00FD3034">
        <w:rPr>
          <w:i/>
        </w:rPr>
        <w:t>Paragraphes 7.2.1.1 et 7.2.1.2,</w:t>
      </w:r>
      <w:r w:rsidRPr="00FD3034">
        <w:t xml:space="preserve"> supprimer.</w:t>
      </w:r>
    </w:p>
    <w:p w:rsidR="003A2D14" w:rsidRPr="00FD3034" w:rsidRDefault="003A2D14" w:rsidP="00651D17">
      <w:pPr>
        <w:pStyle w:val="SingleTxtG"/>
        <w:keepNext/>
        <w:keepLines/>
      </w:pPr>
      <w:r w:rsidRPr="00FD3034">
        <w:rPr>
          <w:i/>
        </w:rPr>
        <w:t>Paragraphe 8.2</w:t>
      </w:r>
      <w:r w:rsidRPr="00FD3034">
        <w:t>,</w:t>
      </w:r>
      <w:r w:rsidRPr="00FD3034">
        <w:rPr>
          <w:i/>
        </w:rPr>
        <w:t xml:space="preserve"> </w:t>
      </w:r>
      <w:r w:rsidRPr="00FD3034">
        <w:t>modifier comme suit :</w:t>
      </w:r>
    </w:p>
    <w:p w:rsidR="003A2D14" w:rsidRPr="00FD3034" w:rsidRDefault="003A2D14" w:rsidP="003A2D14">
      <w:pPr>
        <w:pStyle w:val="SingleTxtG"/>
        <w:ind w:left="2268" w:hanging="1134"/>
      </w:pPr>
      <w:r w:rsidRPr="00FD3034">
        <w:t>« 8.2</w:t>
      </w:r>
      <w:r w:rsidRPr="00FD3034">
        <w:tab/>
        <w:t>Interprétation des résultats</w:t>
      </w:r>
    </w:p>
    <w:p w:rsidR="003A2D14" w:rsidRPr="00FD3034" w:rsidRDefault="003A2D14" w:rsidP="003A2D14">
      <w:pPr>
        <w:pStyle w:val="SingleTxtG"/>
        <w:ind w:left="2268"/>
      </w:pPr>
      <w:r w:rsidRPr="00FD3034">
        <w:tab/>
        <w:t>Une série d</w:t>
      </w:r>
      <w:r w:rsidR="006B6352">
        <w:t>’</w:t>
      </w:r>
      <w:r w:rsidRPr="00FD3034">
        <w:t xml:space="preserve">échantillons est considérée comme satisfaisant aux prescriptions si </w:t>
      </w:r>
      <w:r w:rsidRPr="00FD3034">
        <w:rPr>
          <w:b/>
        </w:rPr>
        <w:t>tous les échantill</w:t>
      </w:r>
      <w:r w:rsidR="008A295D">
        <w:rPr>
          <w:b/>
        </w:rPr>
        <w:t>ons donnent un résultat positif</w:t>
      </w:r>
      <w:r w:rsidRPr="00FD3034">
        <w:rPr>
          <w:b/>
        </w:rPr>
        <w:t> »</w:t>
      </w:r>
      <w:r w:rsidRPr="00FD3034">
        <w:t>.</w:t>
      </w:r>
    </w:p>
    <w:p w:rsidR="003A2D14" w:rsidRPr="00FD3034" w:rsidRDefault="003A2D14" w:rsidP="003A2D14">
      <w:pPr>
        <w:tabs>
          <w:tab w:val="left" w:pos="2835"/>
          <w:tab w:val="left" w:pos="8505"/>
        </w:tabs>
        <w:spacing w:before="120" w:after="120" w:line="240" w:lineRule="auto"/>
        <w:ind w:left="2268" w:right="1134" w:hanging="1134"/>
        <w:jc w:val="both"/>
      </w:pPr>
      <w:r w:rsidRPr="00FD3034">
        <w:rPr>
          <w:i/>
        </w:rPr>
        <w:t>Paragraphes 8.2.1 et 8.2.2,</w:t>
      </w:r>
      <w:r w:rsidRPr="00FD3034">
        <w:t xml:space="preserve"> supprimer.</w:t>
      </w:r>
    </w:p>
    <w:p w:rsidR="003A2D14" w:rsidRPr="00FD3034" w:rsidRDefault="003A2D14" w:rsidP="008A295D">
      <w:pPr>
        <w:keepNext/>
        <w:keepLines/>
        <w:tabs>
          <w:tab w:val="left" w:pos="2835"/>
          <w:tab w:val="left" w:pos="8505"/>
        </w:tabs>
        <w:spacing w:before="120" w:after="120" w:line="240" w:lineRule="auto"/>
        <w:ind w:left="2268" w:right="1134" w:hanging="1134"/>
        <w:jc w:val="both"/>
        <w:rPr>
          <w:i/>
        </w:rPr>
      </w:pPr>
      <w:r w:rsidRPr="00FD3034">
        <w:rPr>
          <w:i/>
        </w:rPr>
        <w:t>Annexe 16</w:t>
      </w:r>
    </w:p>
    <w:p w:rsidR="003A2D14" w:rsidRPr="00FD3034" w:rsidRDefault="003A2D14" w:rsidP="00651D17">
      <w:pPr>
        <w:pStyle w:val="SingleTxtG"/>
        <w:keepNext/>
        <w:keepLines/>
        <w:rPr>
          <w:lang w:eastAsia="ar-SA"/>
        </w:rPr>
      </w:pPr>
      <w:r w:rsidRPr="00FD3034">
        <w:rPr>
          <w:i/>
          <w:lang w:eastAsia="ar-SA"/>
        </w:rPr>
        <w:t>Paragraphe 1</w:t>
      </w:r>
      <w:r w:rsidRPr="00FD3034">
        <w:rPr>
          <w:lang w:eastAsia="ar-SA"/>
        </w:rPr>
        <w:t>, modifier comme suit :</w:t>
      </w:r>
    </w:p>
    <w:p w:rsidR="003A2D14" w:rsidRPr="00FD3034" w:rsidRDefault="003A2D14" w:rsidP="008A295D">
      <w:pPr>
        <w:tabs>
          <w:tab w:val="left" w:pos="1134"/>
          <w:tab w:val="left" w:pos="2268"/>
          <w:tab w:val="left" w:pos="2835"/>
          <w:tab w:val="left" w:pos="8505"/>
        </w:tabs>
        <w:spacing w:before="120" w:after="120"/>
        <w:ind w:left="2268" w:right="1134" w:hanging="1134"/>
        <w:jc w:val="both"/>
      </w:pPr>
      <w:r w:rsidRPr="00FD3034">
        <w:t>« 1.</w:t>
      </w:r>
      <w:r w:rsidRPr="00FD3034">
        <w:tab/>
        <w:t xml:space="preserve">On considère que les vitrages (...) des </w:t>
      </w:r>
      <w:r w:rsidRPr="00FD3034">
        <w:rPr>
          <w:b/>
        </w:rPr>
        <w:t xml:space="preserve">caractéristiques principales </w:t>
      </w:r>
      <w:r w:rsidR="008A295D">
        <w:t>suivantes</w:t>
      </w:r>
      <w:r w:rsidRPr="00FD3034">
        <w:t> ».</w:t>
      </w:r>
    </w:p>
    <w:p w:rsidR="003A2D14" w:rsidRPr="00FD3034" w:rsidRDefault="003A2D14" w:rsidP="00651D17">
      <w:pPr>
        <w:pStyle w:val="SingleTxtG"/>
        <w:keepNext/>
        <w:keepLines/>
      </w:pPr>
      <w:r w:rsidRPr="00FD3034">
        <w:rPr>
          <w:i/>
        </w:rPr>
        <w:t>Paragraphe 1.1.4</w:t>
      </w:r>
      <w:r w:rsidRPr="00FD3034">
        <w:t>,</w:t>
      </w:r>
      <w:r w:rsidRPr="00FD3034">
        <w:rPr>
          <w:i/>
        </w:rPr>
        <w:t xml:space="preserve"> </w:t>
      </w:r>
      <w:r w:rsidRPr="00FD3034">
        <w:t>modifier comme suit :</w:t>
      </w:r>
    </w:p>
    <w:p w:rsidR="003A2D14" w:rsidRPr="00FD3034" w:rsidRDefault="003A2D14" w:rsidP="003A2D14">
      <w:pPr>
        <w:pStyle w:val="SingleTxtG"/>
        <w:ind w:left="2268" w:hanging="1134"/>
      </w:pPr>
      <w:r w:rsidRPr="00FD3034">
        <w:t>« 1.1.4</w:t>
      </w:r>
      <w:r w:rsidRPr="00FD3034">
        <w:tab/>
        <w:t>L</w:t>
      </w:r>
      <w:r w:rsidR="006B6352">
        <w:t>’</w:t>
      </w:r>
      <w:r w:rsidRPr="00FD3034">
        <w:t xml:space="preserve">épaisseur </w:t>
      </w:r>
      <w:r w:rsidRPr="00FD3034">
        <w:rPr>
          <w:b/>
        </w:rPr>
        <w:t>nominale</w:t>
      </w:r>
      <w:r w:rsidRPr="00FD3034">
        <w:t xml:space="preserve"> des deux vitrages ; ».</w:t>
      </w:r>
    </w:p>
    <w:p w:rsidR="003A2D14" w:rsidRPr="00FD3034" w:rsidRDefault="003A2D14" w:rsidP="00651D17">
      <w:pPr>
        <w:pStyle w:val="SingleTxtG"/>
        <w:keepNext/>
        <w:keepLines/>
      </w:pPr>
      <w:r w:rsidRPr="00FD3034">
        <w:rPr>
          <w:i/>
        </w:rPr>
        <w:t>Paragraphe 1.2.1</w:t>
      </w:r>
      <w:r w:rsidRPr="00FD3034">
        <w:t>,</w:t>
      </w:r>
      <w:r w:rsidRPr="00FD3034">
        <w:rPr>
          <w:i/>
        </w:rPr>
        <w:t xml:space="preserve"> </w:t>
      </w:r>
      <w:r w:rsidRPr="00FD3034">
        <w:t>modifier comme suit :</w:t>
      </w:r>
    </w:p>
    <w:p w:rsidR="003A2D14" w:rsidRPr="00FD3034" w:rsidRDefault="003A2D14" w:rsidP="003A2D14">
      <w:pPr>
        <w:pStyle w:val="SingleTxtG"/>
        <w:ind w:left="2268" w:hanging="1134"/>
      </w:pPr>
      <w:r w:rsidRPr="00FD3034">
        <w:t>« 1.2.1</w:t>
      </w:r>
      <w:r w:rsidRPr="00FD3034">
        <w:tab/>
      </w:r>
      <w:r w:rsidRPr="00FD3034">
        <w:rPr>
          <w:b/>
        </w:rPr>
        <w:t>La présence ou l</w:t>
      </w:r>
      <w:r w:rsidR="006B6352">
        <w:rPr>
          <w:b/>
        </w:rPr>
        <w:t>’</w:t>
      </w:r>
      <w:r w:rsidRPr="00FD3034">
        <w:rPr>
          <w:b/>
        </w:rPr>
        <w:t>absence de masques opaques</w:t>
      </w:r>
      <w:r w:rsidRPr="00FD3034">
        <w:t> ».</w:t>
      </w:r>
    </w:p>
    <w:p w:rsidR="003A2D14" w:rsidRPr="00FD3034" w:rsidRDefault="008A295D" w:rsidP="00651D17">
      <w:pPr>
        <w:pStyle w:val="SingleTxtG"/>
        <w:keepNext/>
        <w:keepLines/>
      </w:pPr>
      <w:r>
        <w:rPr>
          <w:i/>
        </w:rPr>
        <w:t>Paragraphe </w:t>
      </w:r>
      <w:r w:rsidR="003A2D14" w:rsidRPr="00FD3034">
        <w:rPr>
          <w:i/>
        </w:rPr>
        <w:t>2.3</w:t>
      </w:r>
      <w:r w:rsidR="003A2D14" w:rsidRPr="00FD3034">
        <w:t>,</w:t>
      </w:r>
      <w:r w:rsidR="003A2D14" w:rsidRPr="00FD3034">
        <w:rPr>
          <w:i/>
        </w:rPr>
        <w:t xml:space="preserve"> </w:t>
      </w:r>
      <w:r w:rsidR="003A2D14" w:rsidRPr="00FD3034">
        <w:t>modifier comme suit :</w:t>
      </w:r>
    </w:p>
    <w:p w:rsidR="003A2D14" w:rsidRPr="00FD3034" w:rsidRDefault="003A2D14" w:rsidP="003A2D14">
      <w:pPr>
        <w:pStyle w:val="SingleTxtG"/>
        <w:ind w:left="2268" w:hanging="1134"/>
      </w:pPr>
      <w:r w:rsidRPr="00FD3034">
        <w:t>« 2.3</w:t>
      </w:r>
      <w:r w:rsidRPr="00FD3034">
        <w:tab/>
        <w:t>Pour les produits en plastique extrudé, (...) cette tolérance est de</w:t>
      </w:r>
    </w:p>
    <w:p w:rsidR="003A2D14" w:rsidRPr="00FD3034" w:rsidRDefault="003A2D14" w:rsidP="003A2D14">
      <w:pPr>
        <w:pStyle w:val="SingleTxtG"/>
        <w:ind w:left="2268"/>
      </w:pPr>
      <w:r w:rsidRPr="00FD3034">
        <w:tab/>
        <w:t>± (0,4</w:t>
      </w:r>
      <w:r w:rsidRPr="00FD3034">
        <w:rPr>
          <w:b/>
        </w:rPr>
        <w:t> mm</w:t>
      </w:r>
      <w:r w:rsidR="008A295D">
        <w:t xml:space="preserve"> + 0,1 </w:t>
      </w:r>
      <w:r w:rsidRPr="00FD3034">
        <w:t xml:space="preserve">e), </w:t>
      </w:r>
    </w:p>
    <w:p w:rsidR="003A2D14" w:rsidRPr="00FD3034" w:rsidRDefault="003A2D14" w:rsidP="003A2D14">
      <w:pPr>
        <w:pStyle w:val="SingleTxtG"/>
        <w:ind w:left="2268"/>
      </w:pPr>
      <w:r w:rsidRPr="00FD3034">
        <w:tab/>
        <w:t>e étant l</w:t>
      </w:r>
      <w:r w:rsidR="006B6352">
        <w:t>’</w:t>
      </w:r>
      <w:r w:rsidRPr="00FD3034">
        <w:t xml:space="preserve">épaisseur nominale du vitrage </w:t>
      </w:r>
      <w:r w:rsidRPr="00FD3034">
        <w:rPr>
          <w:b/>
        </w:rPr>
        <w:t>en millimètres</w:t>
      </w:r>
      <w:r w:rsidRPr="00FD3034">
        <w:t>.</w:t>
      </w:r>
    </w:p>
    <w:p w:rsidR="003A2D14" w:rsidRPr="00FD3034" w:rsidRDefault="003A2D14" w:rsidP="003A2D14">
      <w:pPr>
        <w:pStyle w:val="SingleTxtG"/>
        <w:ind w:left="2268"/>
      </w:pPr>
      <w:r w:rsidRPr="00FD3034">
        <w:tab/>
        <w:t xml:space="preserve">La norme ISO de référence est la norme </w:t>
      </w:r>
      <w:r w:rsidRPr="000D0ED4">
        <w:t>7823</w:t>
      </w:r>
      <w:r w:rsidR="008A295D" w:rsidRPr="000D0ED4">
        <w:rPr>
          <w:b/>
        </w:rPr>
        <w:t>-1</w:t>
      </w:r>
      <w:r w:rsidR="000D0ED4">
        <w:rPr>
          <w:b/>
        </w:rPr>
        <w:t>:</w:t>
      </w:r>
      <w:r w:rsidRPr="00FD3034">
        <w:rPr>
          <w:b/>
        </w:rPr>
        <w:t>2003</w:t>
      </w:r>
      <w:r w:rsidRPr="00FD3034">
        <w:t>.</w:t>
      </w:r>
    </w:p>
    <w:p w:rsidR="003A2D14" w:rsidRPr="00FD3034" w:rsidRDefault="003A2D14" w:rsidP="003A2D14">
      <w:pPr>
        <w:pStyle w:val="SingleTxtG"/>
        <w:ind w:left="2268"/>
      </w:pPr>
      <w:r w:rsidRPr="00FD3034">
        <w:tab/>
        <w:t>N.B.</w:t>
      </w:r>
      <w:r w:rsidR="008A295D">
        <w:t> :</w:t>
      </w:r>
      <w:r w:rsidRPr="00FD3034">
        <w:t xml:space="preserve"> Si (...) du double vi</w:t>
      </w:r>
      <w:r w:rsidR="008A295D">
        <w:t>trage</w:t>
      </w:r>
      <w:r w:rsidRPr="00FD3034">
        <w:t> ».</w:t>
      </w:r>
    </w:p>
    <w:p w:rsidR="003A2D14" w:rsidRPr="00FD3034" w:rsidRDefault="008A295D" w:rsidP="00651D17">
      <w:pPr>
        <w:pStyle w:val="SingleTxtG"/>
        <w:keepNext/>
        <w:keepLines/>
      </w:pPr>
      <w:r>
        <w:rPr>
          <w:i/>
        </w:rPr>
        <w:t>Paragraphe </w:t>
      </w:r>
      <w:r w:rsidR="003A2D14" w:rsidRPr="00FD3034">
        <w:rPr>
          <w:i/>
        </w:rPr>
        <w:t>4.2</w:t>
      </w:r>
      <w:r w:rsidR="003A2D14" w:rsidRPr="00FD3034">
        <w:t xml:space="preserve">, modifier comme suit (en ajoutant aussi </w:t>
      </w:r>
      <w:r>
        <w:t>un appel de note de bas de page </w:t>
      </w:r>
      <w:r w:rsidR="003A2D14" w:rsidRPr="00FD3034">
        <w:rPr>
          <w:vertAlign w:val="superscript"/>
        </w:rPr>
        <w:t>1</w:t>
      </w:r>
      <w:r w:rsidR="003A2D14" w:rsidRPr="00FD3034">
        <w:t xml:space="preserve"> ainsi que la note correspondante) :</w:t>
      </w:r>
    </w:p>
    <w:p w:rsidR="003A2D14" w:rsidRPr="00FD3034" w:rsidRDefault="003A2D14" w:rsidP="008A295D">
      <w:pPr>
        <w:pStyle w:val="SingleTxtG"/>
        <w:keepNext/>
        <w:keepLines/>
        <w:ind w:left="2268" w:hanging="1134"/>
      </w:pPr>
      <w:r w:rsidRPr="00FD3034">
        <w:t>« 4.2</w:t>
      </w:r>
      <w:r w:rsidRPr="00FD3034">
        <w:tab/>
        <w:t>Nombre d</w:t>
      </w:r>
      <w:r w:rsidR="006B6352">
        <w:t>’</w:t>
      </w:r>
      <w:r w:rsidRPr="00FD3034">
        <w:t>éprouvettes</w:t>
      </w:r>
    </w:p>
    <w:p w:rsidR="003A2D14" w:rsidRPr="00FD3034" w:rsidRDefault="003A2D14" w:rsidP="003A2D14">
      <w:pPr>
        <w:pStyle w:val="SingleTxtG"/>
        <w:ind w:left="2268"/>
        <w:rPr>
          <w:b/>
        </w:rPr>
      </w:pPr>
      <w:r w:rsidRPr="00FD3034">
        <w:tab/>
      </w:r>
      <w:r w:rsidRPr="00FD3034">
        <w:rPr>
          <w:b/>
        </w:rPr>
        <w:t>Six éprouvettes plates (1 170 × 570 + 0  /– 2 mm) ou six pièces complètes doivent être soumises aux essais.</w:t>
      </w:r>
    </w:p>
    <w:p w:rsidR="003A2D14" w:rsidRPr="00FD3034" w:rsidRDefault="003A2D14" w:rsidP="003A2D14">
      <w:pPr>
        <w:pStyle w:val="SingleTxtG"/>
        <w:keepNext/>
        <w:ind w:left="2268"/>
        <w:rPr>
          <w:b/>
        </w:rPr>
      </w:pPr>
      <w:r w:rsidRPr="00FD3034">
        <w:tab/>
      </w:r>
      <w:r w:rsidRPr="00FD3034">
        <w:rPr>
          <w:b/>
        </w:rPr>
        <w:t>Le tableau ci-dessous montre le type d</w:t>
      </w:r>
      <w:r w:rsidR="006B6352">
        <w:rPr>
          <w:b/>
        </w:rPr>
        <w:t>’</w:t>
      </w:r>
      <w:r w:rsidRPr="00FD3034">
        <w:rPr>
          <w:b/>
        </w:rPr>
        <w:t>éprouvettes à soumettre à des essais, en fonction des dimensions de la vitre à évaluer.</w:t>
      </w:r>
    </w:p>
    <w:tbl>
      <w:tblPr>
        <w:tblW w:w="7371"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09"/>
        <w:gridCol w:w="1952"/>
        <w:gridCol w:w="1745"/>
        <w:gridCol w:w="2565"/>
      </w:tblGrid>
      <w:tr w:rsidR="003A2D14" w:rsidRPr="00FD3034" w:rsidTr="007B667C">
        <w:tc>
          <w:tcPr>
            <w:tcW w:w="1106" w:type="dxa"/>
            <w:tcBorders>
              <w:bottom w:val="single" w:sz="4" w:space="0" w:color="auto"/>
            </w:tcBorders>
            <w:tcMar>
              <w:left w:w="0" w:type="dxa"/>
              <w:right w:w="0" w:type="dxa"/>
            </w:tcMar>
            <w:vAlign w:val="bottom"/>
            <w:hideMark/>
          </w:tcPr>
          <w:p w:rsidR="003A2D14" w:rsidRPr="00FD3034" w:rsidRDefault="003A2D14" w:rsidP="007B667C">
            <w:pPr>
              <w:keepNext/>
              <w:spacing w:before="80" w:after="80" w:line="200" w:lineRule="exact"/>
              <w:ind w:left="57" w:right="57"/>
              <w:jc w:val="center"/>
              <w:rPr>
                <w:rFonts w:eastAsia="MS Mincho"/>
                <w:b/>
                <w:i/>
                <w:sz w:val="16"/>
                <w:szCs w:val="16"/>
              </w:rPr>
            </w:pPr>
            <w:r w:rsidRPr="00FD3034">
              <w:rPr>
                <w:b/>
                <w:i/>
                <w:sz w:val="16"/>
              </w:rPr>
              <w:t xml:space="preserve">Type </w:t>
            </w:r>
            <w:r w:rsidRPr="00FD3034">
              <w:rPr>
                <w:b/>
                <w:i/>
                <w:sz w:val="16"/>
              </w:rPr>
              <w:br/>
              <w:t>de fenêtre</w:t>
            </w:r>
          </w:p>
        </w:tc>
        <w:tc>
          <w:tcPr>
            <w:tcW w:w="1946" w:type="dxa"/>
            <w:tcBorders>
              <w:bottom w:val="single" w:sz="4" w:space="0" w:color="auto"/>
            </w:tcBorders>
            <w:tcMar>
              <w:left w:w="0" w:type="dxa"/>
              <w:right w:w="0" w:type="dxa"/>
            </w:tcMar>
            <w:vAlign w:val="bottom"/>
            <w:hideMark/>
          </w:tcPr>
          <w:p w:rsidR="003A2D14" w:rsidRPr="00FD3034" w:rsidRDefault="003A2D14" w:rsidP="007B667C">
            <w:pPr>
              <w:keepNext/>
              <w:spacing w:before="80" w:after="80" w:line="200" w:lineRule="exact"/>
              <w:ind w:left="57" w:right="57"/>
              <w:jc w:val="center"/>
              <w:rPr>
                <w:rFonts w:eastAsia="MS Mincho"/>
                <w:b/>
                <w:i/>
                <w:sz w:val="16"/>
                <w:szCs w:val="16"/>
              </w:rPr>
            </w:pPr>
            <w:r w:rsidRPr="00FD3034">
              <w:rPr>
                <w:b/>
                <w:i/>
                <w:sz w:val="16"/>
              </w:rPr>
              <w:t xml:space="preserve">Caractéristique </w:t>
            </w:r>
            <w:r w:rsidRPr="00FD3034">
              <w:rPr>
                <w:b/>
                <w:i/>
                <w:sz w:val="16"/>
              </w:rPr>
              <w:br/>
              <w:t>de la fenêtre</w:t>
            </w:r>
          </w:p>
        </w:tc>
        <w:tc>
          <w:tcPr>
            <w:tcW w:w="1740" w:type="dxa"/>
            <w:tcBorders>
              <w:bottom w:val="single" w:sz="4" w:space="0" w:color="auto"/>
            </w:tcBorders>
            <w:tcMar>
              <w:left w:w="0" w:type="dxa"/>
              <w:right w:w="0" w:type="dxa"/>
            </w:tcMar>
            <w:vAlign w:val="bottom"/>
            <w:hideMark/>
          </w:tcPr>
          <w:p w:rsidR="003A2D14" w:rsidRPr="00FD3034" w:rsidRDefault="003A2D14" w:rsidP="007B667C">
            <w:pPr>
              <w:keepNext/>
              <w:spacing w:before="80" w:after="80" w:line="200" w:lineRule="exact"/>
              <w:ind w:left="57" w:right="57"/>
              <w:jc w:val="center"/>
              <w:rPr>
                <w:rFonts w:eastAsia="MS Mincho"/>
                <w:b/>
                <w:i/>
                <w:sz w:val="16"/>
                <w:szCs w:val="16"/>
              </w:rPr>
            </w:pPr>
            <w:r w:rsidRPr="00FD3034">
              <w:rPr>
                <w:b/>
                <w:i/>
                <w:sz w:val="16"/>
              </w:rPr>
              <w:t xml:space="preserve">Dimensions </w:t>
            </w:r>
            <w:r w:rsidRPr="00FD3034">
              <w:rPr>
                <w:b/>
                <w:i/>
                <w:sz w:val="16"/>
              </w:rPr>
              <w:br/>
              <w:t>de l</w:t>
            </w:r>
            <w:r w:rsidR="006B6352">
              <w:rPr>
                <w:b/>
                <w:i/>
                <w:sz w:val="16"/>
              </w:rPr>
              <w:t>’</w:t>
            </w:r>
            <w:r w:rsidRPr="00FD3034">
              <w:rPr>
                <w:b/>
                <w:i/>
                <w:sz w:val="16"/>
              </w:rPr>
              <w:t>éprouvette plate</w:t>
            </w:r>
          </w:p>
        </w:tc>
        <w:tc>
          <w:tcPr>
            <w:tcW w:w="2557" w:type="dxa"/>
            <w:tcBorders>
              <w:bottom w:val="single" w:sz="4" w:space="0" w:color="auto"/>
            </w:tcBorders>
            <w:tcMar>
              <w:left w:w="0" w:type="dxa"/>
              <w:right w:w="0" w:type="dxa"/>
            </w:tcMar>
            <w:vAlign w:val="bottom"/>
            <w:hideMark/>
          </w:tcPr>
          <w:p w:rsidR="003A2D14" w:rsidRPr="00FD3034" w:rsidRDefault="003A2D14" w:rsidP="007B667C">
            <w:pPr>
              <w:keepNext/>
              <w:spacing w:before="80" w:after="80" w:line="200" w:lineRule="exact"/>
              <w:ind w:left="57" w:right="57"/>
              <w:jc w:val="center"/>
              <w:rPr>
                <w:rFonts w:eastAsia="MS Mincho"/>
                <w:b/>
                <w:i/>
                <w:sz w:val="16"/>
                <w:szCs w:val="16"/>
              </w:rPr>
            </w:pPr>
            <w:r w:rsidRPr="00FD3034">
              <w:rPr>
                <w:b/>
                <w:i/>
                <w:sz w:val="16"/>
              </w:rPr>
              <w:t>Autre solution</w:t>
            </w:r>
          </w:p>
        </w:tc>
      </w:tr>
      <w:tr w:rsidR="003A2D14" w:rsidRPr="00FD3034" w:rsidTr="007B667C">
        <w:tc>
          <w:tcPr>
            <w:tcW w:w="1106" w:type="dxa"/>
            <w:tcBorders>
              <w:top w:val="single" w:sz="4" w:space="0" w:color="auto"/>
              <w:bottom w:val="single" w:sz="2" w:space="0" w:color="auto"/>
            </w:tcBorders>
            <w:tcMar>
              <w:left w:w="0" w:type="dxa"/>
              <w:right w:w="0" w:type="dxa"/>
            </w:tcMar>
            <w:hideMark/>
          </w:tcPr>
          <w:p w:rsidR="003A2D14" w:rsidRPr="00FD3034" w:rsidRDefault="003A2D14" w:rsidP="007B667C">
            <w:pPr>
              <w:keepNext/>
              <w:spacing w:before="60" w:after="60" w:line="200" w:lineRule="exact"/>
              <w:ind w:left="57" w:right="57"/>
              <w:rPr>
                <w:rFonts w:eastAsia="MS Mincho"/>
                <w:b/>
                <w:sz w:val="16"/>
                <w:szCs w:val="16"/>
              </w:rPr>
            </w:pPr>
            <w:r w:rsidRPr="00FD3034">
              <w:rPr>
                <w:b/>
                <w:sz w:val="16"/>
              </w:rPr>
              <w:t>Petite fenêtre</w:t>
            </w:r>
          </w:p>
        </w:tc>
        <w:tc>
          <w:tcPr>
            <w:tcW w:w="1946" w:type="dxa"/>
            <w:tcBorders>
              <w:top w:val="single" w:sz="4" w:space="0" w:color="auto"/>
              <w:bottom w:val="single" w:sz="2" w:space="0" w:color="auto"/>
            </w:tcBorders>
            <w:tcMar>
              <w:left w:w="0" w:type="dxa"/>
              <w:right w:w="0" w:type="dxa"/>
            </w:tcMar>
            <w:hideMark/>
          </w:tcPr>
          <w:p w:rsidR="003A2D14" w:rsidRPr="00FD3034" w:rsidRDefault="003A2D14" w:rsidP="007B667C">
            <w:pPr>
              <w:keepNext/>
              <w:spacing w:before="60" w:after="60" w:line="200" w:lineRule="exact"/>
              <w:ind w:left="57" w:right="57"/>
              <w:rPr>
                <w:rFonts w:eastAsia="MS Mincho"/>
                <w:b/>
                <w:sz w:val="16"/>
                <w:szCs w:val="16"/>
              </w:rPr>
            </w:pPr>
            <w:r w:rsidRPr="00FD3034">
              <w:rPr>
                <w:b/>
                <w:sz w:val="16"/>
              </w:rPr>
              <w:t>Diamètre D du cercle pouvant y être inscrit :</w:t>
            </w:r>
            <w:r w:rsidR="007B667C">
              <w:rPr>
                <w:b/>
                <w:sz w:val="16"/>
              </w:rPr>
              <w:t xml:space="preserve"> </w:t>
            </w:r>
            <w:r w:rsidR="007B667C">
              <w:rPr>
                <w:rFonts w:eastAsia="MS Mincho"/>
                <w:b/>
                <w:sz w:val="16"/>
                <w:szCs w:val="16"/>
              </w:rPr>
              <w:br/>
            </w:r>
            <w:r w:rsidRPr="00FD3034">
              <w:rPr>
                <w:b/>
                <w:sz w:val="16"/>
              </w:rPr>
              <w:t>D &lt; 150 mm et surface  &lt; 200 cm</w:t>
            </w:r>
            <w:r w:rsidRPr="00FD3034">
              <w:rPr>
                <w:b/>
                <w:sz w:val="16"/>
                <w:vertAlign w:val="superscript"/>
              </w:rPr>
              <w:t>2</w:t>
            </w:r>
          </w:p>
        </w:tc>
        <w:tc>
          <w:tcPr>
            <w:tcW w:w="4297" w:type="dxa"/>
            <w:gridSpan w:val="2"/>
            <w:tcBorders>
              <w:top w:val="single" w:sz="4" w:space="0" w:color="auto"/>
              <w:bottom w:val="single" w:sz="2" w:space="0" w:color="auto"/>
            </w:tcBorders>
            <w:tcMar>
              <w:left w:w="0" w:type="dxa"/>
              <w:right w:w="0" w:type="dxa"/>
            </w:tcMar>
            <w:vAlign w:val="center"/>
          </w:tcPr>
          <w:p w:rsidR="003A2D14" w:rsidRPr="00FD3034" w:rsidRDefault="003A2D14" w:rsidP="007B667C">
            <w:pPr>
              <w:keepNext/>
              <w:spacing w:before="60" w:after="60" w:line="200" w:lineRule="exact"/>
              <w:ind w:left="57" w:right="57"/>
              <w:jc w:val="center"/>
              <w:rPr>
                <w:rFonts w:eastAsia="MS Mincho"/>
                <w:b/>
                <w:sz w:val="16"/>
                <w:szCs w:val="16"/>
              </w:rPr>
            </w:pPr>
            <w:r w:rsidRPr="00FD3034">
              <w:rPr>
                <w:b/>
                <w:sz w:val="16"/>
              </w:rPr>
              <w:t>Pas d</w:t>
            </w:r>
            <w:r w:rsidR="006B6352">
              <w:rPr>
                <w:b/>
                <w:sz w:val="16"/>
              </w:rPr>
              <w:t>’</w:t>
            </w:r>
            <w:r w:rsidRPr="00FD3034">
              <w:rPr>
                <w:b/>
                <w:sz w:val="16"/>
              </w:rPr>
              <w:t>essai</w:t>
            </w:r>
          </w:p>
        </w:tc>
      </w:tr>
      <w:tr w:rsidR="003A2D14" w:rsidRPr="00FD3034" w:rsidTr="007B667C">
        <w:tc>
          <w:tcPr>
            <w:tcW w:w="1106" w:type="dxa"/>
            <w:vMerge w:val="restart"/>
            <w:tcMar>
              <w:left w:w="0" w:type="dxa"/>
              <w:right w:w="0" w:type="dxa"/>
            </w:tcMar>
            <w:hideMark/>
          </w:tcPr>
          <w:p w:rsidR="003A2D14" w:rsidRPr="00FD3034" w:rsidRDefault="003A2D14" w:rsidP="007B667C">
            <w:pPr>
              <w:keepNext/>
              <w:spacing w:before="60" w:after="60" w:line="200" w:lineRule="exact"/>
              <w:ind w:left="57" w:right="57"/>
              <w:rPr>
                <w:rFonts w:eastAsia="MS Mincho"/>
                <w:b/>
                <w:sz w:val="16"/>
                <w:szCs w:val="16"/>
              </w:rPr>
            </w:pPr>
            <w:r w:rsidRPr="00FD3034">
              <w:rPr>
                <w:b/>
                <w:sz w:val="16"/>
              </w:rPr>
              <w:t>Fenêtre autre que petite</w:t>
            </w:r>
          </w:p>
        </w:tc>
        <w:tc>
          <w:tcPr>
            <w:tcW w:w="1946" w:type="dxa"/>
            <w:tcMar>
              <w:left w:w="0" w:type="dxa"/>
              <w:right w:w="0" w:type="dxa"/>
            </w:tcMar>
            <w:hideMark/>
          </w:tcPr>
          <w:p w:rsidR="003A2D14" w:rsidRPr="00FD3034" w:rsidRDefault="003A2D14" w:rsidP="007B667C">
            <w:pPr>
              <w:keepNext/>
              <w:spacing w:before="60" w:after="60" w:line="200" w:lineRule="exact"/>
              <w:ind w:left="57" w:right="57"/>
              <w:rPr>
                <w:rFonts w:eastAsia="MS Mincho"/>
                <w:b/>
                <w:sz w:val="16"/>
                <w:szCs w:val="16"/>
              </w:rPr>
            </w:pPr>
            <w:r w:rsidRPr="00FD3034">
              <w:rPr>
                <w:b/>
                <w:sz w:val="16"/>
              </w:rPr>
              <w:t>Diamètre D du cercle pouvant y être inscrit :</w:t>
            </w:r>
            <w:r w:rsidR="007B667C">
              <w:rPr>
                <w:b/>
                <w:sz w:val="16"/>
              </w:rPr>
              <w:t xml:space="preserve"> </w:t>
            </w:r>
            <w:r w:rsidR="007B667C">
              <w:rPr>
                <w:rFonts w:eastAsia="MS Mincho"/>
                <w:b/>
                <w:sz w:val="16"/>
                <w:szCs w:val="16"/>
              </w:rPr>
              <w:br/>
            </w:r>
            <w:r w:rsidRPr="00FD3034">
              <w:rPr>
                <w:b/>
                <w:sz w:val="16"/>
              </w:rPr>
              <w:t>150 mm &lt; D &lt; 400  mm et surface ≥ 200 cm</w:t>
            </w:r>
            <w:r w:rsidRPr="00FD3034">
              <w:rPr>
                <w:b/>
                <w:sz w:val="16"/>
                <w:vertAlign w:val="superscript"/>
              </w:rPr>
              <w:t>2</w:t>
            </w:r>
          </w:p>
        </w:tc>
        <w:tc>
          <w:tcPr>
            <w:tcW w:w="1740" w:type="dxa"/>
            <w:tcMar>
              <w:left w:w="0" w:type="dxa"/>
              <w:right w:w="0" w:type="dxa"/>
            </w:tcMar>
            <w:hideMark/>
          </w:tcPr>
          <w:p w:rsidR="003A2D14" w:rsidRPr="00FD3034" w:rsidRDefault="003A2D14" w:rsidP="007B667C">
            <w:pPr>
              <w:keepNext/>
              <w:spacing w:before="60" w:after="60" w:line="200" w:lineRule="exact"/>
              <w:ind w:left="57" w:right="57"/>
              <w:rPr>
                <w:rFonts w:eastAsia="MS Mincho"/>
                <w:b/>
                <w:sz w:val="16"/>
                <w:szCs w:val="16"/>
              </w:rPr>
            </w:pPr>
            <w:r w:rsidRPr="00FD3034">
              <w:rPr>
                <w:b/>
                <w:sz w:val="16"/>
              </w:rPr>
              <w:t>1 170 mm × 570 mm</w:t>
            </w:r>
            <w:r w:rsidR="007B667C">
              <w:rPr>
                <w:b/>
                <w:sz w:val="16"/>
              </w:rPr>
              <w:t xml:space="preserve"> </w:t>
            </w:r>
            <w:r w:rsidR="007B667C">
              <w:rPr>
                <w:rFonts w:eastAsia="MS Mincho"/>
                <w:b/>
                <w:sz w:val="16"/>
                <w:szCs w:val="16"/>
              </w:rPr>
              <w:br/>
            </w:r>
            <w:r w:rsidRPr="00FD3034">
              <w:rPr>
                <w:b/>
                <w:sz w:val="16"/>
              </w:rPr>
              <w:t>(essai du type de matériau et cadre de support normalisé)</w:t>
            </w:r>
          </w:p>
        </w:tc>
        <w:tc>
          <w:tcPr>
            <w:tcW w:w="2557" w:type="dxa"/>
            <w:tcMar>
              <w:left w:w="0" w:type="dxa"/>
              <w:right w:w="0" w:type="dxa"/>
            </w:tcMar>
            <w:hideMark/>
          </w:tcPr>
          <w:p w:rsidR="003A2D14" w:rsidRPr="00FD3034" w:rsidRDefault="003A2D14" w:rsidP="007B667C">
            <w:pPr>
              <w:keepNext/>
              <w:spacing w:before="60" w:after="60" w:line="200" w:lineRule="exact"/>
              <w:ind w:left="57" w:right="57"/>
              <w:rPr>
                <w:rFonts w:eastAsia="MS Mincho"/>
                <w:b/>
                <w:sz w:val="16"/>
                <w:szCs w:val="16"/>
              </w:rPr>
            </w:pPr>
            <w:r w:rsidRPr="00FD3034">
              <w:rPr>
                <w:b/>
                <w:sz w:val="16"/>
              </w:rPr>
              <w:t>Autre pièce du même matériau, procédure de production, épaisseur, couleur avec dimensions supérieures à celles de la pièce d</w:t>
            </w:r>
            <w:r w:rsidR="006B6352">
              <w:rPr>
                <w:b/>
                <w:sz w:val="16"/>
              </w:rPr>
              <w:t>’</w:t>
            </w:r>
            <w:r w:rsidRPr="00FD3034">
              <w:rPr>
                <w:b/>
                <w:sz w:val="16"/>
              </w:rPr>
              <w:t>origine,</w:t>
            </w:r>
            <w:r w:rsidR="007B667C">
              <w:rPr>
                <w:b/>
                <w:sz w:val="16"/>
              </w:rPr>
              <w:t xml:space="preserve"> dans laquelle un cercle de 400 </w:t>
            </w:r>
            <w:r w:rsidRPr="00FD3034">
              <w:rPr>
                <w:b/>
                <w:sz w:val="16"/>
              </w:rPr>
              <w:t>mm de diamètre peut être inscrit, et avec une zone de surface développée inférieure à 1</w:t>
            </w:r>
            <w:r w:rsidR="007B667C">
              <w:rPr>
                <w:b/>
                <w:sz w:val="16"/>
              </w:rPr>
              <w:t> </w:t>
            </w:r>
            <w:r w:rsidRPr="00FD3034">
              <w:rPr>
                <w:b/>
                <w:sz w:val="16"/>
              </w:rPr>
              <w:t>170</w:t>
            </w:r>
            <w:r w:rsidR="007B667C">
              <w:rPr>
                <w:b/>
                <w:sz w:val="16"/>
              </w:rPr>
              <w:t> </w:t>
            </w:r>
            <w:r w:rsidRPr="00FD3034">
              <w:rPr>
                <w:b/>
                <w:sz w:val="16"/>
              </w:rPr>
              <w:t>mm × 570 mm (homologation de type de la pièce d</w:t>
            </w:r>
            <w:r w:rsidR="006B6352">
              <w:rPr>
                <w:b/>
                <w:sz w:val="16"/>
              </w:rPr>
              <w:t>’</w:t>
            </w:r>
            <w:r w:rsidRPr="00FD3034">
              <w:rPr>
                <w:b/>
                <w:sz w:val="16"/>
              </w:rPr>
              <w:t>origine</w:t>
            </w:r>
            <w:r w:rsidRPr="00FD3034">
              <w:rPr>
                <w:b/>
                <w:sz w:val="16"/>
                <w:vertAlign w:val="superscript"/>
              </w:rPr>
              <w:t>1</w:t>
            </w:r>
            <w:r w:rsidRPr="00FD3034">
              <w:rPr>
                <w:b/>
                <w:sz w:val="16"/>
              </w:rPr>
              <w:t>)</w:t>
            </w:r>
          </w:p>
        </w:tc>
      </w:tr>
      <w:tr w:rsidR="003A2D14" w:rsidRPr="00FD3034" w:rsidTr="007B667C">
        <w:tc>
          <w:tcPr>
            <w:tcW w:w="1106" w:type="dxa"/>
            <w:vMerge/>
            <w:tcBorders>
              <w:bottom w:val="single" w:sz="4" w:space="0" w:color="auto"/>
            </w:tcBorders>
            <w:tcMar>
              <w:left w:w="0" w:type="dxa"/>
              <w:right w:w="0" w:type="dxa"/>
            </w:tcMar>
            <w:vAlign w:val="center"/>
            <w:hideMark/>
          </w:tcPr>
          <w:p w:rsidR="003A2D14" w:rsidRPr="00FD3034" w:rsidRDefault="003A2D14" w:rsidP="007B667C">
            <w:pPr>
              <w:keepNext/>
              <w:spacing w:before="60" w:after="60" w:line="200" w:lineRule="exact"/>
              <w:ind w:left="57" w:right="57"/>
              <w:rPr>
                <w:rFonts w:eastAsia="MS Mincho"/>
                <w:b/>
                <w:sz w:val="16"/>
                <w:szCs w:val="16"/>
              </w:rPr>
            </w:pPr>
          </w:p>
        </w:tc>
        <w:tc>
          <w:tcPr>
            <w:tcW w:w="1946" w:type="dxa"/>
            <w:tcBorders>
              <w:bottom w:val="single" w:sz="4" w:space="0" w:color="auto"/>
            </w:tcBorders>
            <w:tcMar>
              <w:left w:w="0" w:type="dxa"/>
              <w:right w:w="0" w:type="dxa"/>
            </w:tcMar>
            <w:hideMark/>
          </w:tcPr>
          <w:p w:rsidR="003A2D14" w:rsidRPr="00FD3034" w:rsidRDefault="003A2D14" w:rsidP="007B667C">
            <w:pPr>
              <w:keepNext/>
              <w:spacing w:before="60" w:after="60" w:line="200" w:lineRule="exact"/>
              <w:ind w:left="57" w:right="57"/>
              <w:rPr>
                <w:rFonts w:eastAsia="MS Mincho"/>
                <w:b/>
                <w:sz w:val="16"/>
                <w:szCs w:val="16"/>
              </w:rPr>
            </w:pPr>
            <w:r w:rsidRPr="00FD3034">
              <w:rPr>
                <w:b/>
                <w:sz w:val="16"/>
              </w:rPr>
              <w:t>Diamètre D du cercle pouvant y être inscrit :</w:t>
            </w:r>
            <w:r w:rsidR="007B667C">
              <w:rPr>
                <w:b/>
                <w:sz w:val="16"/>
              </w:rPr>
              <w:t xml:space="preserve"> </w:t>
            </w:r>
            <w:r w:rsidR="007B667C">
              <w:rPr>
                <w:rFonts w:eastAsia="MS Mincho"/>
                <w:b/>
                <w:sz w:val="16"/>
                <w:szCs w:val="16"/>
              </w:rPr>
              <w:br/>
            </w:r>
            <w:r w:rsidRPr="00FD3034">
              <w:rPr>
                <w:b/>
                <w:sz w:val="16"/>
              </w:rPr>
              <w:t>400 mm &lt; D</w:t>
            </w:r>
          </w:p>
        </w:tc>
        <w:tc>
          <w:tcPr>
            <w:tcW w:w="1740" w:type="dxa"/>
            <w:tcBorders>
              <w:bottom w:val="single" w:sz="4" w:space="0" w:color="auto"/>
            </w:tcBorders>
            <w:tcMar>
              <w:left w:w="0" w:type="dxa"/>
              <w:right w:w="0" w:type="dxa"/>
            </w:tcMar>
            <w:hideMark/>
          </w:tcPr>
          <w:p w:rsidR="003A2D14" w:rsidRPr="00FD3034" w:rsidRDefault="003A2D14" w:rsidP="007B667C">
            <w:pPr>
              <w:keepNext/>
              <w:spacing w:before="60" w:after="60" w:line="200" w:lineRule="exact"/>
              <w:ind w:left="57" w:right="57"/>
              <w:rPr>
                <w:rFonts w:eastAsia="MS Mincho"/>
                <w:b/>
                <w:sz w:val="16"/>
                <w:szCs w:val="16"/>
              </w:rPr>
            </w:pPr>
            <w:r w:rsidRPr="00FD3034">
              <w:rPr>
                <w:b/>
                <w:sz w:val="16"/>
              </w:rPr>
              <w:t>1 170 mm × 570 mm</w:t>
            </w:r>
            <w:r w:rsidR="007B667C">
              <w:rPr>
                <w:b/>
                <w:sz w:val="16"/>
              </w:rPr>
              <w:t xml:space="preserve"> </w:t>
            </w:r>
            <w:r w:rsidR="007B667C">
              <w:rPr>
                <w:rFonts w:eastAsia="MS Mincho"/>
                <w:b/>
                <w:sz w:val="16"/>
                <w:szCs w:val="16"/>
              </w:rPr>
              <w:br/>
            </w:r>
            <w:r w:rsidRPr="00FD3034">
              <w:rPr>
                <w:b/>
                <w:sz w:val="16"/>
              </w:rPr>
              <w:t>(essai du type de matériau et cadre de support normalisé)</w:t>
            </w:r>
          </w:p>
        </w:tc>
        <w:tc>
          <w:tcPr>
            <w:tcW w:w="2557" w:type="dxa"/>
            <w:tcBorders>
              <w:bottom w:val="single" w:sz="4" w:space="0" w:color="auto"/>
            </w:tcBorders>
            <w:tcMar>
              <w:left w:w="0" w:type="dxa"/>
              <w:right w:w="0" w:type="dxa"/>
            </w:tcMar>
            <w:hideMark/>
          </w:tcPr>
          <w:p w:rsidR="003A2D14" w:rsidRPr="00FD3034" w:rsidRDefault="003A2D14" w:rsidP="007B667C">
            <w:pPr>
              <w:keepNext/>
              <w:spacing w:before="60" w:after="60" w:line="200" w:lineRule="exact"/>
              <w:ind w:left="57" w:right="57"/>
              <w:rPr>
                <w:rFonts w:eastAsia="MS Mincho"/>
                <w:b/>
                <w:sz w:val="16"/>
                <w:szCs w:val="16"/>
              </w:rPr>
            </w:pPr>
            <w:r w:rsidRPr="00FD3034">
              <w:rPr>
                <w:b/>
                <w:sz w:val="16"/>
              </w:rPr>
              <w:t>Pièce réelle (soumise pour homologation)</w:t>
            </w:r>
            <w:r w:rsidR="007B667C">
              <w:rPr>
                <w:b/>
                <w:sz w:val="16"/>
              </w:rPr>
              <w:t xml:space="preserve"> </w:t>
            </w:r>
            <w:r w:rsidR="007B667C">
              <w:rPr>
                <w:rFonts w:eastAsia="MS Mincho"/>
                <w:b/>
                <w:sz w:val="16"/>
                <w:szCs w:val="16"/>
              </w:rPr>
              <w:br/>
            </w:r>
            <w:r w:rsidRPr="00FD3034">
              <w:rPr>
                <w:b/>
                <w:sz w:val="16"/>
              </w:rPr>
              <w:t>(homologation de type de la pièce et cadre de support spécifique )</w:t>
            </w:r>
          </w:p>
        </w:tc>
      </w:tr>
    </w:tbl>
    <w:p w:rsidR="003A2D14" w:rsidRPr="007B667C" w:rsidRDefault="003A2D14" w:rsidP="007B667C">
      <w:pPr>
        <w:pStyle w:val="SingleTxtG"/>
        <w:spacing w:before="120" w:after="240"/>
        <w:rPr>
          <w:sz w:val="18"/>
          <w:szCs w:val="18"/>
        </w:rPr>
      </w:pPr>
      <w:r w:rsidRPr="007B667C">
        <w:rPr>
          <w:b/>
          <w:i/>
          <w:sz w:val="18"/>
          <w:szCs w:val="18"/>
        </w:rPr>
        <w:t>Note </w:t>
      </w:r>
      <w:r w:rsidRPr="007B667C">
        <w:rPr>
          <w:sz w:val="18"/>
          <w:szCs w:val="18"/>
        </w:rPr>
        <w:t>:</w:t>
      </w:r>
      <w:r w:rsidRPr="007B667C">
        <w:rPr>
          <w:sz w:val="18"/>
          <w:szCs w:val="18"/>
        </w:rPr>
        <w:tab/>
      </w:r>
      <w:r w:rsidRPr="007B667C">
        <w:rPr>
          <w:b/>
          <w:sz w:val="18"/>
          <w:szCs w:val="18"/>
          <w:vertAlign w:val="superscript"/>
        </w:rPr>
        <w:t>1</w:t>
      </w:r>
      <w:r w:rsidR="00651D17" w:rsidRPr="007B667C">
        <w:rPr>
          <w:sz w:val="18"/>
          <w:szCs w:val="18"/>
        </w:rPr>
        <w:t xml:space="preserve">  </w:t>
      </w:r>
      <w:r w:rsidRPr="007B667C">
        <w:rPr>
          <w:b/>
          <w:sz w:val="18"/>
          <w:szCs w:val="18"/>
        </w:rPr>
        <w:t>Les dimensions de la pièce d</w:t>
      </w:r>
      <w:r w:rsidR="006B6352" w:rsidRPr="007B667C">
        <w:rPr>
          <w:b/>
          <w:sz w:val="18"/>
          <w:szCs w:val="18"/>
        </w:rPr>
        <w:t>’</w:t>
      </w:r>
      <w:r w:rsidRPr="007B667C">
        <w:rPr>
          <w:b/>
          <w:sz w:val="18"/>
          <w:szCs w:val="18"/>
        </w:rPr>
        <w:t>origine sont trop petites pour que l</w:t>
      </w:r>
      <w:r w:rsidR="006B6352" w:rsidRPr="007B667C">
        <w:rPr>
          <w:b/>
          <w:sz w:val="18"/>
          <w:szCs w:val="18"/>
        </w:rPr>
        <w:t>’</w:t>
      </w:r>
      <w:r w:rsidRPr="007B667C">
        <w:rPr>
          <w:b/>
          <w:sz w:val="18"/>
          <w:szCs w:val="18"/>
        </w:rPr>
        <w:t>essai puisse être effectué</w:t>
      </w:r>
      <w:r w:rsidRPr="007B667C">
        <w:rPr>
          <w:sz w:val="18"/>
          <w:szCs w:val="18"/>
        </w:rPr>
        <w:t> ».</w:t>
      </w:r>
    </w:p>
    <w:p w:rsidR="003A2D14" w:rsidRPr="00FD3034" w:rsidRDefault="003A2D14" w:rsidP="003A2D14">
      <w:pPr>
        <w:pStyle w:val="SingleTxtG"/>
        <w:keepNext/>
      </w:pPr>
      <w:r w:rsidRPr="00FD3034">
        <w:rPr>
          <w:i/>
        </w:rPr>
        <w:t>Paragraphes 4.3.1 à 4.3.3</w:t>
      </w:r>
      <w:r w:rsidRPr="00FD3034">
        <w:t>,</w:t>
      </w:r>
      <w:r w:rsidRPr="00FD3034">
        <w:rPr>
          <w:i/>
        </w:rPr>
        <w:t xml:space="preserve"> </w:t>
      </w:r>
      <w:r w:rsidRPr="00FD3034">
        <w:t>modifier comme suit :</w:t>
      </w:r>
    </w:p>
    <w:p w:rsidR="003A2D14" w:rsidRPr="00FD3034" w:rsidRDefault="003A2D14" w:rsidP="003A2D14">
      <w:pPr>
        <w:pStyle w:val="SingleTxtG"/>
        <w:ind w:left="2268" w:hanging="1134"/>
      </w:pPr>
      <w:r w:rsidRPr="00FD3034">
        <w:t>« 4.3.1</w:t>
      </w:r>
      <w:r w:rsidRPr="00FD3034">
        <w:tab/>
        <w:t>La méthode d</w:t>
      </w:r>
      <w:r w:rsidR="006B6352">
        <w:t>’</w:t>
      </w:r>
      <w:r w:rsidRPr="00FD3034">
        <w:t>essai utilisée est celle décrite au paragraphe 3.2 de l</w:t>
      </w:r>
      <w:r w:rsidR="006B6352">
        <w:t>’</w:t>
      </w:r>
      <w:r w:rsidRPr="00FD3034">
        <w:t xml:space="preserve">annexe 3. </w:t>
      </w:r>
    </w:p>
    <w:p w:rsidR="003A2D14" w:rsidRPr="00FD3034" w:rsidRDefault="003A2D14" w:rsidP="003A2D14">
      <w:pPr>
        <w:pStyle w:val="SingleTxtG"/>
        <w:ind w:left="2268" w:hanging="1134"/>
      </w:pPr>
      <w:r w:rsidRPr="00FD3034">
        <w:t>4.3.2</w:t>
      </w:r>
      <w:r w:rsidRPr="00FD3034">
        <w:tab/>
        <w:t xml:space="preserve">Pour les doubles vitrages comme les parois et les glaces de séparation </w:t>
      </w:r>
      <w:r w:rsidRPr="00FD3034">
        <w:rPr>
          <w:b/>
        </w:rPr>
        <w:t>faisant face vers l</w:t>
      </w:r>
      <w:r w:rsidR="006B6352">
        <w:rPr>
          <w:b/>
        </w:rPr>
        <w:t>’</w:t>
      </w:r>
      <w:r w:rsidRPr="00FD3034">
        <w:rPr>
          <w:b/>
        </w:rPr>
        <w:t>avant qui sont situés devant un occupant et ayant une probabilité de choc de classe X/A</w:t>
      </w:r>
      <w:r w:rsidRPr="00FD3034">
        <w:t>, la hauteur de chute est de 3 m.</w:t>
      </w:r>
    </w:p>
    <w:p w:rsidR="003A2D14" w:rsidRPr="000D0ED4" w:rsidRDefault="003A2D14" w:rsidP="003A2D14">
      <w:pPr>
        <w:pStyle w:val="SingleTxtG"/>
        <w:ind w:left="2268"/>
      </w:pPr>
      <w:r w:rsidRPr="00FD3034">
        <w:tab/>
        <w:t xml:space="preserve">La valeur </w:t>
      </w:r>
      <w:r w:rsidRPr="000D0ED4">
        <w:t>HIC doit aussi être mesurée.</w:t>
      </w:r>
    </w:p>
    <w:p w:rsidR="003A2D14" w:rsidRPr="000D0ED4" w:rsidRDefault="003A2D14" w:rsidP="003A2D14">
      <w:pPr>
        <w:pStyle w:val="SingleTxtG"/>
        <w:ind w:left="2268" w:hanging="1134"/>
      </w:pPr>
      <w:r w:rsidRPr="000D0ED4">
        <w:t>4.3.3</w:t>
      </w:r>
      <w:r w:rsidRPr="000D0ED4">
        <w:tab/>
        <w:t>Pour les doubles vitrages peu exposés à un choc de la tête</w:t>
      </w:r>
      <w:r w:rsidRPr="000D0ED4">
        <w:rPr>
          <w:b/>
        </w:rPr>
        <w:t xml:space="preserve"> (classe X/B)</w:t>
      </w:r>
      <w:r w:rsidRPr="000D0ED4">
        <w:t>, par exemple les vitres latérales, la lunette arrière et le toit ouvrant, la hauteur de chute est de 1,5 m.</w:t>
      </w:r>
    </w:p>
    <w:p w:rsidR="003A2D14" w:rsidRPr="00FD3034" w:rsidRDefault="003A2D14" w:rsidP="003A2D14">
      <w:pPr>
        <w:pStyle w:val="SingleTxtG"/>
        <w:ind w:left="2268"/>
      </w:pPr>
      <w:r w:rsidRPr="000D0ED4">
        <w:tab/>
        <w:t>La valeur HIC doit aussi être mesurée</w:t>
      </w:r>
      <w:r w:rsidRPr="00FD3034">
        <w:t> ».</w:t>
      </w:r>
    </w:p>
    <w:p w:rsidR="003A2D14" w:rsidRPr="00FD3034" w:rsidRDefault="003A2D14" w:rsidP="00651D17">
      <w:pPr>
        <w:pStyle w:val="SingleTxtG"/>
        <w:keepNext/>
        <w:keepLines/>
      </w:pPr>
      <w:r w:rsidRPr="00FD3034">
        <w:rPr>
          <w:i/>
        </w:rPr>
        <w:t>Paragraphes 5.1 et 5.2,</w:t>
      </w:r>
      <w:r w:rsidRPr="00FD3034">
        <w:t xml:space="preserve"> modifier comme suit :</w:t>
      </w:r>
    </w:p>
    <w:p w:rsidR="003A2D14" w:rsidRPr="00FD3034" w:rsidRDefault="003A2D14" w:rsidP="003A2D14">
      <w:pPr>
        <w:pStyle w:val="SingleTxtG"/>
        <w:ind w:left="2268" w:hanging="1134"/>
      </w:pPr>
      <w:r w:rsidRPr="00FD3034">
        <w:t>« 5.1</w:t>
      </w:r>
      <w:r w:rsidRPr="00FD3034">
        <w:tab/>
        <w:t>Indices de difficulté des caractéristiques secondaires :</w:t>
      </w:r>
    </w:p>
    <w:p w:rsidR="003A2D14" w:rsidRPr="00FD3034" w:rsidRDefault="00721D4B" w:rsidP="00721D4B">
      <w:pPr>
        <w:pStyle w:val="SingleTxtG"/>
        <w:ind w:left="2268"/>
        <w:rPr>
          <w:b/>
        </w:rPr>
      </w:pPr>
      <w:r>
        <w:tab/>
      </w:r>
      <w:r w:rsidR="003A2D14" w:rsidRPr="00FD3034">
        <w:rPr>
          <w:b/>
        </w:rPr>
        <w:t>1)</w:t>
      </w:r>
      <w:r w:rsidR="003A2D14" w:rsidRPr="00FD3034">
        <w:tab/>
      </w:r>
      <w:r w:rsidR="003A2D14" w:rsidRPr="00FD3034">
        <w:rPr>
          <w:b/>
        </w:rPr>
        <w:t>Sans masque(s) opaque(s)</w:t>
      </w:r>
    </w:p>
    <w:p w:rsidR="003A2D14" w:rsidRPr="00FD3034" w:rsidRDefault="00721D4B" w:rsidP="00721D4B">
      <w:pPr>
        <w:pStyle w:val="SingleTxtG"/>
        <w:ind w:left="2268"/>
        <w:rPr>
          <w:b/>
        </w:rPr>
      </w:pPr>
      <w:r>
        <w:tab/>
      </w:r>
      <w:r w:rsidR="003A2D14" w:rsidRPr="00FD3034">
        <w:rPr>
          <w:b/>
        </w:rPr>
        <w:t>2)</w:t>
      </w:r>
      <w:r w:rsidR="003A2D14" w:rsidRPr="00FD3034">
        <w:tab/>
      </w:r>
      <w:r w:rsidR="003A2D14" w:rsidRPr="00FD3034">
        <w:rPr>
          <w:b/>
        </w:rPr>
        <w:t>Avec masque(s) opaque(s)</w:t>
      </w:r>
    </w:p>
    <w:p w:rsidR="003A2D14" w:rsidRPr="00FD3034" w:rsidRDefault="003A2D14" w:rsidP="00651D17">
      <w:pPr>
        <w:pStyle w:val="SingleTxtG"/>
        <w:keepNext/>
        <w:keepLines/>
      </w:pPr>
      <w:r w:rsidRPr="00FD3034">
        <w:t>5.2</w:t>
      </w:r>
      <w:r w:rsidRPr="00FD3034">
        <w:tab/>
        <w:t>Nombre d</w:t>
      </w:r>
      <w:r w:rsidR="006B6352">
        <w:t>’</w:t>
      </w:r>
      <w:r w:rsidRPr="00FD3034">
        <w:t>éprouvettes</w:t>
      </w:r>
    </w:p>
    <w:p w:rsidR="003A2D14" w:rsidRPr="00FD3034" w:rsidRDefault="00721D4B" w:rsidP="003A2D14">
      <w:pPr>
        <w:pStyle w:val="SingleTxtG"/>
        <w:ind w:left="2268"/>
      </w:pPr>
      <w:r>
        <w:tab/>
      </w:r>
      <w:r w:rsidR="003A2D14" w:rsidRPr="00FD3034">
        <w:rPr>
          <w:b/>
        </w:rPr>
        <w:t xml:space="preserve">Dix éprouvettes plates de </w:t>
      </w:r>
      <w:r w:rsidR="001E2511">
        <w:rPr>
          <w:b/>
        </w:rPr>
        <w:t>300 mm + 10/-</w:t>
      </w:r>
      <w:r w:rsidR="003A2D14" w:rsidRPr="00FD3034">
        <w:rPr>
          <w:b/>
        </w:rPr>
        <w:t>0 mm de côté de la vitre extérieure ou 10 pièces complètes à peu près plates doivent être soumises à l</w:t>
      </w:r>
      <w:r w:rsidR="006B6352">
        <w:rPr>
          <w:b/>
        </w:rPr>
        <w:t>’</w:t>
      </w:r>
      <w:r w:rsidR="003A2D14" w:rsidRPr="00FD3034">
        <w:rPr>
          <w:b/>
        </w:rPr>
        <w:t>essai. Dans ce dernier cas, le contact entre la pièce et le support doit se faire tout autour du périmètre sur une largeur d</w:t>
      </w:r>
      <w:r w:rsidR="006B6352">
        <w:rPr>
          <w:b/>
        </w:rPr>
        <w:t>’</w:t>
      </w:r>
      <w:r w:rsidR="003A2D14" w:rsidRPr="00FD3034">
        <w:rPr>
          <w:b/>
        </w:rPr>
        <w:t>environ 15 mm. Les cadres supérieurs et inférieurs du support doivent être serrés l</w:t>
      </w:r>
      <w:r w:rsidR="006B6352">
        <w:rPr>
          <w:b/>
        </w:rPr>
        <w:t>’</w:t>
      </w:r>
      <w:r w:rsidR="003A2D14" w:rsidRPr="00FD3034">
        <w:rPr>
          <w:b/>
        </w:rPr>
        <w:t>un contre l</w:t>
      </w:r>
      <w:r w:rsidR="006B6352">
        <w:rPr>
          <w:b/>
        </w:rPr>
        <w:t>’</w:t>
      </w:r>
      <w:r w:rsidR="003A2D14" w:rsidRPr="00FD3034">
        <w:rPr>
          <w:b/>
        </w:rPr>
        <w:t>autre de manière à ce que l</w:t>
      </w:r>
      <w:r w:rsidR="006B6352">
        <w:rPr>
          <w:b/>
        </w:rPr>
        <w:t>’</w:t>
      </w:r>
      <w:r w:rsidR="003A2D14" w:rsidRPr="00FD3034">
        <w:rPr>
          <w:b/>
        </w:rPr>
        <w:t>éprouvette ne se déplace pas de plus de 2 mm pendant l</w:t>
      </w:r>
      <w:r w:rsidR="006B6352">
        <w:rPr>
          <w:b/>
        </w:rPr>
        <w:t>’</w:t>
      </w:r>
      <w:r w:rsidR="003A2D14" w:rsidRPr="00FD3034">
        <w:rPr>
          <w:b/>
        </w:rPr>
        <w:t>essai</w:t>
      </w:r>
      <w:r w:rsidR="003A2D14" w:rsidRPr="00FD3034">
        <w:t> ».</w:t>
      </w:r>
    </w:p>
    <w:p w:rsidR="003A2D14" w:rsidRPr="00FD3034" w:rsidRDefault="003A2D14" w:rsidP="00651D17">
      <w:pPr>
        <w:pStyle w:val="SingleTxtG"/>
        <w:keepNext/>
        <w:keepLines/>
      </w:pPr>
      <w:r w:rsidRPr="00FD3034">
        <w:rPr>
          <w:i/>
        </w:rPr>
        <w:t>Paragraphe 5.3.2</w:t>
      </w:r>
      <w:r w:rsidRPr="00FD3034">
        <w:t>,</w:t>
      </w:r>
      <w:r w:rsidRPr="00FD3034">
        <w:rPr>
          <w:i/>
        </w:rPr>
        <w:t xml:space="preserve"> </w:t>
      </w:r>
      <w:r w:rsidRPr="00FD3034">
        <w:t>modifier comme suit :</w:t>
      </w:r>
    </w:p>
    <w:p w:rsidR="003A2D14" w:rsidRPr="000D0ED4" w:rsidRDefault="003A2D14" w:rsidP="003A2D14">
      <w:pPr>
        <w:pStyle w:val="SingleTxtG"/>
        <w:ind w:left="2268" w:hanging="1134"/>
      </w:pPr>
      <w:r w:rsidRPr="000D0ED4">
        <w:t>« 5.3.2</w:t>
      </w:r>
      <w:r w:rsidRPr="000D0ED4">
        <w:tab/>
        <w:t>La correspondance entre la hauteur de chute et l</w:t>
      </w:r>
      <w:r w:rsidR="006B6352" w:rsidRPr="000D0ED4">
        <w:t>’</w:t>
      </w:r>
      <w:r w:rsidRPr="000D0ED4">
        <w:t xml:space="preserve">épaisseur </w:t>
      </w:r>
      <w:r w:rsidRPr="000D0ED4">
        <w:rPr>
          <w:b/>
        </w:rPr>
        <w:t>nominale</w:t>
      </w:r>
      <w:r w:rsidRPr="000D0ED4">
        <w:t xml:space="preserve"> de l</w:t>
      </w:r>
      <w:r w:rsidR="006B6352" w:rsidRPr="000D0ED4">
        <w:t>’</w:t>
      </w:r>
      <w:r w:rsidRPr="000D0ED4">
        <w:t>élément extérieur du vitrage est donnée (...)</w:t>
      </w:r>
    </w:p>
    <w:p w:rsidR="003A2D14" w:rsidRPr="000D0ED4" w:rsidRDefault="003A2D14" w:rsidP="003A2D14">
      <w:pPr>
        <w:pStyle w:val="SingleTxtG"/>
        <w:ind w:left="2268"/>
      </w:pPr>
      <w:r w:rsidRPr="000D0ED4">
        <w:tab/>
        <w:t>(…)</w:t>
      </w:r>
    </w:p>
    <w:p w:rsidR="003A2D14" w:rsidRPr="00FD3034" w:rsidRDefault="003A2D14" w:rsidP="003A2D14">
      <w:pPr>
        <w:pStyle w:val="SingleTxtG"/>
        <w:ind w:left="2268"/>
      </w:pPr>
      <w:r w:rsidRPr="000D0ED4">
        <w:tab/>
        <w:t xml:space="preserve">Pour les épaisseurs </w:t>
      </w:r>
      <w:r w:rsidRPr="000D0ED4">
        <w:rPr>
          <w:b/>
        </w:rPr>
        <w:t>nominales</w:t>
      </w:r>
      <w:r w:rsidRPr="000D0ED4">
        <w:t xml:space="preserve"> intermédiaires comprises (...) par interpolation ».</w:t>
      </w:r>
    </w:p>
    <w:p w:rsidR="003A2D14" w:rsidRPr="00FD3034" w:rsidRDefault="003A2D14" w:rsidP="00651D17">
      <w:pPr>
        <w:pStyle w:val="SingleTxtG"/>
        <w:keepNext/>
        <w:keepLines/>
      </w:pPr>
      <w:r w:rsidRPr="00FD3034">
        <w:rPr>
          <w:i/>
        </w:rPr>
        <w:t>Paragraphes 5.4.1 et 5.4.2</w:t>
      </w:r>
      <w:r w:rsidRPr="00FD3034">
        <w:t>,</w:t>
      </w:r>
      <w:r w:rsidRPr="00FD3034">
        <w:rPr>
          <w:i/>
        </w:rPr>
        <w:t xml:space="preserve"> </w:t>
      </w:r>
      <w:r w:rsidRPr="00FD3034">
        <w:t>modifier comme suit :</w:t>
      </w:r>
    </w:p>
    <w:p w:rsidR="003A2D14" w:rsidRPr="00FD3034" w:rsidRDefault="003A2D14" w:rsidP="003A2D14">
      <w:pPr>
        <w:pStyle w:val="SingleTxtG"/>
        <w:ind w:left="2268" w:hanging="1134"/>
      </w:pPr>
      <w:r w:rsidRPr="00FD3034">
        <w:t>« 5.4.1</w:t>
      </w:r>
      <w:r w:rsidRPr="00FD3034">
        <w:tab/>
        <w:t>L</w:t>
      </w:r>
      <w:r w:rsidR="006B6352">
        <w:t>’</w:t>
      </w:r>
      <w:r w:rsidRPr="00FD3034">
        <w:t>essai de résistance mécanique à la bille est considéré comme ayant donné un résultat positif si les conditions suivantes sont réunies :</w:t>
      </w:r>
    </w:p>
    <w:p w:rsidR="003A2D14" w:rsidRPr="00FD3034" w:rsidRDefault="003A2D14" w:rsidP="003A2D14">
      <w:pPr>
        <w:pStyle w:val="SingleTxtG"/>
        <w:ind w:left="2268"/>
      </w:pPr>
      <w:r w:rsidRPr="00FD3034">
        <w:t>a)</w:t>
      </w:r>
      <w:r w:rsidRPr="00FD3034">
        <w:tab/>
        <w:t>La bille n</w:t>
      </w:r>
      <w:r w:rsidR="006B6352">
        <w:t>’</w:t>
      </w:r>
      <w:r w:rsidRPr="00FD3034">
        <w:t>entame pas l</w:t>
      </w:r>
      <w:r w:rsidR="006B6352">
        <w:t>’</w:t>
      </w:r>
      <w:r w:rsidRPr="00FD3034">
        <w:t>éprouvette ;</w:t>
      </w:r>
    </w:p>
    <w:p w:rsidR="003A2D14" w:rsidRPr="00FD3034" w:rsidRDefault="003A2D14" w:rsidP="003A2D14">
      <w:pPr>
        <w:pStyle w:val="SingleTxtG"/>
        <w:ind w:left="2268"/>
      </w:pPr>
      <w:r w:rsidRPr="00FD3034">
        <w:t>b)</w:t>
      </w:r>
      <w:r w:rsidRPr="00FD3034">
        <w:tab/>
        <w:t>L</w:t>
      </w:r>
      <w:r w:rsidR="006B6352">
        <w:t>’</w:t>
      </w:r>
      <w:r w:rsidRPr="00FD3034">
        <w:t>éprouvette ne se brise pas en plusieurs morceaux distincts.</w:t>
      </w:r>
    </w:p>
    <w:p w:rsidR="003A2D14" w:rsidRPr="00FD3034" w:rsidRDefault="003A2D14" w:rsidP="003A2D14">
      <w:pPr>
        <w:pStyle w:val="SingleTxtG"/>
        <w:ind w:left="2268"/>
        <w:rPr>
          <w:b/>
        </w:rPr>
      </w:pPr>
      <w:r w:rsidRPr="00FD3034">
        <w:tab/>
      </w:r>
      <w:r w:rsidRPr="00FD3034">
        <w:rPr>
          <w:b/>
        </w:rPr>
        <w:t>À la suite du choc, des fissures dans l</w:t>
      </w:r>
      <w:r w:rsidR="006B6352">
        <w:rPr>
          <w:b/>
        </w:rPr>
        <w:t>’</w:t>
      </w:r>
      <w:r w:rsidRPr="00FD3034">
        <w:rPr>
          <w:b/>
        </w:rPr>
        <w:t>éprouvette sont cependant admises.</w:t>
      </w:r>
    </w:p>
    <w:p w:rsidR="003A2D14" w:rsidRPr="00FD3034" w:rsidRDefault="003A2D14" w:rsidP="003A2D14">
      <w:pPr>
        <w:pStyle w:val="SingleTxtG"/>
        <w:ind w:left="2268" w:hanging="1134"/>
      </w:pPr>
      <w:r w:rsidRPr="00FD3034">
        <w:t>5.4.2</w:t>
      </w:r>
      <w:r w:rsidRPr="00FD3034">
        <w:tab/>
        <w:t>Une série d</w:t>
      </w:r>
      <w:r w:rsidR="006B6352">
        <w:t>’</w:t>
      </w:r>
      <w:r w:rsidRPr="00FD3034">
        <w:t>éprouvettes soumises à l</w:t>
      </w:r>
      <w:r w:rsidR="006B6352">
        <w:t>’</w:t>
      </w:r>
      <w:r w:rsidRPr="00FD3034">
        <w:t>homologation est considérée comme ayant satisfait à l</w:t>
      </w:r>
      <w:r w:rsidR="006B6352">
        <w:t>’</w:t>
      </w:r>
      <w:r w:rsidRPr="00FD3034">
        <w:t xml:space="preserve">essai de résistance mécanique à la bille de 227 g si </w:t>
      </w:r>
      <w:r w:rsidRPr="00FD3034">
        <w:rPr>
          <w:b/>
        </w:rPr>
        <w:t>huit essais ou plus donnent un résultat positif à la hauteur de chute requise</w:t>
      </w:r>
      <w:r w:rsidRPr="00FD3034">
        <w:t> ».</w:t>
      </w:r>
    </w:p>
    <w:p w:rsidR="003A2D14" w:rsidRPr="00FD3034" w:rsidRDefault="003A2D14" w:rsidP="003A2D14">
      <w:pPr>
        <w:tabs>
          <w:tab w:val="left" w:pos="2835"/>
          <w:tab w:val="left" w:pos="8505"/>
        </w:tabs>
        <w:spacing w:before="120" w:after="120" w:line="240" w:lineRule="auto"/>
        <w:ind w:left="2268" w:right="1134" w:hanging="1134"/>
        <w:jc w:val="both"/>
      </w:pPr>
      <w:r w:rsidRPr="00FD3034">
        <w:rPr>
          <w:i/>
        </w:rPr>
        <w:t>Paragraphes 5.4.2.1 et 5.4.2.2,</w:t>
      </w:r>
      <w:r w:rsidRPr="00FD3034">
        <w:t xml:space="preserve"> supprimer.</w:t>
      </w:r>
    </w:p>
    <w:p w:rsidR="003A2D14" w:rsidRPr="00FD3034" w:rsidRDefault="003A2D14" w:rsidP="003A2D14">
      <w:pPr>
        <w:tabs>
          <w:tab w:val="left" w:pos="2835"/>
          <w:tab w:val="left" w:pos="8505"/>
        </w:tabs>
        <w:spacing w:before="120" w:after="120" w:line="240" w:lineRule="auto"/>
        <w:ind w:left="2268" w:right="1134" w:hanging="1134"/>
        <w:jc w:val="both"/>
      </w:pPr>
      <w:r w:rsidRPr="00FD3034">
        <w:rPr>
          <w:i/>
        </w:rPr>
        <w:t>Paragraphe 6.1.2,</w:t>
      </w:r>
      <w:r w:rsidRPr="00FD3034">
        <w:t xml:space="preserve"> modification sans objet en français.</w:t>
      </w:r>
    </w:p>
    <w:p w:rsidR="003A2D14" w:rsidRPr="00FD3034" w:rsidRDefault="003A2D14" w:rsidP="00651D17">
      <w:pPr>
        <w:pStyle w:val="SingleTxtG"/>
        <w:keepNext/>
        <w:keepLines/>
      </w:pPr>
      <w:r w:rsidRPr="00FD3034">
        <w:rPr>
          <w:i/>
        </w:rPr>
        <w:t>Paragraphes 6.1.3.1 et 6.1.3.2</w:t>
      </w:r>
      <w:r w:rsidRPr="00FD3034">
        <w:t>,</w:t>
      </w:r>
      <w:r w:rsidRPr="00FD3034">
        <w:rPr>
          <w:i/>
        </w:rPr>
        <w:t xml:space="preserve"> </w:t>
      </w:r>
      <w:r w:rsidRPr="00FD3034">
        <w:t>modifier comme suit :</w:t>
      </w:r>
    </w:p>
    <w:p w:rsidR="003A2D14" w:rsidRPr="000D0ED4" w:rsidRDefault="003A2D14" w:rsidP="003A2D14">
      <w:pPr>
        <w:pStyle w:val="SingleTxtG"/>
        <w:ind w:left="2268" w:hanging="1134"/>
      </w:pPr>
      <w:r w:rsidRPr="000D0ED4">
        <w:t>« 6.1.3.1</w:t>
      </w:r>
      <w:r w:rsidRPr="000D0ED4">
        <w:tab/>
        <w:t>Dans le cas des vitrages de la classe L, on considère que l</w:t>
      </w:r>
      <w:r w:rsidR="006B6352" w:rsidRPr="000D0ED4">
        <w:t>’</w:t>
      </w:r>
      <w:r w:rsidRPr="000D0ED4">
        <w:t>essai d</w:t>
      </w:r>
      <w:r w:rsidR="006B6352" w:rsidRPr="000D0ED4">
        <w:t>’</w:t>
      </w:r>
      <w:r w:rsidRPr="000D0ED4">
        <w:t xml:space="preserve">abrasion a donné un résultat satisfaisant si </w:t>
      </w:r>
      <w:r w:rsidRPr="000D0ED4">
        <w:rPr>
          <w:b/>
        </w:rPr>
        <w:t>l</w:t>
      </w:r>
      <w:r w:rsidR="006B6352" w:rsidRPr="000D0ED4">
        <w:rPr>
          <w:b/>
        </w:rPr>
        <w:t>’</w:t>
      </w:r>
      <w:r w:rsidRPr="000D0ED4">
        <w:rPr>
          <w:b/>
        </w:rPr>
        <w:t>accroissement de l</w:t>
      </w:r>
      <w:r w:rsidR="006B6352" w:rsidRPr="000D0ED4">
        <w:rPr>
          <w:b/>
        </w:rPr>
        <w:t>’</w:t>
      </w:r>
      <w:r w:rsidRPr="000D0ED4">
        <w:rPr>
          <w:b/>
        </w:rPr>
        <w:t xml:space="preserve">atténuation de la visibilité </w:t>
      </w:r>
      <w:r w:rsidRPr="000D0ED4">
        <w:t>après abrasion ne dépasse pas 2 % après 1 000 cycles sur la surface extérieure de l</w:t>
      </w:r>
      <w:r w:rsidR="006B6352" w:rsidRPr="000D0ED4">
        <w:t>’</w:t>
      </w:r>
      <w:r w:rsidRPr="000D0ED4">
        <w:t>échantillon, ni 4 % après 100 cycles sur sa surface intérieure.</w:t>
      </w:r>
    </w:p>
    <w:p w:rsidR="003A2D14" w:rsidRPr="00FD3034" w:rsidRDefault="003A2D14" w:rsidP="003A2D14">
      <w:pPr>
        <w:pStyle w:val="SingleTxtG"/>
        <w:ind w:left="2268" w:hanging="1134"/>
      </w:pPr>
      <w:r w:rsidRPr="000D0ED4">
        <w:t>6.1.3.2</w:t>
      </w:r>
      <w:r w:rsidRPr="000D0ED4">
        <w:tab/>
        <w:t>Dans le cas des vitrages de la classe M, on considère que l</w:t>
      </w:r>
      <w:r w:rsidR="006B6352" w:rsidRPr="000D0ED4">
        <w:t>’</w:t>
      </w:r>
      <w:r w:rsidRPr="000D0ED4">
        <w:t>essai d</w:t>
      </w:r>
      <w:r w:rsidR="006B6352" w:rsidRPr="000D0ED4">
        <w:t>’</w:t>
      </w:r>
      <w:r w:rsidRPr="000D0ED4">
        <w:t xml:space="preserve">abrasion a donné un résultat satisfaisant si </w:t>
      </w:r>
      <w:r w:rsidRPr="000D0ED4">
        <w:rPr>
          <w:b/>
        </w:rPr>
        <w:t>l</w:t>
      </w:r>
      <w:r w:rsidR="006B6352" w:rsidRPr="000D0ED4">
        <w:rPr>
          <w:b/>
        </w:rPr>
        <w:t>’</w:t>
      </w:r>
      <w:r w:rsidRPr="000D0ED4">
        <w:rPr>
          <w:b/>
        </w:rPr>
        <w:t>accroissement de l</w:t>
      </w:r>
      <w:r w:rsidR="006B6352" w:rsidRPr="000D0ED4">
        <w:rPr>
          <w:b/>
        </w:rPr>
        <w:t>’</w:t>
      </w:r>
      <w:r w:rsidRPr="000D0ED4">
        <w:rPr>
          <w:b/>
        </w:rPr>
        <w:t xml:space="preserve">atténuation de la visibilité </w:t>
      </w:r>
      <w:r w:rsidRPr="000D0ED4">
        <w:t>après abrasion ne dépasse pas 10 % après 500 cycles sur la surface extérieure de l</w:t>
      </w:r>
      <w:r w:rsidR="006B6352" w:rsidRPr="000D0ED4">
        <w:t>’</w:t>
      </w:r>
      <w:r w:rsidRPr="000D0ED4">
        <w:t>échantillon, ni 4 % après 100 cycles sur sa surface intérieure.</w:t>
      </w:r>
    </w:p>
    <w:p w:rsidR="003A2D14" w:rsidRPr="00FD3034" w:rsidRDefault="003A2D14" w:rsidP="00651D17">
      <w:pPr>
        <w:pStyle w:val="SingleTxtG"/>
        <w:keepNext/>
        <w:keepLines/>
      </w:pPr>
      <w:r w:rsidRPr="00FD3034">
        <w:rPr>
          <w:i/>
        </w:rPr>
        <w:t>Ajouter un nouveau paragraphe 6.1.3.3</w:t>
      </w:r>
      <w:r w:rsidRPr="00FD3034">
        <w:t>, ainsi conçu :</w:t>
      </w:r>
    </w:p>
    <w:p w:rsidR="003A2D14" w:rsidRPr="00FD3034" w:rsidRDefault="003A2D14" w:rsidP="003A2D14">
      <w:pPr>
        <w:pStyle w:val="SingleTxtG"/>
        <w:ind w:left="2268" w:hanging="1134"/>
      </w:pPr>
      <w:r w:rsidRPr="00FD3034">
        <w:t>« </w:t>
      </w:r>
      <w:r w:rsidRPr="00FD3034">
        <w:rPr>
          <w:b/>
        </w:rPr>
        <w:t>6.1.3.3</w:t>
      </w:r>
      <w:r w:rsidRPr="00FD3034">
        <w:tab/>
      </w:r>
      <w:r w:rsidRPr="00FD3034">
        <w:rPr>
          <w:b/>
        </w:rPr>
        <w:t>Dans le cas des vitrages de la classe L, pour l</w:t>
      </w:r>
      <w:r w:rsidR="006B6352">
        <w:rPr>
          <w:b/>
        </w:rPr>
        <w:t>’</w:t>
      </w:r>
      <w:r w:rsidRPr="00FD3034">
        <w:rPr>
          <w:b/>
        </w:rPr>
        <w:t>abrasion sur la surface externe de l</w:t>
      </w:r>
      <w:r w:rsidR="006B6352">
        <w:rPr>
          <w:b/>
        </w:rPr>
        <w:t>’</w:t>
      </w:r>
      <w:r w:rsidRPr="00FD3034">
        <w:rPr>
          <w:b/>
        </w:rPr>
        <w:t>éprouvette, on peut effectuer l</w:t>
      </w:r>
      <w:r w:rsidR="006B6352">
        <w:rPr>
          <w:b/>
        </w:rPr>
        <w:t>’</w:t>
      </w:r>
      <w:r w:rsidRPr="00FD3034">
        <w:rPr>
          <w:b/>
        </w:rPr>
        <w:t>essai d</w:t>
      </w:r>
      <w:r w:rsidR="006B6352">
        <w:rPr>
          <w:b/>
        </w:rPr>
        <w:t>’</w:t>
      </w:r>
      <w:r w:rsidRPr="00FD3034">
        <w:rPr>
          <w:b/>
        </w:rPr>
        <w:t>abrasion décrit au paragraphe 4 de l</w:t>
      </w:r>
      <w:r w:rsidR="006B6352">
        <w:rPr>
          <w:b/>
        </w:rPr>
        <w:t>’</w:t>
      </w:r>
      <w:r w:rsidRPr="00FD3034">
        <w:rPr>
          <w:b/>
        </w:rPr>
        <w:t>annexe 3 ou la série équivalente constituée de l</w:t>
      </w:r>
      <w:r w:rsidR="006B6352">
        <w:rPr>
          <w:b/>
        </w:rPr>
        <w:t>’</w:t>
      </w:r>
      <w:r w:rsidRPr="00FD3034">
        <w:rPr>
          <w:b/>
        </w:rPr>
        <w:t>essai avec ruissellement de sable, de l</w:t>
      </w:r>
      <w:r w:rsidR="006B6352">
        <w:rPr>
          <w:b/>
        </w:rPr>
        <w:t>’</w:t>
      </w:r>
      <w:r w:rsidRPr="00FD3034">
        <w:rPr>
          <w:b/>
        </w:rPr>
        <w:t>essai sur poste de lavage automobile et de l</w:t>
      </w:r>
      <w:r w:rsidR="006B6352">
        <w:rPr>
          <w:b/>
        </w:rPr>
        <w:t>’</w:t>
      </w:r>
      <w:r w:rsidRPr="00FD3034">
        <w:rPr>
          <w:b/>
        </w:rPr>
        <w:t>essai avec essuie-glace, tels qu</w:t>
      </w:r>
      <w:r w:rsidR="006B6352">
        <w:rPr>
          <w:b/>
        </w:rPr>
        <w:t>’</w:t>
      </w:r>
      <w:r w:rsidRPr="00FD3034">
        <w:rPr>
          <w:b/>
        </w:rPr>
        <w:t>ils sont décrits aux paragraphes 6.1.2 à 6.1.4 de l</w:t>
      </w:r>
      <w:r w:rsidR="006B6352">
        <w:rPr>
          <w:b/>
        </w:rPr>
        <w:t>’</w:t>
      </w:r>
      <w:r w:rsidRPr="00FD3034">
        <w:rPr>
          <w:b/>
        </w:rPr>
        <w:t>annexe 17</w:t>
      </w:r>
      <w:r w:rsidRPr="00FD3034">
        <w:t> ».</w:t>
      </w:r>
    </w:p>
    <w:p w:rsidR="003A2D14" w:rsidRPr="00FD3034" w:rsidRDefault="003A2D14" w:rsidP="003A2D14">
      <w:pPr>
        <w:pStyle w:val="SingleTxtG"/>
        <w:ind w:left="2268" w:hanging="1134"/>
      </w:pPr>
      <w:r w:rsidRPr="00FD3034">
        <w:rPr>
          <w:i/>
        </w:rPr>
        <w:t xml:space="preserve">Le paragraphe 6.1.3.3 </w:t>
      </w:r>
      <w:r w:rsidRPr="00FD3034">
        <w:t>devient le paragraphe 6.1.3.4.</w:t>
      </w:r>
    </w:p>
    <w:p w:rsidR="003A2D14" w:rsidRPr="00FD3034" w:rsidRDefault="003A2D14" w:rsidP="00651D17">
      <w:pPr>
        <w:pStyle w:val="SingleTxtG"/>
        <w:keepNext/>
        <w:keepLines/>
      </w:pPr>
      <w:r w:rsidRPr="00FD3034">
        <w:rPr>
          <w:i/>
        </w:rPr>
        <w:t>Paragraphe 6.1.4</w:t>
      </w:r>
      <w:r w:rsidRPr="00FD3034">
        <w:t>,</w:t>
      </w:r>
      <w:r w:rsidRPr="00FD3034">
        <w:rPr>
          <w:i/>
        </w:rPr>
        <w:t xml:space="preserve"> </w:t>
      </w:r>
      <w:r w:rsidRPr="00FD3034">
        <w:t>modifier comme suit :</w:t>
      </w:r>
    </w:p>
    <w:p w:rsidR="003A2D14" w:rsidRPr="00FD3034" w:rsidRDefault="003A2D14" w:rsidP="003A2D14">
      <w:pPr>
        <w:pStyle w:val="SingleTxtG"/>
        <w:ind w:left="2268" w:hanging="1134"/>
      </w:pPr>
      <w:r w:rsidRPr="00FD3034">
        <w:t>« 6.1.4</w:t>
      </w:r>
      <w:r w:rsidRPr="00FD3034">
        <w:tab/>
        <w:t>Une série d</w:t>
      </w:r>
      <w:r w:rsidR="006B6352">
        <w:t>’</w:t>
      </w:r>
      <w:r w:rsidRPr="00FD3034">
        <w:t>échantillons soumise à l</w:t>
      </w:r>
      <w:r w:rsidR="006B6352">
        <w:t>’</w:t>
      </w:r>
      <w:r w:rsidRPr="00FD3034">
        <w:t xml:space="preserve">homologation est considérée comme ayant donné un résultat positif si </w:t>
      </w:r>
      <w:r w:rsidRPr="00FD3034">
        <w:rPr>
          <w:b/>
        </w:rPr>
        <w:t>tous les échantillons satisfont aux prescriptions</w:t>
      </w:r>
      <w:r w:rsidRPr="00FD3034">
        <w:t> ».</w:t>
      </w:r>
    </w:p>
    <w:p w:rsidR="003A2D14" w:rsidRPr="00FD3034" w:rsidRDefault="003A2D14" w:rsidP="00651D17">
      <w:pPr>
        <w:pStyle w:val="SingleTxtG"/>
        <w:keepNext/>
        <w:keepLines/>
      </w:pPr>
      <w:r w:rsidRPr="00FD3034">
        <w:rPr>
          <w:i/>
        </w:rPr>
        <w:t>Paragraphe 6.2.4</w:t>
      </w:r>
      <w:r w:rsidRPr="00FD3034">
        <w:t>,</w:t>
      </w:r>
      <w:r w:rsidRPr="00FD3034">
        <w:rPr>
          <w:i/>
        </w:rPr>
        <w:t xml:space="preserve"> </w:t>
      </w:r>
      <w:r w:rsidRPr="00FD3034">
        <w:t>modifier comme suit :</w:t>
      </w:r>
    </w:p>
    <w:p w:rsidR="003A2D14" w:rsidRPr="00FD3034" w:rsidRDefault="003A2D14" w:rsidP="003A2D14">
      <w:pPr>
        <w:pStyle w:val="SingleTxtG"/>
        <w:ind w:left="2268" w:hanging="1134"/>
      </w:pPr>
      <w:r w:rsidRPr="00FD3034">
        <w:t>« 6.2.4</w:t>
      </w:r>
      <w:r w:rsidRPr="00FD3034">
        <w:tab/>
        <w:t>Une série d</w:t>
      </w:r>
      <w:r w:rsidR="006B6352">
        <w:t>’</w:t>
      </w:r>
      <w:r w:rsidRPr="00FD3034">
        <w:t>éprouvettes soumise à l</w:t>
      </w:r>
      <w:r w:rsidR="006B6352">
        <w:t>’</w:t>
      </w:r>
      <w:r w:rsidRPr="00FD3034">
        <w:t>homologation est considérée comme satisfaisant à l</w:t>
      </w:r>
      <w:r w:rsidR="006B6352">
        <w:t>’</w:t>
      </w:r>
      <w:r w:rsidRPr="00FD3034">
        <w:t xml:space="preserve">essai de résistance aux intempéries, si </w:t>
      </w:r>
      <w:r w:rsidRPr="00FD3034">
        <w:rPr>
          <w:b/>
        </w:rPr>
        <w:t>toutes les éprouvettes donnent un résultat satisfaisant</w:t>
      </w:r>
      <w:r w:rsidRPr="00FD3034">
        <w:t> ».</w:t>
      </w:r>
    </w:p>
    <w:p w:rsidR="003A2D14" w:rsidRPr="00FD3034" w:rsidRDefault="003A2D14" w:rsidP="003A2D14">
      <w:pPr>
        <w:tabs>
          <w:tab w:val="left" w:pos="2835"/>
          <w:tab w:val="left" w:pos="8505"/>
        </w:tabs>
        <w:spacing w:before="120" w:after="120" w:line="240" w:lineRule="auto"/>
        <w:ind w:left="2268" w:right="1134" w:hanging="1134"/>
        <w:jc w:val="both"/>
      </w:pPr>
      <w:r w:rsidRPr="00FD3034">
        <w:rPr>
          <w:i/>
        </w:rPr>
        <w:t>Paragraphes 6.2.4.1 et 6.2.4.2,</w:t>
      </w:r>
      <w:r w:rsidRPr="00FD3034">
        <w:t xml:space="preserve"> supprimer.</w:t>
      </w:r>
    </w:p>
    <w:p w:rsidR="003A2D14" w:rsidRPr="00FD3034" w:rsidRDefault="003A2D14" w:rsidP="00651D17">
      <w:pPr>
        <w:pStyle w:val="SingleTxtG"/>
        <w:keepNext/>
        <w:keepLines/>
      </w:pPr>
      <w:r w:rsidRPr="00FD3034">
        <w:rPr>
          <w:i/>
        </w:rPr>
        <w:t>Paragraphe 6.3.3.2</w:t>
      </w:r>
      <w:r w:rsidRPr="00FD3034">
        <w:t>, modifier comme suit :</w:t>
      </w:r>
    </w:p>
    <w:p w:rsidR="003A2D14" w:rsidRPr="00FD3034" w:rsidRDefault="003A2D14" w:rsidP="003A2D14">
      <w:pPr>
        <w:pStyle w:val="SingleTxtG"/>
        <w:ind w:left="2268" w:hanging="1134"/>
      </w:pPr>
      <w:r w:rsidRPr="00FD3034">
        <w:t>« 6.3.3.2</w:t>
      </w:r>
      <w:r w:rsidRPr="00FD3034">
        <w:tab/>
        <w:t>L</w:t>
      </w:r>
      <w:r w:rsidR="006B6352">
        <w:t>’</w:t>
      </w:r>
      <w:r w:rsidRPr="00FD3034">
        <w:t>éprouvette soumise à l</w:t>
      </w:r>
      <w:r w:rsidR="006B6352">
        <w:t>’</w:t>
      </w:r>
      <w:r w:rsidRPr="00FD3034">
        <w:t>homologation est considérée comme ayant satisfait à l</w:t>
      </w:r>
      <w:r w:rsidR="006B6352">
        <w:t>’</w:t>
      </w:r>
      <w:r w:rsidRPr="00FD3034">
        <w:t xml:space="preserve">essai si </w:t>
      </w:r>
      <w:r w:rsidRPr="00FD3034">
        <w:rPr>
          <w:b/>
        </w:rPr>
        <w:t>l</w:t>
      </w:r>
      <w:r w:rsidR="006B6352">
        <w:rPr>
          <w:b/>
        </w:rPr>
        <w:t>’</w:t>
      </w:r>
      <w:r w:rsidRPr="00FD3034">
        <w:rPr>
          <w:b/>
        </w:rPr>
        <w:t>essai donne un résultat positif</w:t>
      </w:r>
      <w:r w:rsidRPr="00FD3034">
        <w:t> ».</w:t>
      </w:r>
    </w:p>
    <w:p w:rsidR="003A2D14" w:rsidRPr="00FD3034" w:rsidRDefault="003A2D14" w:rsidP="003A2D14">
      <w:pPr>
        <w:tabs>
          <w:tab w:val="left" w:pos="2835"/>
          <w:tab w:val="left" w:pos="8505"/>
        </w:tabs>
        <w:spacing w:before="120" w:after="120" w:line="240" w:lineRule="auto"/>
        <w:ind w:left="2268" w:right="1134" w:hanging="1134"/>
        <w:jc w:val="both"/>
      </w:pPr>
      <w:r w:rsidRPr="00FD3034">
        <w:rPr>
          <w:i/>
        </w:rPr>
        <w:t>Paragraphes 6.3.3.2.1 et 6.3.3.2.2,</w:t>
      </w:r>
      <w:r w:rsidRPr="00FD3034">
        <w:t xml:space="preserve"> supprimer.</w:t>
      </w:r>
    </w:p>
    <w:p w:rsidR="003A2D14" w:rsidRPr="00FD3034" w:rsidRDefault="003A2D14" w:rsidP="00651D17">
      <w:pPr>
        <w:pStyle w:val="SingleTxtG"/>
        <w:keepNext/>
        <w:keepLines/>
      </w:pPr>
      <w:r w:rsidRPr="00FD3034">
        <w:rPr>
          <w:i/>
        </w:rPr>
        <w:t>Paragraphe 6.4.2</w:t>
      </w:r>
      <w:r w:rsidRPr="00FD3034">
        <w:t>,</w:t>
      </w:r>
      <w:r w:rsidRPr="00FD3034">
        <w:rPr>
          <w:i/>
        </w:rPr>
        <w:t xml:space="preserve"> </w:t>
      </w:r>
      <w:r w:rsidRPr="00FD3034">
        <w:t>modifier comme suit :</w:t>
      </w:r>
    </w:p>
    <w:p w:rsidR="003A2D14" w:rsidRPr="00FD3034" w:rsidRDefault="003A2D14" w:rsidP="003A2D14">
      <w:pPr>
        <w:pStyle w:val="SingleTxtG"/>
        <w:ind w:left="2268" w:hanging="1134"/>
      </w:pPr>
      <w:r w:rsidRPr="00FD3034">
        <w:t>« 6.4.2</w:t>
      </w:r>
      <w:r w:rsidRPr="00FD3034">
        <w:tab/>
        <w:t xml:space="preserve">Dix éprouvettes carrées ou 10 vitrages mesurant 300 × 300 mm </w:t>
      </w:r>
      <w:r w:rsidRPr="00FD3034">
        <w:rPr>
          <w:b/>
        </w:rPr>
        <w:t>de côté, ou dix pièces d</w:t>
      </w:r>
      <w:r w:rsidR="006B6352">
        <w:rPr>
          <w:b/>
        </w:rPr>
        <w:t>’</w:t>
      </w:r>
      <w:r w:rsidRPr="00FD3034">
        <w:rPr>
          <w:b/>
        </w:rPr>
        <w:t>origine</w:t>
      </w:r>
      <w:r w:rsidRPr="00FD3034">
        <w:t xml:space="preserve"> sont soumis à l</w:t>
      </w:r>
      <w:r w:rsidR="006B6352">
        <w:t>’</w:t>
      </w:r>
      <w:r w:rsidR="001E2511">
        <w:t>essai ».</w:t>
      </w:r>
    </w:p>
    <w:p w:rsidR="003A2D14" w:rsidRPr="00FD3034" w:rsidRDefault="003A2D14" w:rsidP="00651D17">
      <w:pPr>
        <w:pStyle w:val="SingleTxtG"/>
        <w:keepNext/>
        <w:keepLines/>
      </w:pPr>
      <w:r w:rsidRPr="00FD3034">
        <w:rPr>
          <w:i/>
        </w:rPr>
        <w:t>Paragraphe 7.1</w:t>
      </w:r>
      <w:r w:rsidRPr="00FD3034">
        <w:t>,</w:t>
      </w:r>
      <w:r w:rsidRPr="00FD3034">
        <w:rPr>
          <w:i/>
        </w:rPr>
        <w:t xml:space="preserve"> </w:t>
      </w:r>
      <w:r w:rsidRPr="00FD3034">
        <w:t>modifier comme suit :</w:t>
      </w:r>
    </w:p>
    <w:p w:rsidR="003A2D14" w:rsidRPr="00FD3034" w:rsidRDefault="003A2D14" w:rsidP="003A2D14">
      <w:pPr>
        <w:pStyle w:val="SingleTxtG"/>
        <w:ind w:left="2268" w:hanging="1134"/>
      </w:pPr>
      <w:r w:rsidRPr="00FD3034">
        <w:t>« 7.1</w:t>
      </w:r>
      <w:r w:rsidRPr="00FD3034">
        <w:tab/>
        <w:t>Interprétation des résultats</w:t>
      </w:r>
    </w:p>
    <w:p w:rsidR="003A2D14" w:rsidRPr="00FD3034" w:rsidRDefault="003A2D14" w:rsidP="003A2D14">
      <w:pPr>
        <w:pStyle w:val="SingleTxtG"/>
        <w:ind w:left="2268"/>
      </w:pPr>
      <w:r w:rsidRPr="00FD3034">
        <w:tab/>
        <w:t xml:space="preserve">Une série </w:t>
      </w:r>
      <w:r w:rsidRPr="00FD3034">
        <w:rPr>
          <w:b/>
        </w:rPr>
        <w:t>de quatre</w:t>
      </w:r>
      <w:r w:rsidRPr="00FD3034">
        <w:t xml:space="preserve"> échantillons est considérée comme ayant donné un résultat positif si </w:t>
      </w:r>
      <w:r w:rsidRPr="00FD3034">
        <w:rPr>
          <w:b/>
        </w:rPr>
        <w:t>tous les échantillons donnent un résultat positif</w:t>
      </w:r>
      <w:r w:rsidRPr="00FD3034">
        <w:t> ».</w:t>
      </w:r>
    </w:p>
    <w:p w:rsidR="003A2D14" w:rsidRPr="00FD3034" w:rsidRDefault="003A2D14" w:rsidP="003A2D14">
      <w:pPr>
        <w:tabs>
          <w:tab w:val="left" w:pos="2835"/>
          <w:tab w:val="left" w:pos="8505"/>
        </w:tabs>
        <w:spacing w:before="120" w:after="120" w:line="240" w:lineRule="auto"/>
        <w:ind w:left="2268" w:right="1134" w:hanging="1134"/>
        <w:jc w:val="both"/>
      </w:pPr>
      <w:r w:rsidRPr="00FD3034">
        <w:rPr>
          <w:i/>
        </w:rPr>
        <w:t>Paragraphes 7.1.1 et 7.1.2,</w:t>
      </w:r>
      <w:r w:rsidRPr="00FD3034">
        <w:t xml:space="preserve"> supprimer.</w:t>
      </w:r>
    </w:p>
    <w:p w:rsidR="003A2D14" w:rsidRPr="00FD3034" w:rsidRDefault="003A2D14" w:rsidP="00651D17">
      <w:pPr>
        <w:pStyle w:val="SingleTxtG"/>
        <w:keepNext/>
        <w:keepLines/>
      </w:pPr>
      <w:r w:rsidRPr="00FD3034">
        <w:rPr>
          <w:i/>
        </w:rPr>
        <w:t>Paragraphe 8.2.1</w:t>
      </w:r>
      <w:r w:rsidRPr="00FD3034">
        <w:t>,</w:t>
      </w:r>
      <w:r w:rsidRPr="00FD3034">
        <w:rPr>
          <w:i/>
        </w:rPr>
        <w:t xml:space="preserve"> </w:t>
      </w:r>
      <w:r w:rsidRPr="00FD3034">
        <w:t>modifier comme suit :</w:t>
      </w:r>
    </w:p>
    <w:p w:rsidR="003A2D14" w:rsidRPr="00FD3034" w:rsidRDefault="003A2D14" w:rsidP="003A2D14">
      <w:pPr>
        <w:pStyle w:val="SingleTxtG"/>
        <w:ind w:left="2268" w:hanging="1134"/>
      </w:pPr>
      <w:r w:rsidRPr="00FD3034">
        <w:t>« 8.2.1</w:t>
      </w:r>
      <w:r w:rsidRPr="00FD3034">
        <w:tab/>
        <w:t>Aux fins de l</w:t>
      </w:r>
      <w:r w:rsidR="006B6352">
        <w:t>’</w:t>
      </w:r>
      <w:r w:rsidRPr="00FD3034">
        <w:t>homologation, une série d</w:t>
      </w:r>
      <w:r w:rsidR="006B6352">
        <w:t>’</w:t>
      </w:r>
      <w:r w:rsidRPr="00FD3034">
        <w:t xml:space="preserve">échantillons est considérée comme ayant donné un résultat positif </w:t>
      </w:r>
      <w:r w:rsidRPr="00FD3034">
        <w:rPr>
          <w:b/>
        </w:rPr>
        <w:t>tous les échantill</w:t>
      </w:r>
      <w:r w:rsidR="00721D4B">
        <w:rPr>
          <w:b/>
        </w:rPr>
        <w:t>ons donnent un résultat positif</w:t>
      </w:r>
      <w:r w:rsidRPr="00FD3034">
        <w:rPr>
          <w:b/>
        </w:rPr>
        <w:t> »</w:t>
      </w:r>
      <w:r w:rsidRPr="00FD3034">
        <w:t>.</w:t>
      </w:r>
    </w:p>
    <w:p w:rsidR="003A2D14" w:rsidRPr="00FD3034" w:rsidRDefault="003A2D14" w:rsidP="003A2D14">
      <w:pPr>
        <w:pStyle w:val="SingleTxtG"/>
        <w:ind w:left="2268" w:hanging="1134"/>
      </w:pPr>
      <w:r w:rsidRPr="00FD3034">
        <w:rPr>
          <w:i/>
        </w:rPr>
        <w:t>Paragraphes 8.2.1.1 et 8.2.1.2</w:t>
      </w:r>
      <w:r w:rsidRPr="00FD3034">
        <w:t>, supprimer.</w:t>
      </w:r>
    </w:p>
    <w:p w:rsidR="003A2D14" w:rsidRPr="00FD3034" w:rsidRDefault="003A2D14" w:rsidP="00651D17">
      <w:pPr>
        <w:pStyle w:val="SingleTxtG"/>
        <w:keepNext/>
        <w:keepLines/>
      </w:pPr>
      <w:r w:rsidRPr="00FD3034">
        <w:rPr>
          <w:i/>
        </w:rPr>
        <w:t>Paragraphes 9.1 à 9.2.2</w:t>
      </w:r>
      <w:r w:rsidRPr="00FD3034">
        <w:t>, modifier comme suit :</w:t>
      </w:r>
    </w:p>
    <w:p w:rsidR="003A2D14" w:rsidRPr="00FD3034" w:rsidRDefault="003A2D14" w:rsidP="003A2D14">
      <w:pPr>
        <w:pStyle w:val="SingleTxtG"/>
        <w:ind w:left="2268" w:hanging="1134"/>
        <w:rPr>
          <w:b/>
        </w:rPr>
      </w:pPr>
      <w:r w:rsidRPr="00FD3034">
        <w:t>« </w:t>
      </w:r>
      <w:r w:rsidRPr="00FD3034">
        <w:rPr>
          <w:b/>
        </w:rPr>
        <w:t>9.1</w:t>
      </w:r>
      <w:r w:rsidRPr="00FD3034">
        <w:tab/>
      </w:r>
      <w:r w:rsidRPr="00FD3034">
        <w:rPr>
          <w:b/>
        </w:rPr>
        <w:t>Essai d</w:t>
      </w:r>
      <w:r w:rsidR="006B6352">
        <w:rPr>
          <w:b/>
        </w:rPr>
        <w:t>’</w:t>
      </w:r>
      <w:r w:rsidRPr="00FD3034">
        <w:rPr>
          <w:b/>
        </w:rPr>
        <w:t>immersion</w:t>
      </w:r>
    </w:p>
    <w:p w:rsidR="003A2D14" w:rsidRPr="00FD3034" w:rsidRDefault="003A2D14" w:rsidP="003A2D14">
      <w:pPr>
        <w:pStyle w:val="SingleTxtG"/>
        <w:ind w:left="2268" w:hanging="1134"/>
        <w:rPr>
          <w:b/>
        </w:rPr>
      </w:pPr>
      <w:r w:rsidRPr="00FD3034">
        <w:rPr>
          <w:b/>
        </w:rPr>
        <w:t>9.1.1</w:t>
      </w:r>
      <w:r w:rsidRPr="00FD3034">
        <w:tab/>
      </w:r>
      <w:r w:rsidRPr="00FD3034">
        <w:rPr>
          <w:b/>
        </w:rPr>
        <w:t>Indices de difficulté et méthode d</w:t>
      </w:r>
      <w:r w:rsidR="006B6352">
        <w:rPr>
          <w:b/>
        </w:rPr>
        <w:t>’</w:t>
      </w:r>
      <w:r w:rsidRPr="00FD3034">
        <w:rPr>
          <w:b/>
        </w:rPr>
        <w:t>essai</w:t>
      </w:r>
    </w:p>
    <w:p w:rsidR="003A2D14" w:rsidRPr="00FD3034" w:rsidRDefault="003A2D14" w:rsidP="003A2D14">
      <w:pPr>
        <w:pStyle w:val="SingleTxtG"/>
        <w:ind w:left="2268"/>
        <w:rPr>
          <w:b/>
        </w:rPr>
      </w:pPr>
      <w:r w:rsidRPr="00FD3034">
        <w:tab/>
      </w:r>
      <w:r w:rsidRPr="00FD3034">
        <w:rPr>
          <w:b/>
        </w:rPr>
        <w:t>Les prescriptions du paragraphe 11.2.1 de l</w:t>
      </w:r>
      <w:r w:rsidR="006B6352">
        <w:rPr>
          <w:b/>
        </w:rPr>
        <w:t>’</w:t>
      </w:r>
      <w:r w:rsidRPr="00FD3034">
        <w:rPr>
          <w:b/>
        </w:rPr>
        <w:t>annexe 3 s</w:t>
      </w:r>
      <w:r w:rsidR="006B6352">
        <w:rPr>
          <w:b/>
        </w:rPr>
        <w:t>’</w:t>
      </w:r>
      <w:r w:rsidRPr="00FD3034">
        <w:rPr>
          <w:b/>
        </w:rPr>
        <w:t>appliquent.</w:t>
      </w:r>
    </w:p>
    <w:p w:rsidR="003A2D14" w:rsidRPr="00FD3034" w:rsidRDefault="003A2D14" w:rsidP="003A2D14">
      <w:pPr>
        <w:pStyle w:val="SingleTxtG"/>
        <w:ind w:left="2268" w:hanging="1134"/>
        <w:rPr>
          <w:b/>
        </w:rPr>
      </w:pPr>
      <w:r w:rsidRPr="00FD3034">
        <w:rPr>
          <w:b/>
        </w:rPr>
        <w:t>9.1.2</w:t>
      </w:r>
      <w:r w:rsidRPr="00FD3034">
        <w:tab/>
      </w:r>
      <w:r w:rsidRPr="00FD3034">
        <w:rPr>
          <w:b/>
        </w:rPr>
        <w:t>Interprétation des résultats</w:t>
      </w:r>
    </w:p>
    <w:p w:rsidR="003A2D14" w:rsidRPr="00FD3034" w:rsidRDefault="003A2D14" w:rsidP="003A2D14">
      <w:pPr>
        <w:pStyle w:val="SingleTxtG"/>
        <w:ind w:left="2268"/>
        <w:rPr>
          <w:b/>
        </w:rPr>
      </w:pPr>
      <w:r w:rsidRPr="00FD3034">
        <w:tab/>
      </w:r>
      <w:r w:rsidRPr="00FD3034">
        <w:rPr>
          <w:b/>
        </w:rPr>
        <w:t>Pour chaque agent chimique un jeu de quatre éprouvettes doit être soumis aux essais. Dans le cas des vitrages de la classe L, pour chaque agent chimique une de ces éprouvettes doit faire l</w:t>
      </w:r>
      <w:r w:rsidR="006B6352">
        <w:rPr>
          <w:b/>
        </w:rPr>
        <w:t>’</w:t>
      </w:r>
      <w:r w:rsidRPr="00FD3034">
        <w:rPr>
          <w:b/>
        </w:rPr>
        <w:t>objet d</w:t>
      </w:r>
      <w:r w:rsidR="006B6352">
        <w:rPr>
          <w:b/>
        </w:rPr>
        <w:t>’</w:t>
      </w:r>
      <w:r w:rsidRPr="00FD3034">
        <w:rPr>
          <w:b/>
        </w:rPr>
        <w:t>incisions croisées conformément au paragraphe 13 de l</w:t>
      </w:r>
      <w:r w:rsidR="006B6352">
        <w:rPr>
          <w:b/>
        </w:rPr>
        <w:t>’</w:t>
      </w:r>
      <w:r w:rsidRPr="00FD3034">
        <w:rPr>
          <w:b/>
        </w:rPr>
        <w:t>annexe 3.</w:t>
      </w:r>
    </w:p>
    <w:p w:rsidR="003A2D14" w:rsidRPr="00FD3034" w:rsidRDefault="003A2D14" w:rsidP="003A2D14">
      <w:pPr>
        <w:pStyle w:val="SingleTxtG"/>
        <w:ind w:left="2268"/>
        <w:rPr>
          <w:b/>
        </w:rPr>
      </w:pPr>
      <w:r w:rsidRPr="00FD3034">
        <w:tab/>
      </w:r>
      <w:r w:rsidRPr="00FD3034">
        <w:rPr>
          <w:b/>
        </w:rPr>
        <w:t>Trois éprouvettes sur quatre, dont celle qui a fait l</w:t>
      </w:r>
      <w:r w:rsidR="006B6352">
        <w:rPr>
          <w:b/>
        </w:rPr>
        <w:t>’</w:t>
      </w:r>
      <w:r w:rsidRPr="00FD3034">
        <w:rPr>
          <w:b/>
        </w:rPr>
        <w:t>objet d</w:t>
      </w:r>
      <w:r w:rsidR="006B6352">
        <w:rPr>
          <w:b/>
        </w:rPr>
        <w:t>’</w:t>
      </w:r>
      <w:r w:rsidRPr="00FD3034">
        <w:rPr>
          <w:b/>
        </w:rPr>
        <w:t>incisions croisées le cas échéant, doivent donner des résultats satisfaisants pour chaque agent chimique.</w:t>
      </w:r>
    </w:p>
    <w:p w:rsidR="003A2D14" w:rsidRPr="00FD3034" w:rsidRDefault="003A2D14" w:rsidP="003A2D14">
      <w:pPr>
        <w:pStyle w:val="SingleTxtG"/>
        <w:ind w:left="2268" w:hanging="1134"/>
        <w:rPr>
          <w:b/>
        </w:rPr>
      </w:pPr>
      <w:r w:rsidRPr="00FD3034">
        <w:rPr>
          <w:b/>
        </w:rPr>
        <w:t>9.2</w:t>
      </w:r>
      <w:r w:rsidRPr="00FD3034">
        <w:tab/>
      </w:r>
      <w:r w:rsidRPr="00FD3034">
        <w:rPr>
          <w:b/>
        </w:rPr>
        <w:t>Essai sous charge</w:t>
      </w:r>
    </w:p>
    <w:p w:rsidR="003A2D14" w:rsidRPr="00FD3034" w:rsidRDefault="003A2D14" w:rsidP="003A2D14">
      <w:pPr>
        <w:pStyle w:val="SingleTxtG"/>
        <w:ind w:left="2268" w:hanging="1134"/>
        <w:rPr>
          <w:b/>
        </w:rPr>
      </w:pPr>
      <w:r w:rsidRPr="00FD3034">
        <w:rPr>
          <w:b/>
        </w:rPr>
        <w:t>9.2.1</w:t>
      </w:r>
      <w:r w:rsidRPr="00FD3034">
        <w:tab/>
      </w:r>
      <w:r w:rsidRPr="00FD3034">
        <w:rPr>
          <w:b/>
        </w:rPr>
        <w:t>Indices de difficulté et méthode d</w:t>
      </w:r>
      <w:r w:rsidR="006B6352">
        <w:rPr>
          <w:b/>
        </w:rPr>
        <w:t>’</w:t>
      </w:r>
      <w:r w:rsidRPr="00FD3034">
        <w:rPr>
          <w:b/>
        </w:rPr>
        <w:t>essai</w:t>
      </w:r>
    </w:p>
    <w:p w:rsidR="003A2D14" w:rsidRPr="00FD3034" w:rsidRDefault="003A2D14" w:rsidP="003A2D14">
      <w:pPr>
        <w:pStyle w:val="SingleTxtG"/>
        <w:ind w:left="2268"/>
        <w:rPr>
          <w:b/>
        </w:rPr>
      </w:pPr>
      <w:r w:rsidRPr="00FD3034">
        <w:tab/>
      </w:r>
      <w:r w:rsidRPr="00FD3034">
        <w:rPr>
          <w:b/>
        </w:rPr>
        <w:t>Les prescriptions du paragraphe 11.2.4 de l</w:t>
      </w:r>
      <w:r w:rsidR="006B6352">
        <w:rPr>
          <w:b/>
        </w:rPr>
        <w:t>’</w:t>
      </w:r>
      <w:r w:rsidRPr="00FD3034">
        <w:rPr>
          <w:b/>
        </w:rPr>
        <w:t>annexe 3 s</w:t>
      </w:r>
      <w:r w:rsidR="006B6352">
        <w:rPr>
          <w:b/>
        </w:rPr>
        <w:t>’</w:t>
      </w:r>
      <w:r w:rsidRPr="00FD3034">
        <w:rPr>
          <w:b/>
        </w:rPr>
        <w:t>appliquent.</w:t>
      </w:r>
    </w:p>
    <w:p w:rsidR="003A2D14" w:rsidRPr="00FD3034" w:rsidRDefault="003A2D14" w:rsidP="003A2D14">
      <w:pPr>
        <w:pStyle w:val="SingleTxtG"/>
        <w:ind w:left="2268" w:hanging="1134"/>
        <w:rPr>
          <w:b/>
        </w:rPr>
      </w:pPr>
      <w:r w:rsidRPr="00FD3034">
        <w:rPr>
          <w:b/>
        </w:rPr>
        <w:t>9.2.2</w:t>
      </w:r>
      <w:r w:rsidRPr="00FD3034">
        <w:tab/>
      </w:r>
      <w:r w:rsidRPr="00FD3034">
        <w:rPr>
          <w:b/>
        </w:rPr>
        <w:t>Interprétation des résultats</w:t>
      </w:r>
    </w:p>
    <w:p w:rsidR="003A2D14" w:rsidRPr="00FD3034" w:rsidRDefault="003A2D14" w:rsidP="003A2D14">
      <w:pPr>
        <w:pStyle w:val="SingleTxtG"/>
        <w:ind w:left="2268"/>
        <w:rPr>
          <w:b/>
        </w:rPr>
      </w:pPr>
      <w:r w:rsidRPr="00FD3034">
        <w:tab/>
      </w:r>
      <w:r w:rsidRPr="00FD3034">
        <w:rPr>
          <w:b/>
        </w:rPr>
        <w:t>Un jeu de quatre éprouvettes, autres que celles mentionnées au paragraphe 9.1 ci-dessus, doit être soumis à des essais pour chaque agent chimique.</w:t>
      </w:r>
    </w:p>
    <w:p w:rsidR="003A2D14" w:rsidRDefault="003A2D14" w:rsidP="00721D4B">
      <w:pPr>
        <w:pStyle w:val="SingleTxtG"/>
        <w:ind w:left="2268"/>
      </w:pPr>
      <w:r w:rsidRPr="00FD3034">
        <w:tab/>
      </w:r>
      <w:r w:rsidRPr="00FD3034">
        <w:rPr>
          <w:b/>
        </w:rPr>
        <w:t>Trois éprouvettes sur quatre doivent donner des résultats satisfaisants pour chaque agent chimique</w:t>
      </w:r>
      <w:r w:rsidRPr="00FD3034">
        <w:t> »</w:t>
      </w:r>
      <w:r w:rsidR="00721D4B">
        <w:t>.</w:t>
      </w:r>
    </w:p>
    <w:p w:rsidR="003A2D14" w:rsidRPr="00FD3034" w:rsidRDefault="003A2D14" w:rsidP="003A2D14">
      <w:pPr>
        <w:keepNext/>
        <w:keepLines/>
        <w:tabs>
          <w:tab w:val="right" w:pos="851"/>
        </w:tabs>
        <w:spacing w:before="360" w:after="240" w:line="300" w:lineRule="exact"/>
        <w:ind w:left="1134" w:right="1134" w:hanging="1134"/>
        <w:rPr>
          <w:b/>
          <w:sz w:val="28"/>
        </w:rPr>
      </w:pPr>
      <w:r>
        <w:br w:type="page"/>
      </w:r>
      <w:r w:rsidR="00850F5E">
        <w:rPr>
          <w:b/>
          <w:sz w:val="28"/>
        </w:rPr>
        <w:t>Annexe </w:t>
      </w:r>
      <w:r w:rsidRPr="00FD3034">
        <w:rPr>
          <w:b/>
          <w:sz w:val="28"/>
        </w:rPr>
        <w:t>III</w:t>
      </w:r>
    </w:p>
    <w:p w:rsidR="003A2D14" w:rsidRPr="00FD3034" w:rsidRDefault="00850F5E" w:rsidP="00850F5E">
      <w:pPr>
        <w:pStyle w:val="HChG"/>
        <w:rPr>
          <w:i/>
          <w:lang w:eastAsia="ar-SA"/>
        </w:rPr>
      </w:pPr>
      <w:r>
        <w:tab/>
      </w:r>
      <w:r>
        <w:tab/>
      </w:r>
      <w:r w:rsidR="003A2D14" w:rsidRPr="00FD3034">
        <w:t>Projet de série 03 d</w:t>
      </w:r>
      <w:r w:rsidR="006B6352">
        <w:t>’</w:t>
      </w:r>
      <w:r w:rsidR="003A2D14" w:rsidRPr="00FD3034">
        <w:t>amendements au Règlement n</w:t>
      </w:r>
      <w:r w:rsidR="003A2D14" w:rsidRPr="00FD3034">
        <w:rPr>
          <w:vertAlign w:val="superscript"/>
        </w:rPr>
        <w:t>o </w:t>
      </w:r>
      <w:r>
        <w:t>118 (par. </w:t>
      </w:r>
      <w:r w:rsidR="003A2D14" w:rsidRPr="00FD3034">
        <w:t>40) (annule et remplace le document ECE/TRANS/WP.29/GRSG/2016/24)</w:t>
      </w:r>
    </w:p>
    <w:p w:rsidR="003A2D14" w:rsidRPr="00850F5E" w:rsidRDefault="003A2D14" w:rsidP="00850F5E">
      <w:pPr>
        <w:pStyle w:val="SingleTxtG"/>
        <w:keepNext/>
        <w:keepLines/>
        <w:rPr>
          <w:i/>
          <w:lang w:eastAsia="ar-SA"/>
        </w:rPr>
      </w:pPr>
      <w:r w:rsidRPr="00850F5E">
        <w:rPr>
          <w:i/>
          <w:lang w:eastAsia="ar-SA"/>
        </w:rPr>
        <w:t>Table des matières</w:t>
      </w:r>
    </w:p>
    <w:p w:rsidR="003A2D14" w:rsidRPr="00FD3034" w:rsidRDefault="00850F5E" w:rsidP="00850F5E">
      <w:pPr>
        <w:pStyle w:val="SingleTxtG"/>
        <w:keepNext/>
        <w:keepLines/>
        <w:rPr>
          <w:lang w:eastAsia="ar-SA"/>
        </w:rPr>
      </w:pPr>
      <w:r>
        <w:rPr>
          <w:i/>
          <w:lang w:eastAsia="ar-SA"/>
        </w:rPr>
        <w:t>Point </w:t>
      </w:r>
      <w:r w:rsidR="003A2D14" w:rsidRPr="00FD3034">
        <w:rPr>
          <w:i/>
          <w:lang w:eastAsia="ar-SA"/>
        </w:rPr>
        <w:t>5</w:t>
      </w:r>
      <w:r w:rsidR="003A2D14" w:rsidRPr="00850F5E">
        <w:t>,</w:t>
      </w:r>
      <w:r w:rsidR="003A2D14" w:rsidRPr="00FD3034">
        <w:rPr>
          <w:lang w:eastAsia="ar-SA"/>
        </w:rPr>
        <w:t xml:space="preserve"> modifier comme suit :</w:t>
      </w:r>
    </w:p>
    <w:p w:rsidR="003A2D14" w:rsidRPr="00FD3034" w:rsidRDefault="003A2D14" w:rsidP="00850F5E">
      <w:pPr>
        <w:pStyle w:val="SingleTxtG"/>
        <w:ind w:left="2268" w:hanging="1134"/>
      </w:pPr>
      <w:r w:rsidRPr="00FD3034">
        <w:t>« 5.</w:t>
      </w:r>
      <w:r w:rsidRPr="00FD3034">
        <w:tab/>
        <w:t>Première Partie : Homologation d</w:t>
      </w:r>
      <w:r w:rsidR="006B6352">
        <w:t>’</w:t>
      </w:r>
      <w:r w:rsidRPr="00FD3034">
        <w:t xml:space="preserve">un type de véhicule en ce qui concerne le comportement au feu des éléments présents dans le compartiment intérieur, dans le compartiment moteur et dans tout compartiment de chauffage séparé, ainsi que des câbles électriques et </w:t>
      </w:r>
      <w:r w:rsidRPr="00FD3034">
        <w:rPr>
          <w:b/>
        </w:rPr>
        <w:t xml:space="preserve">des manchons et gaines de câbles électriques </w:t>
      </w:r>
      <w:r w:rsidRPr="00FD3034">
        <w:t>utilisés dans le véhicule,</w:t>
      </w:r>
      <w:r w:rsidRPr="00FD3034">
        <w:rPr>
          <w:b/>
        </w:rPr>
        <w:t xml:space="preserve"> </w:t>
      </w:r>
      <w:r w:rsidRPr="00FD3034">
        <w:t>et/ou l</w:t>
      </w:r>
      <w:r w:rsidR="006B6352">
        <w:t>’</w:t>
      </w:r>
      <w:r w:rsidRPr="00FD3034">
        <w:t>imperméabilité aux carburants ou aux lubrifiants des matériaux d</w:t>
      </w:r>
      <w:r w:rsidR="006B6352">
        <w:t>’</w:t>
      </w:r>
      <w:r w:rsidRPr="00FD3034">
        <w:t>isolation utilisés dans le compartiment moteur et dans tout c</w:t>
      </w:r>
      <w:r w:rsidR="00850F5E">
        <w:t>ompartiment de chauffage séparé</w:t>
      </w:r>
      <w:r w:rsidRPr="00FD3034">
        <w:t> ».</w:t>
      </w:r>
    </w:p>
    <w:p w:rsidR="003A2D14" w:rsidRPr="00FD3034" w:rsidRDefault="003A2D14" w:rsidP="00850F5E">
      <w:pPr>
        <w:pStyle w:val="SingleTxtG"/>
        <w:keepNext/>
        <w:keepLines/>
      </w:pPr>
      <w:r w:rsidRPr="00FD3034">
        <w:rPr>
          <w:i/>
          <w:lang w:eastAsia="ar-SA"/>
        </w:rPr>
        <w:t>Annexes</w:t>
      </w:r>
      <w:r w:rsidRPr="00FD3034">
        <w:rPr>
          <w:lang w:eastAsia="ar-SA"/>
        </w:rPr>
        <w:t xml:space="preserve">, </w:t>
      </w:r>
      <w:r w:rsidRPr="00FD3034">
        <w:t>ajouter une référence à la nouvelle annexe 10, libellée comme suit :</w:t>
      </w:r>
    </w:p>
    <w:p w:rsidR="003A2D14" w:rsidRPr="00FD3034" w:rsidRDefault="003A2D14" w:rsidP="00850F5E">
      <w:pPr>
        <w:pStyle w:val="SingleTxtG"/>
        <w:keepNext/>
        <w:keepLines/>
        <w:ind w:left="2268" w:hanging="1134"/>
      </w:pPr>
      <w:r w:rsidRPr="00FD3034">
        <w:t>« </w:t>
      </w:r>
      <w:r w:rsidRPr="00FD3034">
        <w:rPr>
          <w:b/>
          <w:bCs/>
        </w:rPr>
        <w:t>Annexe 10</w:t>
      </w:r>
      <w:r w:rsidRPr="00FD3034">
        <w:rPr>
          <w:b/>
          <w:bCs/>
        </w:rPr>
        <w:tab/>
        <w:t>Essai visant à déterminer la résistance des câbles électriques à la propagation des flammes</w:t>
      </w:r>
      <w:r w:rsidRPr="00FD3034">
        <w:t> ».</w:t>
      </w:r>
    </w:p>
    <w:p w:rsidR="003A2D14" w:rsidRPr="00FD3034" w:rsidRDefault="003A2D14" w:rsidP="00850F5E">
      <w:pPr>
        <w:pStyle w:val="SingleTxtG"/>
        <w:keepNext/>
        <w:keepLines/>
        <w:rPr>
          <w:iCs/>
          <w:lang w:eastAsia="ar-SA"/>
        </w:rPr>
      </w:pPr>
      <w:r w:rsidRPr="00FD3034">
        <w:rPr>
          <w:i/>
          <w:lang w:eastAsia="ar-SA"/>
        </w:rPr>
        <w:t>Paragraphe 1.2 (Champ d</w:t>
      </w:r>
      <w:r w:rsidR="006B6352">
        <w:rPr>
          <w:i/>
          <w:lang w:eastAsia="ar-SA"/>
        </w:rPr>
        <w:t>’</w:t>
      </w:r>
      <w:r w:rsidRPr="00FD3034">
        <w:rPr>
          <w:i/>
          <w:lang w:eastAsia="ar-SA"/>
        </w:rPr>
        <w:t>application),</w:t>
      </w:r>
      <w:r w:rsidRPr="00FD3034">
        <w:rPr>
          <w:iCs/>
          <w:lang w:eastAsia="ar-SA"/>
        </w:rPr>
        <w:t xml:space="preserve"> modifier comme suit :</w:t>
      </w:r>
    </w:p>
    <w:p w:rsidR="003A2D14" w:rsidRPr="00FD3034" w:rsidRDefault="003A2D14" w:rsidP="003A2D14">
      <w:pPr>
        <w:tabs>
          <w:tab w:val="left" w:pos="2268"/>
        </w:tabs>
        <w:spacing w:after="120" w:line="240" w:lineRule="auto"/>
        <w:ind w:left="2268" w:right="1134" w:hanging="1134"/>
        <w:jc w:val="both"/>
      </w:pPr>
      <w:r w:rsidRPr="00FD3034">
        <w:t>« 1.2</w:t>
      </w:r>
      <w:r w:rsidRPr="00FD3034">
        <w:tab/>
        <w:t>Première partie – Homologation d</w:t>
      </w:r>
      <w:r w:rsidR="006B6352">
        <w:t>’</w:t>
      </w:r>
      <w:r w:rsidRPr="00FD3034">
        <w:t>un type de véhicule en ce qui concerne le comportement au feu et/ou l</w:t>
      </w:r>
      <w:r w:rsidR="006B6352">
        <w:t>’</w:t>
      </w:r>
      <w:r w:rsidRPr="00FD3034">
        <w:t xml:space="preserve">imperméabilité aux carburants ou aux lubrifiants des éléments présents dans le compartiment intérieur, dans le compartiment moteur et dans tout compartiment de chauffage séparé et en ce qui concerne le comportement au feu des câbles électriques </w:t>
      </w:r>
      <w:r w:rsidRPr="00FD3034">
        <w:rPr>
          <w:b/>
        </w:rPr>
        <w:t xml:space="preserve">et des manchons et gaines </w:t>
      </w:r>
      <w:r w:rsidRPr="00FD3034">
        <w:t>utilisés</w:t>
      </w:r>
      <w:r w:rsidRPr="00FD3034">
        <w:rPr>
          <w:b/>
        </w:rPr>
        <w:t xml:space="preserve"> pour protéger les câbles électriques </w:t>
      </w:r>
      <w:r w:rsidR="00850F5E">
        <w:t>dans le véhicule</w:t>
      </w:r>
      <w:r w:rsidRPr="00FD3034">
        <w:t> ».</w:t>
      </w:r>
    </w:p>
    <w:p w:rsidR="003A2D14" w:rsidRPr="00FD3034" w:rsidRDefault="003A2D14" w:rsidP="00850F5E">
      <w:pPr>
        <w:pStyle w:val="SingleTxtG"/>
        <w:keepNext/>
        <w:keepLines/>
      </w:pPr>
      <w:r w:rsidRPr="00FD3034">
        <w:rPr>
          <w:i/>
          <w:iCs/>
        </w:rPr>
        <w:t>Ajouter de nouvelles définitions 2.10 à 2.12</w:t>
      </w:r>
      <w:r w:rsidRPr="00FD3034">
        <w:t>, ainsi conçues :</w:t>
      </w:r>
    </w:p>
    <w:p w:rsidR="003A2D14" w:rsidRPr="00FD3034" w:rsidRDefault="003A2D14" w:rsidP="003A2D14">
      <w:pPr>
        <w:pStyle w:val="SingleTxtG"/>
        <w:ind w:left="2268" w:hanging="1134"/>
        <w:rPr>
          <w:b/>
        </w:rPr>
      </w:pPr>
      <w:r w:rsidRPr="00FD3034">
        <w:t>« </w:t>
      </w:r>
      <w:r w:rsidRPr="00FD3034">
        <w:rPr>
          <w:b/>
        </w:rPr>
        <w:t>2.10</w:t>
      </w:r>
      <w:r w:rsidRPr="00FD3034">
        <w:tab/>
      </w:r>
      <w:r w:rsidRPr="00FD3034">
        <w:rPr>
          <w:b/>
        </w:rPr>
        <w:t>«</w:t>
      </w:r>
      <w:r w:rsidR="001E2511">
        <w:rPr>
          <w:b/>
        </w:rPr>
        <w:t> </w:t>
      </w:r>
      <w:r w:rsidRPr="00FD3034">
        <w:rPr>
          <w:b/>
          <w:i/>
        </w:rPr>
        <w:t>Câble électrique</w:t>
      </w:r>
      <w:r w:rsidR="001E2511">
        <w:rPr>
          <w:b/>
          <w:i/>
        </w:rPr>
        <w:t> </w:t>
      </w:r>
      <w:r w:rsidRPr="00FD3034">
        <w:rPr>
          <w:b/>
          <w:iCs/>
        </w:rPr>
        <w:t>»</w:t>
      </w:r>
      <w:r w:rsidRPr="00FD3034">
        <w:rPr>
          <w:b/>
        </w:rPr>
        <w:t>, un câble à conducteur simple ou à conducteurs multiples, éventuellement gainé, blindé ou non blindé, deux conducteurs ou davantage disposés côte à côte, soudés, torsadés ou tressés, ou des conducteurs formant un ensemble unique, permettant le transfert de signaux électriques d</w:t>
      </w:r>
      <w:r w:rsidR="006B6352">
        <w:rPr>
          <w:b/>
        </w:rPr>
        <w:t>’</w:t>
      </w:r>
      <w:r w:rsidRPr="00FD3034">
        <w:rPr>
          <w:b/>
        </w:rPr>
        <w:t>un dispositif à un autre.</w:t>
      </w:r>
    </w:p>
    <w:p w:rsidR="003A2D14" w:rsidRPr="00FD3034" w:rsidRDefault="003A2D14" w:rsidP="003A2D14">
      <w:pPr>
        <w:pStyle w:val="SingleTxtG"/>
        <w:ind w:left="2268" w:hanging="1134"/>
        <w:rPr>
          <w:b/>
        </w:rPr>
      </w:pPr>
      <w:r w:rsidRPr="00FD3034">
        <w:rPr>
          <w:b/>
        </w:rPr>
        <w:t>2.11</w:t>
      </w:r>
      <w:r w:rsidRPr="00FD3034">
        <w:tab/>
      </w:r>
      <w:r w:rsidRPr="00850F5E">
        <w:rPr>
          <w:b/>
        </w:rPr>
        <w:t>«</w:t>
      </w:r>
      <w:r w:rsidR="00850F5E" w:rsidRPr="00850F5E">
        <w:rPr>
          <w:b/>
        </w:rPr>
        <w:t> </w:t>
      </w:r>
      <w:r w:rsidRPr="00FD3034">
        <w:rPr>
          <w:b/>
          <w:i/>
        </w:rPr>
        <w:t>Gaine de câble</w:t>
      </w:r>
      <w:r w:rsidR="00850F5E">
        <w:rPr>
          <w:b/>
          <w:i/>
        </w:rPr>
        <w:t> </w:t>
      </w:r>
      <w:r w:rsidRPr="00FD3034">
        <w:rPr>
          <w:b/>
        </w:rPr>
        <w:t>», tout composant enveloppant plusieurs câbles à conducteur simple pour en faire un câble multiconducteurs ou un faisceau électrique.</w:t>
      </w:r>
    </w:p>
    <w:p w:rsidR="003A2D14" w:rsidRPr="00FD3034" w:rsidRDefault="003A2D14" w:rsidP="003A2D14">
      <w:pPr>
        <w:pStyle w:val="SingleTxtG"/>
        <w:ind w:left="2268" w:hanging="1134"/>
      </w:pPr>
      <w:r w:rsidRPr="00FD3034">
        <w:rPr>
          <w:b/>
        </w:rPr>
        <w:t>2.12</w:t>
      </w:r>
      <w:r w:rsidRPr="00FD3034">
        <w:tab/>
      </w:r>
      <w:r w:rsidRPr="00FD3034">
        <w:rPr>
          <w:b/>
        </w:rPr>
        <w:t>«</w:t>
      </w:r>
      <w:r w:rsidR="00850F5E">
        <w:rPr>
          <w:b/>
        </w:rPr>
        <w:t> </w:t>
      </w:r>
      <w:r w:rsidRPr="00FD3034">
        <w:rPr>
          <w:b/>
          <w:i/>
        </w:rPr>
        <w:t>Manchon de câble</w:t>
      </w:r>
      <w:r w:rsidR="00850F5E">
        <w:rPr>
          <w:b/>
          <w:i/>
        </w:rPr>
        <w:t> </w:t>
      </w:r>
      <w:r w:rsidRPr="00FD3034">
        <w:rPr>
          <w:b/>
        </w:rPr>
        <w:t>», tout composant recouvrant des câbles électriques pour les guider ou les acheminer (tubes, gaines, conduits, par exemple), ou encore les fixer au véhicule</w:t>
      </w:r>
      <w:r w:rsidRPr="00FD3034">
        <w:t> ».</w:t>
      </w:r>
    </w:p>
    <w:p w:rsidR="003A2D14" w:rsidRPr="00FD3034" w:rsidRDefault="003A2D14" w:rsidP="00850F5E">
      <w:pPr>
        <w:pStyle w:val="SingleTxtG"/>
        <w:keepNext/>
        <w:keepLines/>
        <w:rPr>
          <w:b/>
        </w:rPr>
      </w:pPr>
      <w:r w:rsidRPr="00FD3034">
        <w:rPr>
          <w:i/>
        </w:rPr>
        <w:t>Paragraphe 4.2</w:t>
      </w:r>
      <w:r w:rsidRPr="00850F5E">
        <w:t xml:space="preserve">, </w:t>
      </w:r>
      <w:r w:rsidRPr="00FD3034">
        <w:t>remplacer le chiffre « 02 » par « </w:t>
      </w:r>
      <w:r w:rsidRPr="00FD3034">
        <w:rPr>
          <w:b/>
        </w:rPr>
        <w:t>03</w:t>
      </w:r>
      <w:r w:rsidR="00850F5E">
        <w:t> » (2 </w:t>
      </w:r>
      <w:r w:rsidRPr="00FD3034">
        <w:t>fois).</w:t>
      </w:r>
    </w:p>
    <w:p w:rsidR="003A2D14" w:rsidRPr="00FD3034" w:rsidRDefault="003A2D14" w:rsidP="00850F5E">
      <w:pPr>
        <w:pStyle w:val="SingleTxtG"/>
        <w:keepNext/>
        <w:keepLines/>
        <w:rPr>
          <w:iCs/>
          <w:lang w:eastAsia="ar-SA"/>
        </w:rPr>
      </w:pPr>
      <w:r w:rsidRPr="00FD3034">
        <w:rPr>
          <w:i/>
          <w:lang w:eastAsia="ar-SA"/>
        </w:rPr>
        <w:t>Paragraphes 5.2.1 et 5.2.2</w:t>
      </w:r>
      <w:r w:rsidRPr="00850F5E">
        <w:t xml:space="preserve">, </w:t>
      </w:r>
      <w:r w:rsidRPr="00FD3034">
        <w:rPr>
          <w:iCs/>
          <w:lang w:eastAsia="ar-SA"/>
        </w:rPr>
        <w:t>modifier comme suit :</w:t>
      </w:r>
    </w:p>
    <w:p w:rsidR="003A2D14" w:rsidRPr="00FD3034" w:rsidRDefault="003A2D14" w:rsidP="003A2D14">
      <w:pPr>
        <w:tabs>
          <w:tab w:val="left" w:pos="2268"/>
          <w:tab w:val="right" w:leader="dot" w:pos="8505"/>
        </w:tabs>
        <w:spacing w:after="120"/>
        <w:ind w:left="2268" w:right="1134" w:hanging="1134"/>
        <w:jc w:val="both"/>
      </w:pPr>
      <w:r w:rsidRPr="00FD3034">
        <w:t>« 5.2.1</w:t>
      </w:r>
      <w:r w:rsidRPr="00FD3034">
        <w:tab/>
        <w:t>Les matériaux utilisés dans le compartiment intérieur et à 13 mm au maximum à l</w:t>
      </w:r>
      <w:r w:rsidR="006B6352">
        <w:t>’</w:t>
      </w:r>
      <w:r w:rsidRPr="00FD3034">
        <w:t xml:space="preserve">extérieur de celui-ci, dans le compartiment moteur et dans tout compartiment de chauffage séparé ainsi que les câbles électriques </w:t>
      </w:r>
      <w:r w:rsidRPr="00FD3034">
        <w:rPr>
          <w:b/>
        </w:rPr>
        <w:t>et les manchons et gaines de câbles électriques</w:t>
      </w:r>
      <w:r w:rsidRPr="00FD3034">
        <w:t xml:space="preserve"> du véhicule soumis à l</w:t>
      </w:r>
      <w:r w:rsidR="006B6352">
        <w:t>’</w:t>
      </w:r>
      <w:r w:rsidRPr="00FD3034">
        <w:t>homologation de type doivent satisfaire aux prescriptions de la deuxième partie du présent Règlement.</w:t>
      </w:r>
    </w:p>
    <w:p w:rsidR="003A2D14" w:rsidRPr="00FD3034" w:rsidRDefault="003A2D14" w:rsidP="003A2D14">
      <w:pPr>
        <w:tabs>
          <w:tab w:val="left" w:pos="2268"/>
          <w:tab w:val="right" w:leader="dot" w:pos="8505"/>
        </w:tabs>
        <w:spacing w:after="120"/>
        <w:ind w:left="2268" w:right="1134" w:hanging="1134"/>
        <w:jc w:val="both"/>
      </w:pPr>
      <w:r w:rsidRPr="00FD3034">
        <w:t>5.2.2</w:t>
      </w:r>
      <w:r w:rsidRPr="00FD3034">
        <w:tab/>
        <w:t xml:space="preserve">Les matériaux et/ou les équipements utilisés dans le compartiment intérieur, le compartiment moteur et tout compartiment de chauffage séparé et/ou dans les composants homologués en tant que tels ainsi que les câbles électriques </w:t>
      </w:r>
      <w:r w:rsidRPr="00FD3034">
        <w:rPr>
          <w:b/>
        </w:rPr>
        <w:t xml:space="preserve">et les manchons et gaines de câbles électriques </w:t>
      </w:r>
      <w:r w:rsidRPr="00FD3034">
        <w:t>utilisés dans le véhicule doivent être installés de manière à réduire autant que possible le risque d</w:t>
      </w:r>
      <w:r w:rsidR="006B6352">
        <w:t>’</w:t>
      </w:r>
      <w:r w:rsidRPr="00FD3034">
        <w:t>inflammatio</w:t>
      </w:r>
      <w:r w:rsidR="00850F5E">
        <w:t>n et de propagation des flammes</w:t>
      </w:r>
      <w:r w:rsidRPr="00FD3034">
        <w:t> ».</w:t>
      </w:r>
    </w:p>
    <w:p w:rsidR="003A2D14" w:rsidRPr="00FD3034" w:rsidRDefault="003A2D14" w:rsidP="00850F5E">
      <w:pPr>
        <w:pStyle w:val="SingleTxtG"/>
        <w:keepNext/>
        <w:keepLines/>
        <w:rPr>
          <w:lang w:eastAsia="ar-SA"/>
        </w:rPr>
      </w:pPr>
      <w:r w:rsidRPr="00FD3034">
        <w:rPr>
          <w:i/>
          <w:lang w:eastAsia="ar-SA"/>
        </w:rPr>
        <w:t>Paragraphe 6.2.6</w:t>
      </w:r>
      <w:r w:rsidRPr="00850F5E">
        <w:t xml:space="preserve">, </w:t>
      </w:r>
      <w:r w:rsidRPr="00FD3034">
        <w:rPr>
          <w:lang w:eastAsia="ar-SA"/>
        </w:rPr>
        <w:t>modifier comme suit :</w:t>
      </w:r>
    </w:p>
    <w:p w:rsidR="003A2D14" w:rsidRPr="000D0ED4" w:rsidRDefault="003A2D14" w:rsidP="003A2D14">
      <w:pPr>
        <w:spacing w:after="120"/>
        <w:ind w:left="2268" w:right="1134" w:hanging="1134"/>
        <w:jc w:val="both"/>
      </w:pPr>
      <w:r w:rsidRPr="00FD3034">
        <w:t>« 6.2.6</w:t>
      </w:r>
      <w:r w:rsidRPr="00FD3034">
        <w:tab/>
        <w:t>Les câbles électriques d</w:t>
      </w:r>
      <w:r w:rsidR="006B6352">
        <w:t>’</w:t>
      </w:r>
      <w:r w:rsidRPr="00FD3034">
        <w:t xml:space="preserve">une </w:t>
      </w:r>
      <w:r w:rsidRPr="000D0ED4">
        <w:t>longueur supérieure à 100 mm utilisés dans le véhicule doivent être soumis à l</w:t>
      </w:r>
      <w:r w:rsidR="006B6352" w:rsidRPr="000D0ED4">
        <w:t>’</w:t>
      </w:r>
      <w:r w:rsidRPr="000D0ED4">
        <w:t xml:space="preserve">essai de résistance à la propagation des flammes décrit à </w:t>
      </w:r>
      <w:r w:rsidRPr="000D0ED4">
        <w:rPr>
          <w:b/>
        </w:rPr>
        <w:t>l</w:t>
      </w:r>
      <w:r w:rsidR="006B6352" w:rsidRPr="000D0ED4">
        <w:rPr>
          <w:b/>
        </w:rPr>
        <w:t>’</w:t>
      </w:r>
      <w:r w:rsidRPr="000D0ED4">
        <w:rPr>
          <w:b/>
        </w:rPr>
        <w:t>annexe 10 du présent Règlement. Il est possible de remplacer cette procédure d</w:t>
      </w:r>
      <w:r w:rsidR="006B6352" w:rsidRPr="000D0ED4">
        <w:rPr>
          <w:b/>
        </w:rPr>
        <w:t>’</w:t>
      </w:r>
      <w:r w:rsidRPr="000D0ED4">
        <w:rPr>
          <w:b/>
        </w:rPr>
        <w:t xml:space="preserve">essai </w:t>
      </w:r>
      <w:r w:rsidR="00850F5E" w:rsidRPr="000D0ED4">
        <w:rPr>
          <w:b/>
        </w:rPr>
        <w:t>par celle décrite au paragraphe </w:t>
      </w:r>
      <w:r w:rsidRPr="000D0ED4">
        <w:rPr>
          <w:b/>
        </w:rPr>
        <w:t>5.2</w:t>
      </w:r>
      <w:r w:rsidR="00850F5E" w:rsidRPr="000D0ED4">
        <w:rPr>
          <w:b/>
        </w:rPr>
        <w:t>2 de la norme ISO </w:t>
      </w:r>
      <w:r w:rsidRPr="000D0ED4">
        <w:rPr>
          <w:b/>
        </w:rPr>
        <w:t>6722-1:2011. Les procès-verbaux d</w:t>
      </w:r>
      <w:r w:rsidR="006B6352" w:rsidRPr="000D0ED4">
        <w:rPr>
          <w:b/>
        </w:rPr>
        <w:t>’</w:t>
      </w:r>
      <w:r w:rsidRPr="000D0ED4">
        <w:rPr>
          <w:b/>
        </w:rPr>
        <w:t>essais et les homologations d</w:t>
      </w:r>
      <w:r w:rsidR="006B6352" w:rsidRPr="000D0ED4">
        <w:rPr>
          <w:b/>
        </w:rPr>
        <w:t>’</w:t>
      </w:r>
      <w:r w:rsidRPr="000D0ED4">
        <w:rPr>
          <w:b/>
        </w:rPr>
        <w:t>éléments délivrées en vertu du paragraphe 12 de la norme ISO 6722:2006 restent valables</w:t>
      </w:r>
      <w:r w:rsidRPr="000D0ED4">
        <w:t xml:space="preserve">. </w:t>
      </w:r>
    </w:p>
    <w:p w:rsidR="003A2D14" w:rsidRPr="000D0ED4" w:rsidRDefault="003A2D14" w:rsidP="003A2D14">
      <w:pPr>
        <w:spacing w:after="120"/>
        <w:ind w:left="2268" w:right="1134"/>
        <w:jc w:val="both"/>
      </w:pPr>
      <w:r w:rsidRPr="000D0ED4">
        <w:t>L</w:t>
      </w:r>
      <w:r w:rsidR="006B6352" w:rsidRPr="000D0ED4">
        <w:t>’</w:t>
      </w:r>
      <w:r w:rsidRPr="000D0ED4">
        <w:t>exposition aux flammes lors de l</w:t>
      </w:r>
      <w:r w:rsidR="006B6352" w:rsidRPr="000D0ED4">
        <w:t>’</w:t>
      </w:r>
      <w:r w:rsidRPr="000D0ED4">
        <w:t>essai doit prendre fin</w:t>
      </w:r>
      <w:r w:rsidRPr="000D0ED4">
        <w:rPr>
          <w:b/>
        </w:rPr>
        <w:t> </w:t>
      </w:r>
      <w:r w:rsidRPr="000D0ED4">
        <w:t>:</w:t>
      </w:r>
    </w:p>
    <w:p w:rsidR="003A2D14" w:rsidRPr="000D0ED4" w:rsidRDefault="003A2D14" w:rsidP="003A2D14">
      <w:pPr>
        <w:spacing w:after="120"/>
        <w:ind w:left="2835" w:right="1134" w:hanging="567"/>
        <w:jc w:val="both"/>
        <w:rPr>
          <w:b/>
          <w:bCs/>
        </w:rPr>
      </w:pPr>
      <w:r w:rsidRPr="000D0ED4">
        <w:rPr>
          <w:b/>
          <w:bCs/>
        </w:rPr>
        <w:t>1)</w:t>
      </w:r>
      <w:r w:rsidRPr="000D0ED4">
        <w:rPr>
          <w:b/>
          <w:bCs/>
        </w:rPr>
        <w:tab/>
        <w:t>Pour les câbles à conducteur simple :</w:t>
      </w:r>
    </w:p>
    <w:p w:rsidR="003A2D14" w:rsidRPr="00FD3034" w:rsidRDefault="003A2D14" w:rsidP="003A2D14">
      <w:pPr>
        <w:spacing w:after="120"/>
        <w:ind w:left="3402" w:right="1134" w:hanging="567"/>
        <w:jc w:val="both"/>
      </w:pPr>
      <w:r w:rsidRPr="000D0ED4">
        <w:rPr>
          <w:b/>
        </w:rPr>
        <w:t>a)</w:t>
      </w:r>
      <w:r w:rsidRPr="000D0ED4">
        <w:rPr>
          <w:b/>
        </w:rPr>
        <w:tab/>
      </w:r>
      <w:r w:rsidRPr="000D0ED4">
        <w:t>Dès que le conducteur devient visible</w:t>
      </w:r>
      <w:r w:rsidRPr="00FD3034">
        <w:t xml:space="preserve"> ; ou </w:t>
      </w:r>
    </w:p>
    <w:p w:rsidR="003A2D14" w:rsidRPr="00FD3034" w:rsidRDefault="003A2D14" w:rsidP="003A2D14">
      <w:pPr>
        <w:spacing w:after="120"/>
        <w:ind w:left="3402" w:right="1134" w:hanging="567"/>
        <w:jc w:val="both"/>
      </w:pPr>
      <w:r w:rsidRPr="00FD3034">
        <w:rPr>
          <w:b/>
        </w:rPr>
        <w:t>b)</w:t>
      </w:r>
      <w:r w:rsidRPr="00FD3034">
        <w:rPr>
          <w:b/>
        </w:rPr>
        <w:tab/>
      </w:r>
      <w:r w:rsidRPr="00FD3034">
        <w:t xml:space="preserve">Après 15 s pour les câbles dont les conducteurs ont une taille </w:t>
      </w:r>
      <w:r w:rsidRPr="000F72D3">
        <w:rPr>
          <w:b/>
        </w:rPr>
        <w:t>inférieure</w:t>
      </w:r>
      <w:r w:rsidRPr="00FD3034">
        <w:t xml:space="preserve"> ou égale à 2,5 mm</w:t>
      </w:r>
      <w:r w:rsidRPr="00FD3034">
        <w:rPr>
          <w:vertAlign w:val="superscript"/>
        </w:rPr>
        <w:t>2</w:t>
      </w:r>
      <w:r w:rsidRPr="00FD3034">
        <w:t>, et</w:t>
      </w:r>
    </w:p>
    <w:p w:rsidR="003A2D14" w:rsidRPr="00FD3034" w:rsidRDefault="003A2D14" w:rsidP="003A2D14">
      <w:pPr>
        <w:spacing w:after="120"/>
        <w:ind w:left="3402" w:right="1134" w:hanging="567"/>
        <w:jc w:val="both"/>
      </w:pPr>
      <w:r w:rsidRPr="00FD3034">
        <w:rPr>
          <w:b/>
        </w:rPr>
        <w:t>c)</w:t>
      </w:r>
      <w:r w:rsidRPr="00FD3034">
        <w:rPr>
          <w:b/>
        </w:rPr>
        <w:tab/>
      </w:r>
      <w:r w:rsidRPr="000F72D3">
        <w:t xml:space="preserve">Après </w:t>
      </w:r>
      <w:r w:rsidRPr="00FD3034">
        <w:t>30 s pour les câbles dont les conducteurs ont une taille supérieure à 2,5 mm</w:t>
      </w:r>
      <w:r w:rsidRPr="00FD3034">
        <w:rPr>
          <w:vertAlign w:val="superscript"/>
        </w:rPr>
        <w:t>2</w:t>
      </w:r>
      <w:r w:rsidRPr="00FD3034">
        <w:t>,</w:t>
      </w:r>
    </w:p>
    <w:p w:rsidR="003A2D14" w:rsidRPr="00FD3034" w:rsidRDefault="003A2D14" w:rsidP="003A2D14">
      <w:pPr>
        <w:spacing w:after="120"/>
        <w:ind w:left="2835" w:right="1134" w:hanging="567"/>
        <w:jc w:val="both"/>
        <w:rPr>
          <w:b/>
        </w:rPr>
      </w:pPr>
      <w:r w:rsidRPr="00FD3034">
        <w:rPr>
          <w:b/>
        </w:rPr>
        <w:t>ou</w:t>
      </w:r>
    </w:p>
    <w:p w:rsidR="003A2D14" w:rsidRPr="00FD3034" w:rsidRDefault="003A2D14" w:rsidP="003A2D14">
      <w:pPr>
        <w:spacing w:after="120"/>
        <w:ind w:left="2835" w:right="1134" w:hanging="567"/>
        <w:jc w:val="both"/>
        <w:rPr>
          <w:b/>
        </w:rPr>
      </w:pPr>
      <w:r w:rsidRPr="00FD3034">
        <w:rPr>
          <w:b/>
        </w:rPr>
        <w:t>2)</w:t>
      </w:r>
      <w:r w:rsidRPr="00FD3034">
        <w:tab/>
      </w:r>
      <w:r w:rsidRPr="00FD3034">
        <w:rPr>
          <w:b/>
        </w:rPr>
        <w:t>Pour les câbles à conducteur simple ou à conducteurs multiples gainés, blindés et non blindés dont la somme de la taille des conducteurs est inférieure ou égale à 15 mm</w:t>
      </w:r>
      <w:r w:rsidRPr="00FD3034">
        <w:rPr>
          <w:b/>
          <w:vertAlign w:val="superscript"/>
        </w:rPr>
        <w:t>2</w:t>
      </w:r>
      <w:r w:rsidRPr="00FD3034">
        <w:rPr>
          <w:b/>
        </w:rPr>
        <w:t> :</w:t>
      </w:r>
    </w:p>
    <w:p w:rsidR="003A2D14" w:rsidRPr="00FD3034" w:rsidRDefault="003A2D14" w:rsidP="003A2D14">
      <w:pPr>
        <w:spacing w:after="120"/>
        <w:ind w:left="3402" w:right="1134" w:hanging="567"/>
        <w:jc w:val="both"/>
        <w:rPr>
          <w:b/>
        </w:rPr>
      </w:pPr>
      <w:r w:rsidRPr="00FD3034">
        <w:rPr>
          <w:b/>
        </w:rPr>
        <w:t>a)</w:t>
      </w:r>
      <w:r w:rsidRPr="00FD3034">
        <w:rPr>
          <w:b/>
        </w:rPr>
        <w:tab/>
        <w:t>Jusqu</w:t>
      </w:r>
      <w:r w:rsidR="006B6352">
        <w:rPr>
          <w:b/>
        </w:rPr>
        <w:t>’</w:t>
      </w:r>
      <w:r w:rsidRPr="00FD3034">
        <w:rPr>
          <w:b/>
        </w:rPr>
        <w:t>à ce que l</w:t>
      </w:r>
      <w:r w:rsidR="006B6352">
        <w:rPr>
          <w:b/>
        </w:rPr>
        <w:t>’</w:t>
      </w:r>
      <w:r w:rsidRPr="00FD3034">
        <w:rPr>
          <w:b/>
        </w:rPr>
        <w:t>un des conducteurs devienne visible ou au bout de 30 s pour tous les câbles, si aucun ne devient visible,</w:t>
      </w:r>
    </w:p>
    <w:p w:rsidR="003A2D14" w:rsidRPr="00FD3034" w:rsidRDefault="003A2D14" w:rsidP="003A2D14">
      <w:pPr>
        <w:keepNext/>
        <w:spacing w:after="120"/>
        <w:ind w:left="2268" w:right="1134"/>
        <w:jc w:val="both"/>
        <w:rPr>
          <w:b/>
        </w:rPr>
      </w:pPr>
      <w:r w:rsidRPr="00FD3034">
        <w:rPr>
          <w:b/>
        </w:rPr>
        <w:t>ou</w:t>
      </w:r>
    </w:p>
    <w:p w:rsidR="003A2D14" w:rsidRPr="00FD3034" w:rsidRDefault="003A2D14" w:rsidP="003A2D14">
      <w:pPr>
        <w:spacing w:after="120"/>
        <w:ind w:left="2835" w:right="1134" w:hanging="567"/>
        <w:jc w:val="both"/>
        <w:rPr>
          <w:b/>
        </w:rPr>
      </w:pPr>
      <w:r w:rsidRPr="00FD3034">
        <w:rPr>
          <w:b/>
        </w:rPr>
        <w:t>3)</w:t>
      </w:r>
      <w:r w:rsidRPr="00FD3034">
        <w:tab/>
      </w:r>
      <w:r w:rsidRPr="00FD3034">
        <w:rPr>
          <w:b/>
        </w:rPr>
        <w:t>Pour les câbles à conducteur simple ou à conducteurs multiples gainés, blindés ou non blindés dont la somme de la taille des conducteurs est supérieure à 15 mm</w:t>
      </w:r>
      <w:r w:rsidRPr="00FD3034">
        <w:rPr>
          <w:b/>
          <w:vertAlign w:val="superscript"/>
        </w:rPr>
        <w:t>2</w:t>
      </w:r>
      <w:r w:rsidRPr="00FD3034">
        <w:rPr>
          <w:b/>
        </w:rPr>
        <w:t> :</w:t>
      </w:r>
    </w:p>
    <w:p w:rsidR="003A2D14" w:rsidRPr="00FD3034" w:rsidRDefault="003A2D14" w:rsidP="003A2D14">
      <w:pPr>
        <w:spacing w:after="120"/>
        <w:ind w:left="3402" w:right="1134" w:hanging="567"/>
        <w:jc w:val="both"/>
        <w:rPr>
          <w:b/>
        </w:rPr>
      </w:pPr>
      <w:r w:rsidRPr="00FD3034">
        <w:rPr>
          <w:b/>
        </w:rPr>
        <w:t>a)</w:t>
      </w:r>
      <w:r w:rsidRPr="00FD3034">
        <w:rPr>
          <w:b/>
        </w:rPr>
        <w:tab/>
        <w:t>Conformément aux dispositions de l</w:t>
      </w:r>
      <w:r w:rsidR="006B6352">
        <w:rPr>
          <w:b/>
        </w:rPr>
        <w:t>’</w:t>
      </w:r>
      <w:r w:rsidRPr="00FD3034">
        <w:rPr>
          <w:b/>
        </w:rPr>
        <w:t>alinéa 1) ou de l</w:t>
      </w:r>
      <w:r w:rsidR="006B6352">
        <w:rPr>
          <w:b/>
        </w:rPr>
        <w:t>’</w:t>
      </w:r>
      <w:r w:rsidRPr="00FD3034">
        <w:rPr>
          <w:b/>
        </w:rPr>
        <w:t xml:space="preserve">alinéa 2), selon le cas. </w:t>
      </w:r>
    </w:p>
    <w:p w:rsidR="003A2D14" w:rsidRPr="00FD3034" w:rsidRDefault="003A2D14" w:rsidP="003A2D14">
      <w:pPr>
        <w:spacing w:after="120"/>
        <w:ind w:left="2268" w:right="1134"/>
        <w:jc w:val="both"/>
        <w:rPr>
          <w:b/>
        </w:rPr>
      </w:pPr>
      <w:r w:rsidRPr="00FD3034">
        <w:rPr>
          <w:b/>
        </w:rPr>
        <w:t>Les câbles électriques qui correspondent à la description de l</w:t>
      </w:r>
      <w:r w:rsidR="006B6352">
        <w:rPr>
          <w:b/>
        </w:rPr>
        <w:t>’</w:t>
      </w:r>
      <w:r w:rsidRPr="00FD3034">
        <w:rPr>
          <w:b/>
        </w:rPr>
        <w:t>alinéa 2) peuvent être soumis à l</w:t>
      </w:r>
      <w:r w:rsidR="006B6352">
        <w:rPr>
          <w:b/>
        </w:rPr>
        <w:t>’</w:t>
      </w:r>
      <w:r w:rsidRPr="00FD3034">
        <w:rPr>
          <w:b/>
        </w:rPr>
        <w:t>essai soit de manière groupée soit séparément.</w:t>
      </w:r>
    </w:p>
    <w:p w:rsidR="003A2D14" w:rsidRPr="00FD3034" w:rsidRDefault="003A2D14" w:rsidP="003A2D14">
      <w:pPr>
        <w:spacing w:after="120"/>
        <w:ind w:left="2268" w:right="1134"/>
        <w:jc w:val="both"/>
        <w:rPr>
          <w:b/>
        </w:rPr>
      </w:pPr>
      <w:r w:rsidRPr="00FD3034">
        <w:rPr>
          <w:b/>
        </w:rPr>
        <w:t>Les câbles électriques qui correspondent à la description de l</w:t>
      </w:r>
      <w:r w:rsidR="006B6352">
        <w:rPr>
          <w:b/>
        </w:rPr>
        <w:t>’</w:t>
      </w:r>
      <w:r w:rsidRPr="00FD3034">
        <w:rPr>
          <w:b/>
        </w:rPr>
        <w:t>alinéa 3) doivent être soumis à l</w:t>
      </w:r>
      <w:r w:rsidR="006B6352">
        <w:rPr>
          <w:b/>
        </w:rPr>
        <w:t>’</w:t>
      </w:r>
      <w:r w:rsidRPr="00FD3034">
        <w:rPr>
          <w:b/>
        </w:rPr>
        <w:t>essai séparément.</w:t>
      </w:r>
    </w:p>
    <w:p w:rsidR="003A2D14" w:rsidRPr="00FD3034" w:rsidRDefault="003A2D14" w:rsidP="003A2D14">
      <w:pPr>
        <w:spacing w:after="120"/>
        <w:ind w:left="2268" w:right="1134"/>
        <w:jc w:val="both"/>
      </w:pPr>
      <w:r w:rsidRPr="00FD3034">
        <w:t>Le résultat de l</w:t>
      </w:r>
      <w:r w:rsidR="006B6352">
        <w:t>’</w:t>
      </w:r>
      <w:r w:rsidRPr="00FD3034">
        <w:t>essai est considéré comme satisfaisant si, compte tenu du plus mauvais résultat, toute flamme de combustion du matériau isolant s</w:t>
      </w:r>
      <w:r w:rsidR="006B6352">
        <w:t>’</w:t>
      </w:r>
      <w:r w:rsidRPr="00FD3034">
        <w:t>éteint dans les 70 s et si au moins 50 mm d</w:t>
      </w:r>
      <w:r w:rsidR="006B6352">
        <w:t>’</w:t>
      </w:r>
      <w:r w:rsidRPr="00FD3034">
        <w:t>isolant au sommet de l</w:t>
      </w:r>
      <w:r w:rsidR="006B6352">
        <w:t>’</w:t>
      </w:r>
      <w:r w:rsidRPr="00FD3034">
        <w:t>échantillon d</w:t>
      </w:r>
      <w:r w:rsidR="006B6352">
        <w:t>’</w:t>
      </w:r>
      <w:r w:rsidRPr="00FD3034">
        <w:t>essai n</w:t>
      </w:r>
      <w:r w:rsidR="006B6352">
        <w:t>’</w:t>
      </w:r>
      <w:r w:rsidRPr="00FD3034">
        <w:t>ont pas brûlé ».</w:t>
      </w:r>
    </w:p>
    <w:p w:rsidR="003A2D14" w:rsidRPr="00FD3034" w:rsidRDefault="003A2D14" w:rsidP="00850F5E">
      <w:pPr>
        <w:pStyle w:val="SingleTxtG"/>
        <w:keepNext/>
        <w:keepLines/>
        <w:rPr>
          <w:lang w:eastAsia="ar-SA"/>
        </w:rPr>
      </w:pPr>
      <w:r w:rsidRPr="00FD3034">
        <w:rPr>
          <w:i/>
          <w:lang w:eastAsia="ar-SA"/>
        </w:rPr>
        <w:t>Ajouter un nouveau paragraphe 6.2.7</w:t>
      </w:r>
      <w:r w:rsidRPr="00FD3034">
        <w:rPr>
          <w:lang w:eastAsia="ar-SA"/>
        </w:rPr>
        <w:t>, ainsi conçu :</w:t>
      </w:r>
    </w:p>
    <w:p w:rsidR="003A2D14" w:rsidRPr="00FD3034" w:rsidRDefault="003A2D14" w:rsidP="003A2D14">
      <w:pPr>
        <w:tabs>
          <w:tab w:val="left" w:pos="1560"/>
          <w:tab w:val="left" w:pos="2835"/>
          <w:tab w:val="left" w:pos="8505"/>
        </w:tabs>
        <w:spacing w:before="120" w:after="120" w:line="240" w:lineRule="auto"/>
        <w:ind w:left="2268" w:right="1134" w:hanging="1134"/>
        <w:jc w:val="both"/>
        <w:rPr>
          <w:b/>
        </w:rPr>
      </w:pPr>
      <w:r w:rsidRPr="00FD3034">
        <w:t>« </w:t>
      </w:r>
      <w:r w:rsidRPr="00FD3034">
        <w:rPr>
          <w:b/>
        </w:rPr>
        <w:t>6.2.7</w:t>
      </w:r>
      <w:r w:rsidRPr="00FD3034">
        <w:rPr>
          <w:b/>
        </w:rPr>
        <w:tab/>
        <w:t>Tous les manchons et gaines de câbles dont la longueur dépasse 100 mm doivent être soumis à l</w:t>
      </w:r>
      <w:r w:rsidR="006B6352">
        <w:rPr>
          <w:b/>
        </w:rPr>
        <w:t>’</w:t>
      </w:r>
      <w:r w:rsidRPr="00FD3034">
        <w:rPr>
          <w:b/>
        </w:rPr>
        <w:t>essai visant à déterminer la vitesse de combustion des matériaux décrit à l</w:t>
      </w:r>
      <w:r w:rsidR="006B6352">
        <w:rPr>
          <w:b/>
        </w:rPr>
        <w:t>’</w:t>
      </w:r>
      <w:r w:rsidRPr="00FD3034">
        <w:rPr>
          <w:b/>
        </w:rPr>
        <w:t>annexe 8. Le résultat de l</w:t>
      </w:r>
      <w:r w:rsidR="006B6352">
        <w:rPr>
          <w:b/>
        </w:rPr>
        <w:t>’</w:t>
      </w:r>
      <w:r w:rsidRPr="00FD3034">
        <w:rPr>
          <w:b/>
        </w:rPr>
        <w:t>essai est considéré comme satisfaisant si, compte tenu des plus mauvais résultats, la vitesse de combustion verticale ne dépasse pas 100 millimètres par minute ou si la flamme s</w:t>
      </w:r>
      <w:r w:rsidR="006B6352">
        <w:rPr>
          <w:b/>
        </w:rPr>
        <w:t>’</w:t>
      </w:r>
      <w:r w:rsidRPr="00FD3034">
        <w:rPr>
          <w:b/>
        </w:rPr>
        <w:t>éteint avant que l</w:t>
      </w:r>
      <w:r w:rsidR="006B6352">
        <w:rPr>
          <w:b/>
        </w:rPr>
        <w:t>’</w:t>
      </w:r>
      <w:r w:rsidRPr="00FD3034">
        <w:rPr>
          <w:b/>
        </w:rPr>
        <w:t>un des premiers fils repères soit détruit</w:t>
      </w:r>
      <w:r w:rsidRPr="00FD3034">
        <w:t> ».</w:t>
      </w:r>
    </w:p>
    <w:p w:rsidR="003A2D14" w:rsidRPr="00FD3034" w:rsidRDefault="003A2D14" w:rsidP="003A2D14">
      <w:pPr>
        <w:tabs>
          <w:tab w:val="left" w:pos="2835"/>
          <w:tab w:val="left" w:pos="8505"/>
        </w:tabs>
        <w:spacing w:before="120" w:after="120" w:line="240" w:lineRule="auto"/>
        <w:ind w:left="2268" w:right="1134" w:hanging="1134"/>
        <w:jc w:val="both"/>
        <w:rPr>
          <w:lang w:eastAsia="ar-SA"/>
        </w:rPr>
      </w:pPr>
      <w:r w:rsidRPr="00FD3034">
        <w:rPr>
          <w:i/>
          <w:lang w:eastAsia="ar-SA"/>
        </w:rPr>
        <w:t>Les paragraphes 6.2.7 à 6.2.7.3</w:t>
      </w:r>
      <w:r w:rsidRPr="00FD3034">
        <w:rPr>
          <w:lang w:eastAsia="ar-SA"/>
        </w:rPr>
        <w:t xml:space="preserve"> deviennent les paragraphes 6.2.8 à 6.2.8.3.</w:t>
      </w:r>
    </w:p>
    <w:p w:rsidR="003A2D14" w:rsidRPr="00FD3034" w:rsidRDefault="003A2D14" w:rsidP="00850F5E">
      <w:pPr>
        <w:pStyle w:val="SingleTxtG"/>
        <w:keepNext/>
        <w:keepLines/>
        <w:rPr>
          <w:i/>
        </w:rPr>
      </w:pPr>
      <w:r w:rsidRPr="00FD3034">
        <w:rPr>
          <w:i/>
          <w:lang w:eastAsia="ar-SA"/>
        </w:rPr>
        <w:t>Le paragraphe</w:t>
      </w:r>
      <w:r w:rsidRPr="00FD3034">
        <w:rPr>
          <w:lang w:eastAsia="ar-SA"/>
        </w:rPr>
        <w:t xml:space="preserve"> </w:t>
      </w:r>
      <w:r w:rsidRPr="00FD3034">
        <w:rPr>
          <w:i/>
        </w:rPr>
        <w:t xml:space="preserve">6.2.7.4 </w:t>
      </w:r>
      <w:r w:rsidRPr="00FD3034">
        <w:t>devient le paragraphe 6.2.8.4 et son libellé est modifié comme suit :</w:t>
      </w:r>
    </w:p>
    <w:p w:rsidR="003A2D14" w:rsidRPr="00FD3034" w:rsidRDefault="003A2D14" w:rsidP="003A2D14">
      <w:pPr>
        <w:tabs>
          <w:tab w:val="left" w:pos="2835"/>
          <w:tab w:val="left" w:pos="8505"/>
        </w:tabs>
        <w:spacing w:before="120" w:after="120" w:line="240" w:lineRule="auto"/>
        <w:ind w:left="2268" w:right="1134" w:hanging="1134"/>
        <w:jc w:val="both"/>
      </w:pPr>
      <w:r w:rsidRPr="00FD3034">
        <w:t>« 6.2.8.4</w:t>
      </w:r>
      <w:r w:rsidRPr="00FD3034">
        <w:tab/>
        <w:t>Les éléments dont il est impossible d</w:t>
      </w:r>
      <w:r w:rsidR="006B6352">
        <w:t>’</w:t>
      </w:r>
      <w:r w:rsidRPr="00FD3034">
        <w:t>extraire un échantillon aux dimensions prescrites au paragraphe</w:t>
      </w:r>
      <w:r w:rsidR="000F72D3">
        <w:t> </w:t>
      </w:r>
      <w:r w:rsidRPr="00FD3034">
        <w:t xml:space="preserve">3.1 </w:t>
      </w:r>
      <w:r w:rsidRPr="00FD3034">
        <w:rPr>
          <w:b/>
        </w:rPr>
        <w:t>de l</w:t>
      </w:r>
      <w:r w:rsidR="006B6352">
        <w:rPr>
          <w:b/>
        </w:rPr>
        <w:t>’</w:t>
      </w:r>
      <w:r w:rsidR="000F72D3">
        <w:rPr>
          <w:b/>
        </w:rPr>
        <w:t>annexe </w:t>
      </w:r>
      <w:r w:rsidRPr="00FD3034">
        <w:rPr>
          <w:b/>
        </w:rPr>
        <w:t>6, et au paragraphe</w:t>
      </w:r>
      <w:r w:rsidR="000F72D3">
        <w:rPr>
          <w:b/>
        </w:rPr>
        <w:t> </w:t>
      </w:r>
      <w:r w:rsidRPr="00FD3034">
        <w:rPr>
          <w:b/>
        </w:rPr>
        <w:t xml:space="preserve">3 </w:t>
      </w:r>
      <w:r w:rsidRPr="00FD3034">
        <w:t>de l</w:t>
      </w:r>
      <w:r w:rsidR="006B6352">
        <w:t>’</w:t>
      </w:r>
      <w:r w:rsidRPr="00FD3034">
        <w:t>annexe 7 et au paragraphe 3.1 de l</w:t>
      </w:r>
      <w:r w:rsidR="006B6352">
        <w:t>’</w:t>
      </w:r>
      <w:r w:rsidR="000F72D3">
        <w:t>annexe 8</w:t>
      </w:r>
      <w:r w:rsidRPr="00FD3034">
        <w:t> ».</w:t>
      </w:r>
    </w:p>
    <w:p w:rsidR="003A2D14" w:rsidRPr="00FD3034" w:rsidRDefault="003A2D14" w:rsidP="00850F5E">
      <w:pPr>
        <w:pStyle w:val="SingleTxtG"/>
        <w:keepNext/>
        <w:keepLines/>
        <w:rPr>
          <w:lang w:eastAsia="ar-SA"/>
        </w:rPr>
      </w:pPr>
      <w:r w:rsidRPr="00FD3034">
        <w:rPr>
          <w:i/>
          <w:lang w:eastAsia="ar-SA"/>
        </w:rPr>
        <w:t>Ajouter les nouveaux paragrap</w:t>
      </w:r>
      <w:r w:rsidR="000F72D3">
        <w:rPr>
          <w:i/>
          <w:lang w:eastAsia="ar-SA"/>
        </w:rPr>
        <w:t>hes 12.11 à 12.14</w:t>
      </w:r>
      <w:r w:rsidRPr="00FD3034">
        <w:rPr>
          <w:i/>
          <w:lang w:eastAsia="ar-SA"/>
        </w:rPr>
        <w:t xml:space="preserve"> (Dispositions transitoires)</w:t>
      </w:r>
      <w:r w:rsidRPr="00FD3034">
        <w:rPr>
          <w:lang w:eastAsia="ar-SA"/>
        </w:rPr>
        <w:t>, ainsi conçu :</w:t>
      </w:r>
    </w:p>
    <w:p w:rsidR="003A2D14" w:rsidRPr="00FD3034" w:rsidRDefault="003A2D14" w:rsidP="003A2D14">
      <w:pPr>
        <w:keepNext/>
        <w:keepLines/>
        <w:tabs>
          <w:tab w:val="left" w:pos="2268"/>
        </w:tabs>
        <w:spacing w:before="120" w:after="120" w:line="240" w:lineRule="auto"/>
        <w:ind w:left="2268" w:right="1134" w:hanging="1134"/>
        <w:jc w:val="both"/>
        <w:rPr>
          <w:b/>
        </w:rPr>
      </w:pPr>
      <w:r w:rsidRPr="00FD3034">
        <w:t>« </w:t>
      </w:r>
      <w:r w:rsidRPr="00FD3034">
        <w:rPr>
          <w:b/>
        </w:rPr>
        <w:t>12.11</w:t>
      </w:r>
      <w:r w:rsidRPr="00FD3034">
        <w:rPr>
          <w:b/>
        </w:rPr>
        <w:tab/>
        <w:t>À compter de la date officielle d</w:t>
      </w:r>
      <w:r w:rsidR="006B6352">
        <w:rPr>
          <w:b/>
        </w:rPr>
        <w:t>’</w:t>
      </w:r>
      <w:r w:rsidRPr="00FD3034">
        <w:rPr>
          <w:b/>
        </w:rPr>
        <w:t>entrée en vigueur de la série 03 d</w:t>
      </w:r>
      <w:r w:rsidR="006B6352">
        <w:rPr>
          <w:b/>
        </w:rPr>
        <w:t>’</w:t>
      </w:r>
      <w:r w:rsidRPr="00FD3034">
        <w:rPr>
          <w:b/>
        </w:rPr>
        <w:t>amendements, les Parties contractantes appliquant le présent Règlement ne peuvent refuser d</w:t>
      </w:r>
      <w:r w:rsidR="006B6352">
        <w:rPr>
          <w:b/>
        </w:rPr>
        <w:t>’</w:t>
      </w:r>
      <w:r w:rsidRPr="00FD3034">
        <w:rPr>
          <w:b/>
        </w:rPr>
        <w:t>accorder une homologation au titre du présent Règlement tel que modifié par la série 03 d</w:t>
      </w:r>
      <w:r w:rsidR="006B6352">
        <w:rPr>
          <w:b/>
        </w:rPr>
        <w:t>’</w:t>
      </w:r>
      <w:r w:rsidRPr="00FD3034">
        <w:rPr>
          <w:b/>
        </w:rPr>
        <w:t>amendements.</w:t>
      </w:r>
    </w:p>
    <w:p w:rsidR="003A2D14" w:rsidRPr="00FD3034" w:rsidRDefault="003A2D14" w:rsidP="003A2D14">
      <w:pPr>
        <w:tabs>
          <w:tab w:val="left" w:pos="2268"/>
        </w:tabs>
        <w:spacing w:before="120" w:after="120" w:line="240" w:lineRule="auto"/>
        <w:ind w:left="2268" w:right="1134" w:hanging="1134"/>
        <w:jc w:val="both"/>
        <w:rPr>
          <w:b/>
        </w:rPr>
      </w:pPr>
      <w:r w:rsidRPr="00FD3034">
        <w:rPr>
          <w:b/>
        </w:rPr>
        <w:t>12.12</w:t>
      </w:r>
      <w:r w:rsidRPr="00FD3034">
        <w:rPr>
          <w:b/>
        </w:rPr>
        <w:tab/>
        <w:t>À compter du 1</w:t>
      </w:r>
      <w:r w:rsidRPr="00FD3034">
        <w:rPr>
          <w:b/>
          <w:vertAlign w:val="superscript"/>
        </w:rPr>
        <w:t>er</w:t>
      </w:r>
      <w:r w:rsidRPr="00FD3034">
        <w:rPr>
          <w:b/>
        </w:rPr>
        <w:t> septembre 2019, les Parties contractantes appliquant le présent Règlement ne peuvent accorder des homologations que si le type de véhicule ou le type d</w:t>
      </w:r>
      <w:r w:rsidR="006B6352">
        <w:rPr>
          <w:b/>
        </w:rPr>
        <w:t>’</w:t>
      </w:r>
      <w:r w:rsidRPr="00FD3034">
        <w:rPr>
          <w:b/>
        </w:rPr>
        <w:t>élément à homologuer satisfait aux prescriptions du présent Règlement tel que modifié par la série 03 d</w:t>
      </w:r>
      <w:r w:rsidR="006B6352">
        <w:rPr>
          <w:b/>
        </w:rPr>
        <w:t>’</w:t>
      </w:r>
      <w:r w:rsidRPr="00FD3034">
        <w:rPr>
          <w:b/>
        </w:rPr>
        <w:t>amendements.</w:t>
      </w:r>
    </w:p>
    <w:p w:rsidR="003A2D14" w:rsidRPr="00FD3034" w:rsidRDefault="003A2D14" w:rsidP="003A2D14">
      <w:pPr>
        <w:tabs>
          <w:tab w:val="left" w:pos="2268"/>
        </w:tabs>
        <w:spacing w:before="120" w:after="120" w:line="240" w:lineRule="auto"/>
        <w:ind w:left="2268" w:right="1134" w:hanging="1134"/>
        <w:jc w:val="both"/>
        <w:rPr>
          <w:b/>
        </w:rPr>
      </w:pPr>
      <w:r w:rsidRPr="00FD3034">
        <w:rPr>
          <w:b/>
        </w:rPr>
        <w:t>12.13</w:t>
      </w:r>
      <w:r w:rsidRPr="00FD3034">
        <w:rPr>
          <w:b/>
        </w:rPr>
        <w:tab/>
        <w:t>À compter du 1</w:t>
      </w:r>
      <w:r w:rsidRPr="00FD3034">
        <w:rPr>
          <w:b/>
          <w:vertAlign w:val="superscript"/>
        </w:rPr>
        <w:t>er</w:t>
      </w:r>
      <w:r w:rsidRPr="00FD3034">
        <w:rPr>
          <w:b/>
        </w:rPr>
        <w:t> septembre 2021, les Parties contractantes appliquant le présent Règlement peuvent refuser une première immatriculation nationale ou régionale (première mise en circulation) à un véhicule qui ne satisfait pas aux prescriptions du présent Règlement tel que modifié par la série 03 d</w:t>
      </w:r>
      <w:r w:rsidR="006B6352">
        <w:rPr>
          <w:b/>
        </w:rPr>
        <w:t>’</w:t>
      </w:r>
      <w:r w:rsidRPr="00FD3034">
        <w:rPr>
          <w:b/>
        </w:rPr>
        <w:t>amendements.</w:t>
      </w:r>
    </w:p>
    <w:p w:rsidR="003A2D14" w:rsidRPr="00FD3034" w:rsidRDefault="003A2D14" w:rsidP="003A2D14">
      <w:pPr>
        <w:tabs>
          <w:tab w:val="left" w:pos="2268"/>
        </w:tabs>
        <w:spacing w:before="120" w:after="120" w:line="240" w:lineRule="auto"/>
        <w:ind w:left="2268" w:right="1134" w:hanging="1134"/>
        <w:jc w:val="both"/>
      </w:pPr>
      <w:r w:rsidRPr="00FD3034">
        <w:rPr>
          <w:b/>
        </w:rPr>
        <w:t>12.14</w:t>
      </w:r>
      <w:r w:rsidRPr="00FD3034">
        <w:rPr>
          <w:b/>
        </w:rPr>
        <w:tab/>
        <w:t>Même après l</w:t>
      </w:r>
      <w:r w:rsidR="006B6352">
        <w:rPr>
          <w:b/>
        </w:rPr>
        <w:t>’</w:t>
      </w:r>
      <w:r w:rsidRPr="00FD3034">
        <w:rPr>
          <w:b/>
        </w:rPr>
        <w:t>entrée en vigueur de la série 03 d</w:t>
      </w:r>
      <w:r w:rsidR="006B6352">
        <w:rPr>
          <w:b/>
        </w:rPr>
        <w:t>’</w:t>
      </w:r>
      <w:r w:rsidRPr="00FD3034">
        <w:rPr>
          <w:b/>
        </w:rPr>
        <w:t>amendements au présent Règlement, les homologations d</w:t>
      </w:r>
      <w:r w:rsidR="006B6352">
        <w:rPr>
          <w:b/>
        </w:rPr>
        <w:t>’</w:t>
      </w:r>
      <w:r w:rsidRPr="00FD3034">
        <w:rPr>
          <w:b/>
        </w:rPr>
        <w:t>éléments accordées au titre des précédentes séries d</w:t>
      </w:r>
      <w:r w:rsidR="006B6352">
        <w:rPr>
          <w:b/>
        </w:rPr>
        <w:t>’</w:t>
      </w:r>
      <w:r w:rsidRPr="00FD3034">
        <w:rPr>
          <w:b/>
        </w:rPr>
        <w:t>amendements au Règlement restent valables et les Parties contractantes appliquant le présent Règlement continuent à les accepter</w:t>
      </w:r>
      <w:r w:rsidRPr="00FD3034">
        <w:t> ».</w:t>
      </w:r>
    </w:p>
    <w:p w:rsidR="003A2D14" w:rsidRPr="00FD3034" w:rsidRDefault="000F72D3" w:rsidP="003A2D14">
      <w:pPr>
        <w:spacing w:before="120" w:after="120" w:line="240" w:lineRule="auto"/>
        <w:ind w:left="1134" w:right="1134"/>
        <w:jc w:val="both"/>
      </w:pPr>
      <w:r>
        <w:rPr>
          <w:i/>
        </w:rPr>
        <w:t>Annexe </w:t>
      </w:r>
      <w:r w:rsidR="003A2D14" w:rsidRPr="00FD3034">
        <w:rPr>
          <w:i/>
        </w:rPr>
        <w:t>5 (Exemples de marques d</w:t>
      </w:r>
      <w:r w:rsidR="006B6352">
        <w:rPr>
          <w:i/>
        </w:rPr>
        <w:t>’</w:t>
      </w:r>
      <w:r w:rsidR="003A2D14" w:rsidRPr="00FD3034">
        <w:rPr>
          <w:i/>
        </w:rPr>
        <w:t>homologation),</w:t>
      </w:r>
      <w:r w:rsidR="003A2D14" w:rsidRPr="00FD3034">
        <w:t xml:space="preserve"> remplacer le nombre « 02 » par « </w:t>
      </w:r>
      <w:r w:rsidR="003A2D14" w:rsidRPr="00FD3034">
        <w:rPr>
          <w:b/>
        </w:rPr>
        <w:t>03</w:t>
      </w:r>
      <w:r w:rsidR="003A2D14" w:rsidRPr="00FD3034">
        <w:t> » (deux fois).</w:t>
      </w:r>
    </w:p>
    <w:p w:rsidR="003A2D14" w:rsidRPr="00FD3034" w:rsidRDefault="000F72D3" w:rsidP="00850F5E">
      <w:pPr>
        <w:pStyle w:val="SingleTxtG"/>
        <w:keepNext/>
        <w:keepLines/>
        <w:rPr>
          <w:lang w:eastAsia="ar-SA"/>
        </w:rPr>
      </w:pPr>
      <w:r>
        <w:rPr>
          <w:i/>
          <w:lang w:eastAsia="ar-SA"/>
        </w:rPr>
        <w:t>Annexe </w:t>
      </w:r>
      <w:r w:rsidR="003A2D14" w:rsidRPr="00FD3034">
        <w:rPr>
          <w:i/>
          <w:lang w:eastAsia="ar-SA"/>
        </w:rPr>
        <w:t>6</w:t>
      </w:r>
      <w:r w:rsidR="003A2D14" w:rsidRPr="000F72D3">
        <w:t>,</w:t>
      </w:r>
      <w:r w:rsidR="003A2D14" w:rsidRPr="00FD3034">
        <w:rPr>
          <w:i/>
          <w:lang w:eastAsia="ar-SA"/>
        </w:rPr>
        <w:t xml:space="preserve"> </w:t>
      </w:r>
      <w:r w:rsidR="003A2D14" w:rsidRPr="00FD3034">
        <w:rPr>
          <w:lang w:eastAsia="ar-SA"/>
        </w:rPr>
        <w:t xml:space="preserve">ajouter un nouveau paragraphe </w:t>
      </w:r>
      <w:r w:rsidR="003A2D14" w:rsidRPr="00FD3034">
        <w:rPr>
          <w:i/>
          <w:lang w:eastAsia="ar-SA"/>
        </w:rPr>
        <w:t>3.1.3</w:t>
      </w:r>
      <w:r w:rsidR="003A2D14" w:rsidRPr="00FD3034">
        <w:rPr>
          <w:lang w:eastAsia="ar-SA"/>
        </w:rPr>
        <w:t>, ainsi conçu :</w:t>
      </w:r>
    </w:p>
    <w:p w:rsidR="003A2D14" w:rsidRPr="00FD3034" w:rsidRDefault="003A2D14" w:rsidP="003A2D14">
      <w:pPr>
        <w:tabs>
          <w:tab w:val="left" w:pos="2835"/>
          <w:tab w:val="left" w:pos="8505"/>
        </w:tabs>
        <w:spacing w:before="120" w:after="120" w:line="240" w:lineRule="auto"/>
        <w:ind w:left="2268" w:right="1134" w:hanging="1134"/>
        <w:jc w:val="both"/>
      </w:pPr>
      <w:r w:rsidRPr="00FD3034">
        <w:t>« </w:t>
      </w:r>
      <w:r w:rsidRPr="00FD3034">
        <w:rPr>
          <w:b/>
        </w:rPr>
        <w:t>3.1.3</w:t>
      </w:r>
      <w:r w:rsidRPr="00FD3034">
        <w:rPr>
          <w:b/>
        </w:rPr>
        <w:tab/>
        <w:t>La taille de l</w:t>
      </w:r>
      <w:r w:rsidR="006B6352">
        <w:rPr>
          <w:b/>
        </w:rPr>
        <w:t>’</w:t>
      </w:r>
      <w:r w:rsidRPr="00FD3034">
        <w:rPr>
          <w:b/>
        </w:rPr>
        <w:t>échantillon est indiquée dans le procès-verbal d</w:t>
      </w:r>
      <w:r w:rsidR="006B6352">
        <w:rPr>
          <w:b/>
        </w:rPr>
        <w:t>’</w:t>
      </w:r>
      <w:r w:rsidR="000F72D3">
        <w:rPr>
          <w:b/>
        </w:rPr>
        <w:t>essai</w:t>
      </w:r>
      <w:r w:rsidRPr="00FD3034">
        <w:rPr>
          <w:b/>
        </w:rPr>
        <w:t> </w:t>
      </w:r>
      <w:r w:rsidRPr="00FD3034">
        <w:t>».</w:t>
      </w:r>
    </w:p>
    <w:p w:rsidR="003A2D14" w:rsidRPr="00FD3034" w:rsidRDefault="003A2D14" w:rsidP="00850F5E">
      <w:pPr>
        <w:pStyle w:val="SingleTxtG"/>
        <w:keepNext/>
        <w:keepLines/>
        <w:rPr>
          <w:lang w:eastAsia="ar-SA"/>
        </w:rPr>
      </w:pPr>
      <w:r w:rsidRPr="00FD3034">
        <w:rPr>
          <w:i/>
          <w:lang w:eastAsia="ar-SA"/>
        </w:rPr>
        <w:t xml:space="preserve">Annexe 7, </w:t>
      </w:r>
      <w:r w:rsidR="000F72D3">
        <w:rPr>
          <w:lang w:eastAsia="ar-SA"/>
        </w:rPr>
        <w:t>ajouter un nouveau paragraphe </w:t>
      </w:r>
      <w:r w:rsidRPr="00FD3034">
        <w:rPr>
          <w:i/>
          <w:lang w:eastAsia="ar-SA"/>
        </w:rPr>
        <w:t>3.1</w:t>
      </w:r>
      <w:r w:rsidRPr="00FD3034">
        <w:rPr>
          <w:lang w:eastAsia="ar-SA"/>
        </w:rPr>
        <w:t>, ainsi conçu :</w:t>
      </w:r>
    </w:p>
    <w:p w:rsidR="003A2D14" w:rsidRPr="00FD3034" w:rsidRDefault="003A2D14" w:rsidP="003A2D14">
      <w:pPr>
        <w:tabs>
          <w:tab w:val="left" w:pos="2835"/>
          <w:tab w:val="left" w:pos="8505"/>
        </w:tabs>
        <w:spacing w:before="120" w:after="120" w:line="240" w:lineRule="auto"/>
        <w:ind w:left="2268" w:right="1134" w:hanging="1134"/>
        <w:jc w:val="both"/>
      </w:pPr>
      <w:r w:rsidRPr="00FD3034">
        <w:t>« </w:t>
      </w:r>
      <w:r w:rsidRPr="00FD3034">
        <w:rPr>
          <w:b/>
        </w:rPr>
        <w:t>3.1</w:t>
      </w:r>
      <w:r w:rsidRPr="00FD3034">
        <w:rPr>
          <w:b/>
        </w:rPr>
        <w:tab/>
        <w:t>La taille et la masse de l</w:t>
      </w:r>
      <w:r w:rsidR="006B6352">
        <w:rPr>
          <w:b/>
        </w:rPr>
        <w:t>’</w:t>
      </w:r>
      <w:r w:rsidRPr="00FD3034">
        <w:rPr>
          <w:b/>
        </w:rPr>
        <w:t>échantillon sont indiquées dans le procès-verbal d</w:t>
      </w:r>
      <w:r w:rsidR="006B6352">
        <w:rPr>
          <w:b/>
        </w:rPr>
        <w:t>’</w:t>
      </w:r>
      <w:r w:rsidRPr="00FD3034">
        <w:rPr>
          <w:b/>
        </w:rPr>
        <w:t>essai</w:t>
      </w:r>
      <w:r w:rsidRPr="00FD3034">
        <w:t> ».</w:t>
      </w:r>
    </w:p>
    <w:p w:rsidR="003A2D14" w:rsidRPr="00FD3034" w:rsidRDefault="003A2D14" w:rsidP="00850F5E">
      <w:pPr>
        <w:pStyle w:val="SingleTxtG"/>
        <w:keepNext/>
        <w:keepLines/>
        <w:rPr>
          <w:i/>
          <w:lang w:eastAsia="ar-SA"/>
        </w:rPr>
      </w:pPr>
      <w:r w:rsidRPr="00FD3034">
        <w:rPr>
          <w:i/>
          <w:lang w:eastAsia="ar-SA"/>
        </w:rPr>
        <w:t>Annexe</w:t>
      </w:r>
      <w:r w:rsidR="000F72D3">
        <w:rPr>
          <w:i/>
          <w:lang w:eastAsia="ar-SA"/>
        </w:rPr>
        <w:t> </w:t>
      </w:r>
      <w:r w:rsidRPr="00FD3034">
        <w:rPr>
          <w:i/>
          <w:lang w:eastAsia="ar-SA"/>
        </w:rPr>
        <w:t>8</w:t>
      </w:r>
    </w:p>
    <w:p w:rsidR="003A2D14" w:rsidRPr="00FD3034" w:rsidRDefault="003A2D14" w:rsidP="00850F5E">
      <w:pPr>
        <w:pStyle w:val="SingleTxtG"/>
        <w:keepNext/>
        <w:keepLines/>
        <w:rPr>
          <w:lang w:eastAsia="ar-SA"/>
        </w:rPr>
      </w:pPr>
      <w:r w:rsidRPr="00FD3034">
        <w:rPr>
          <w:i/>
          <w:lang w:eastAsia="ar-SA"/>
        </w:rPr>
        <w:t>Paragraphe 2.1</w:t>
      </w:r>
      <w:r w:rsidRPr="000F72D3">
        <w:t xml:space="preserve">, </w:t>
      </w:r>
      <w:r w:rsidRPr="00FD3034">
        <w:rPr>
          <w:lang w:eastAsia="ar-SA"/>
        </w:rPr>
        <w:t>modifier comme suit :</w:t>
      </w:r>
    </w:p>
    <w:p w:rsidR="003A2D14" w:rsidRPr="00FD3034" w:rsidRDefault="003A2D14" w:rsidP="003A2D14">
      <w:pPr>
        <w:spacing w:after="120"/>
        <w:ind w:left="2268" w:right="1134" w:hanging="1134"/>
        <w:jc w:val="both"/>
      </w:pPr>
      <w:r w:rsidRPr="00FD3034">
        <w:t>« 2.1</w:t>
      </w:r>
      <w:r w:rsidRPr="00FD3034">
        <w:tab/>
        <w:t>Le porte-échantillon doit être un cadre rectangulaire de 560 mm de haut équipé de deux tiges parallèles reliées de façon rigide et espacées de 150 mm comportant des tétons destinés au montage de l</w:t>
      </w:r>
      <w:r w:rsidR="006B6352">
        <w:t>’</w:t>
      </w:r>
      <w:r w:rsidRPr="00FD3034">
        <w:t>échantillon d</w:t>
      </w:r>
      <w:r w:rsidR="006B6352">
        <w:t>’</w:t>
      </w:r>
      <w:r w:rsidRPr="00FD3034">
        <w:t>essai situé dans un plan distant d</w:t>
      </w:r>
      <w:r w:rsidR="006B6352">
        <w:t>’</w:t>
      </w:r>
      <w:r w:rsidRPr="00FD3034">
        <w:t>au moins 20 mm du cadre. Les tétons de montage ne doivent pas dépasser 2 mm de diamètre mais être longs d</w:t>
      </w:r>
      <w:r w:rsidR="006B6352">
        <w:t>’</w:t>
      </w:r>
      <w:r w:rsidRPr="00FD3034">
        <w:t xml:space="preserve">au moins </w:t>
      </w:r>
      <w:r w:rsidRPr="000F72D3">
        <w:rPr>
          <w:b/>
        </w:rPr>
        <w:t>40 mm</w:t>
      </w:r>
      <w:r w:rsidRPr="00FD3034">
        <w:t>. Les tétons doivent être placés sur les tiges parallèles aux endroits indiqués à la figure 1. Le cadre doit être fixé sur un support approprié afin de maintenir les tiges à la verticale pendant l</w:t>
      </w:r>
      <w:r w:rsidR="006B6352">
        <w:t>’</w:t>
      </w:r>
      <w:r w:rsidRPr="00FD3034">
        <w:t>essai. (Pour fixer l</w:t>
      </w:r>
      <w:r w:rsidR="006B6352">
        <w:t>’</w:t>
      </w:r>
      <w:r w:rsidRPr="00FD3034">
        <w:t>échantillon sur les tétons dans un plan hors du cadre, des éléments d</w:t>
      </w:r>
      <w:r w:rsidR="006B6352">
        <w:t>’</w:t>
      </w:r>
      <w:r w:rsidRPr="00FD3034">
        <w:t>écartement de 2 mm de diamètre peuvent être placés entre les tétons.)</w:t>
      </w:r>
    </w:p>
    <w:p w:rsidR="003A2D14" w:rsidRPr="00FD3034" w:rsidRDefault="003A2D14" w:rsidP="003A2D14">
      <w:pPr>
        <w:spacing w:after="120"/>
        <w:ind w:left="2268" w:right="1134"/>
        <w:jc w:val="both"/>
        <w:rPr>
          <w:b/>
        </w:rPr>
      </w:pPr>
      <w:r w:rsidRPr="00FD3034">
        <w:tab/>
      </w:r>
      <w:r w:rsidRPr="00FD3034">
        <w:rPr>
          <w:b/>
        </w:rPr>
        <w:t>La largeur du porte-échantillon représenté à la figure 1 peut être modifiée pour permettre le montage de l</w:t>
      </w:r>
      <w:r w:rsidR="006B6352">
        <w:rPr>
          <w:b/>
        </w:rPr>
        <w:t>’</w:t>
      </w:r>
      <w:r w:rsidRPr="00FD3034">
        <w:rPr>
          <w:b/>
        </w:rPr>
        <w:t>échantillon.</w:t>
      </w:r>
    </w:p>
    <w:p w:rsidR="003A2D14" w:rsidRPr="00FD3034" w:rsidRDefault="003A2D14" w:rsidP="003A2D14">
      <w:pPr>
        <w:spacing w:after="120"/>
        <w:ind w:left="2268" w:right="1134"/>
        <w:jc w:val="both"/>
      </w:pPr>
      <w:r w:rsidRPr="00FD3034">
        <w:tab/>
      </w:r>
      <w:r w:rsidRPr="00FD3034">
        <w:rPr>
          <w:b/>
        </w:rPr>
        <w:t>Pour fixer l</w:t>
      </w:r>
      <w:r w:rsidR="006B6352">
        <w:rPr>
          <w:b/>
        </w:rPr>
        <w:t>’</w:t>
      </w:r>
      <w:r w:rsidRPr="00FD3034">
        <w:rPr>
          <w:b/>
        </w:rPr>
        <w:t>échantillon en position verticale, on peut prévoir un support composé de fils résistant à la chaleur, d</w:t>
      </w:r>
      <w:r w:rsidR="006B6352">
        <w:rPr>
          <w:b/>
        </w:rPr>
        <w:t>’</w:t>
      </w:r>
      <w:r w:rsidRPr="00FD3034">
        <w:rPr>
          <w:b/>
        </w:rPr>
        <w:t>un diamètre de 0,25 mm, tendus horizontalement à des intervalles de 25 mm le long de toute la hauteur du porte-échantillon. On peut aussi fixer l</w:t>
      </w:r>
      <w:r w:rsidR="006B6352">
        <w:rPr>
          <w:b/>
        </w:rPr>
        <w:t>’</w:t>
      </w:r>
      <w:r w:rsidRPr="00FD3034">
        <w:rPr>
          <w:b/>
        </w:rPr>
        <w:t>échantillon au porte-échantillon à l</w:t>
      </w:r>
      <w:r w:rsidR="006B6352">
        <w:rPr>
          <w:b/>
        </w:rPr>
        <w:t>’</w:t>
      </w:r>
      <w:r w:rsidRPr="00FD3034">
        <w:rPr>
          <w:b/>
        </w:rPr>
        <w:t>aide de pinces supplémentaires</w:t>
      </w:r>
      <w:r w:rsidRPr="00FD3034">
        <w:t> ».</w:t>
      </w:r>
    </w:p>
    <w:p w:rsidR="003A2D14" w:rsidRPr="00FD3034" w:rsidRDefault="003A2D14" w:rsidP="00850F5E">
      <w:pPr>
        <w:pStyle w:val="SingleTxtG"/>
        <w:keepNext/>
        <w:keepLines/>
        <w:rPr>
          <w:lang w:eastAsia="ar-SA"/>
        </w:rPr>
      </w:pPr>
      <w:r w:rsidRPr="00FD3034">
        <w:rPr>
          <w:i/>
          <w:lang w:eastAsia="ar-SA"/>
        </w:rPr>
        <w:t>Paragraphe 2.3,</w:t>
      </w:r>
      <w:r w:rsidRPr="00FD3034">
        <w:rPr>
          <w:lang w:eastAsia="ar-SA"/>
        </w:rPr>
        <w:t xml:space="preserve"> modifier comme suit :</w:t>
      </w:r>
    </w:p>
    <w:p w:rsidR="003A2D14" w:rsidRPr="00FD3034" w:rsidRDefault="003A2D14" w:rsidP="003A2D14">
      <w:pPr>
        <w:pStyle w:val="SingleTxtG"/>
        <w:ind w:left="2268" w:hanging="1134"/>
      </w:pPr>
      <w:r w:rsidRPr="00FD3034">
        <w:t>« 2.3</w:t>
      </w:r>
      <w:r w:rsidRPr="00FD3034">
        <w:tab/>
        <w:t>L</w:t>
      </w:r>
      <w:r w:rsidR="006B6352">
        <w:t>’</w:t>
      </w:r>
      <w:r w:rsidRPr="00FD3034">
        <w:t>appareil d</w:t>
      </w:r>
      <w:r w:rsidR="006B6352">
        <w:t>’</w:t>
      </w:r>
      <w:r w:rsidRPr="00FD3034">
        <w:t xml:space="preserve">essai peut être placé dans une hotte de laboratoire. </w:t>
      </w:r>
      <w:r w:rsidRPr="00FD3034">
        <w:rPr>
          <w:b/>
        </w:rPr>
        <w:t>La taille et la forme de la chambre de combustion ne doivent pas affecter les résultats de l</w:t>
      </w:r>
      <w:r w:rsidR="006B6352">
        <w:rPr>
          <w:b/>
        </w:rPr>
        <w:t>’</w:t>
      </w:r>
      <w:r w:rsidRPr="00FD3034">
        <w:rPr>
          <w:b/>
        </w:rPr>
        <w:t>essai</w:t>
      </w:r>
      <w:r w:rsidRPr="00FD3034">
        <w:rPr>
          <w:b/>
          <w:bCs/>
        </w:rPr>
        <w:t xml:space="preserve">. </w:t>
      </w:r>
      <w:r w:rsidRPr="00FD3034">
        <w:t>Avant l</w:t>
      </w:r>
      <w:r w:rsidR="006B6352">
        <w:t>’</w:t>
      </w:r>
      <w:r w:rsidRPr="00FD3034">
        <w:t>essai, la vitesse verticale de l</w:t>
      </w:r>
      <w:r w:rsidR="006B6352">
        <w:t>’</w:t>
      </w:r>
      <w:r w:rsidRPr="00FD3034">
        <w:t>air dans la hotte de laboratoire doit être mesurée à 100 mm en avant et en arrière de l</w:t>
      </w:r>
      <w:r w:rsidR="006B6352">
        <w:t>’</w:t>
      </w:r>
      <w:r w:rsidRPr="00FD3034">
        <w:t>emplacement prévu de l</w:t>
      </w:r>
      <w:r w:rsidR="006B6352">
        <w:t>’</w:t>
      </w:r>
      <w:r w:rsidRPr="00FD3034">
        <w:t>appareil d</w:t>
      </w:r>
      <w:r w:rsidR="006B6352">
        <w:t>’</w:t>
      </w:r>
      <w:r w:rsidRPr="00FD3034">
        <w:t>essai. Elle doit se situer entre 0,10 et 0,30 m/s, de façon à éviter que l</w:t>
      </w:r>
      <w:r w:rsidR="006B6352">
        <w:t>’</w:t>
      </w:r>
      <w:r w:rsidRPr="00FD3034">
        <w:t>opérateur soit gêné par les produits de combustion. Il est possible d</w:t>
      </w:r>
      <w:r w:rsidR="006B6352">
        <w:t>’</w:t>
      </w:r>
      <w:r w:rsidRPr="00FD3034">
        <w:t>utiliser une hotte à ventilation naturelle, à condition que le flux d</w:t>
      </w:r>
      <w:r w:rsidR="006B6352">
        <w:t>’</w:t>
      </w:r>
      <w:r w:rsidR="000F72D3">
        <w:t>air soit suffisant</w:t>
      </w:r>
      <w:r w:rsidRPr="00FD3034">
        <w:t> ».</w:t>
      </w:r>
    </w:p>
    <w:p w:rsidR="003A2D14" w:rsidRPr="00FD3034" w:rsidRDefault="003A2D14" w:rsidP="00850F5E">
      <w:pPr>
        <w:pStyle w:val="SingleTxtG"/>
        <w:keepNext/>
        <w:keepLines/>
        <w:rPr>
          <w:lang w:eastAsia="ar-SA"/>
        </w:rPr>
      </w:pPr>
      <w:r w:rsidRPr="00FD3034">
        <w:rPr>
          <w:i/>
          <w:lang w:eastAsia="ar-SA"/>
        </w:rPr>
        <w:t>Paragraphes 3.1 et 3.2,</w:t>
      </w:r>
      <w:r w:rsidRPr="00FD3034">
        <w:rPr>
          <w:lang w:eastAsia="ar-SA"/>
        </w:rPr>
        <w:t xml:space="preserve"> modifier comme suit :</w:t>
      </w:r>
    </w:p>
    <w:p w:rsidR="003A2D14" w:rsidRPr="00FD3034" w:rsidRDefault="003A2D14" w:rsidP="003A2D14">
      <w:pPr>
        <w:spacing w:after="120"/>
        <w:ind w:left="2268" w:right="1134" w:hanging="1134"/>
        <w:jc w:val="both"/>
      </w:pPr>
      <w:r w:rsidRPr="00FD3034">
        <w:t>« 3.1</w:t>
      </w:r>
      <w:r w:rsidRPr="00FD3034">
        <w:tab/>
      </w:r>
      <w:r w:rsidRPr="00FD3034">
        <w:rPr>
          <w:b/>
        </w:rPr>
        <w:t>Matériaux conformes aux dispositions du paragraphe 6.2.3 :</w:t>
      </w:r>
      <w:r w:rsidRPr="00FD3034">
        <w:t xml:space="preserve"> Les échantillons doivent mesurer 560 mm × 170 mm.</w:t>
      </w:r>
    </w:p>
    <w:p w:rsidR="003A2D14" w:rsidRPr="00FD3034" w:rsidRDefault="003A2D14" w:rsidP="003A2D14">
      <w:pPr>
        <w:spacing w:after="120"/>
        <w:ind w:left="2268" w:right="1134"/>
        <w:jc w:val="both"/>
      </w:pPr>
      <w:r w:rsidRPr="00FD3034">
        <w:tab/>
        <w:t>Si les dimensions d</w:t>
      </w:r>
      <w:r w:rsidR="006B6352">
        <w:t>’</w:t>
      </w:r>
      <w:r w:rsidRPr="00FD3034">
        <w:t>un matériau ne permettent pas de prélever un échantillon des dimensions ci-dessus, l</w:t>
      </w:r>
      <w:r w:rsidR="006B6352">
        <w:t>’</w:t>
      </w:r>
      <w:r w:rsidRPr="00FD3034">
        <w:t xml:space="preserve">essai doit être exécuté </w:t>
      </w:r>
      <w:r w:rsidRPr="00FD3034">
        <w:rPr>
          <w:b/>
        </w:rPr>
        <w:t>à l</w:t>
      </w:r>
      <w:r w:rsidR="006B6352">
        <w:rPr>
          <w:b/>
        </w:rPr>
        <w:t>’</w:t>
      </w:r>
      <w:r w:rsidRPr="00FD3034">
        <w:rPr>
          <w:b/>
        </w:rPr>
        <w:t>aide d</w:t>
      </w:r>
      <w:r w:rsidR="006B6352">
        <w:rPr>
          <w:b/>
        </w:rPr>
        <w:t>’</w:t>
      </w:r>
      <w:r w:rsidRPr="00FD3034">
        <w:rPr>
          <w:b/>
        </w:rPr>
        <w:t>un échantillon d</w:t>
      </w:r>
      <w:r w:rsidR="006B6352">
        <w:rPr>
          <w:b/>
        </w:rPr>
        <w:t>’</w:t>
      </w:r>
      <w:r w:rsidRPr="00FD3034">
        <w:rPr>
          <w:b/>
        </w:rPr>
        <w:t>une hauteur minimale de 380 mm et d</w:t>
      </w:r>
      <w:r w:rsidR="006B6352">
        <w:rPr>
          <w:b/>
        </w:rPr>
        <w:t>’</w:t>
      </w:r>
      <w:r w:rsidRPr="00FD3034">
        <w:rPr>
          <w:b/>
        </w:rPr>
        <w:t>une largeur minimale de 3 mm</w:t>
      </w:r>
      <w:r w:rsidRPr="00FD3034">
        <w:t xml:space="preserve">. </w:t>
      </w:r>
    </w:p>
    <w:p w:rsidR="003A2D14" w:rsidRPr="00FD3034" w:rsidRDefault="003A2D14" w:rsidP="003A2D14">
      <w:pPr>
        <w:spacing w:after="120"/>
        <w:ind w:left="2268" w:right="1134"/>
        <w:jc w:val="both"/>
      </w:pPr>
      <w:r w:rsidRPr="00FD3034">
        <w:tab/>
      </w:r>
      <w:r w:rsidRPr="00FD3034">
        <w:rPr>
          <w:b/>
        </w:rPr>
        <w:t>Gaines et manchons de câbles : Les dimensions de l</w:t>
      </w:r>
      <w:r w:rsidR="006B6352">
        <w:rPr>
          <w:b/>
        </w:rPr>
        <w:t>’</w:t>
      </w:r>
      <w:r w:rsidRPr="00FD3034">
        <w:rPr>
          <w:b/>
        </w:rPr>
        <w:t>échantillon doivent être les suivantes : longueur : 560 mm, mais au minimum 380 mm ; largeur : dimension initiale</w:t>
      </w:r>
      <w:r w:rsidRPr="00FD3034">
        <w:t>.</w:t>
      </w:r>
    </w:p>
    <w:p w:rsidR="003A2D14" w:rsidRPr="00FD3034" w:rsidRDefault="003A2D14" w:rsidP="003A2D14">
      <w:pPr>
        <w:spacing w:after="120"/>
        <w:ind w:left="2268" w:right="1134" w:hanging="1134"/>
        <w:jc w:val="both"/>
      </w:pPr>
      <w:r w:rsidRPr="00FD3034">
        <w:t>3.2</w:t>
      </w:r>
      <w:r w:rsidRPr="00FD3034">
        <w:tab/>
      </w:r>
      <w:r w:rsidRPr="00FD3034">
        <w:rPr>
          <w:b/>
        </w:rPr>
        <w:t>Matériaux conformes aux dispositions du paragraphe 6.2.3 </w:t>
      </w:r>
      <w:r w:rsidRPr="000F72D3">
        <w:rPr>
          <w:b/>
        </w:rPr>
        <w:t>:</w:t>
      </w:r>
      <w:r w:rsidRPr="00FD3034">
        <w:t xml:space="preserve"> Lorsque l</w:t>
      </w:r>
      <w:r w:rsidR="006B6352">
        <w:t>’</w:t>
      </w:r>
      <w:r w:rsidRPr="00FD3034">
        <w:t>épaisseur de l</w:t>
      </w:r>
      <w:r w:rsidR="006B6352">
        <w:t>’</w:t>
      </w:r>
      <w:r w:rsidRPr="00FD3034">
        <w:t>échantillon dépasse 13 mm, il faut la ramener à cette valeur par un procédé mécanique du côté opposé à la surface tournée vers le compartiment concerné (intérieur, moteur, ou compartiment de chauffage séparé). Si cela s</w:t>
      </w:r>
      <w:r w:rsidR="006B6352">
        <w:t>’</w:t>
      </w:r>
      <w:r w:rsidRPr="00FD3034">
        <w:t>avère impossible, l</w:t>
      </w:r>
      <w:r w:rsidR="006B6352">
        <w:t>’</w:t>
      </w:r>
      <w:r w:rsidRPr="00FD3034">
        <w:t>essai doit être effectué, en accord avec le service technique, sur la largeur initiale du matériau, et cette précision doit être mentionnée dans le procès-verbal d</w:t>
      </w:r>
      <w:r w:rsidR="006B6352">
        <w:t>’</w:t>
      </w:r>
      <w:r w:rsidRPr="00FD3034">
        <w:t>essai. Les matériaux composites (voir par. 6.1.3 du Règlement) doivent être soumis à l</w:t>
      </w:r>
      <w:r w:rsidR="006B6352">
        <w:t>’</w:t>
      </w:r>
      <w:r w:rsidRPr="00FD3034">
        <w:t>essai comme s</w:t>
      </w:r>
      <w:r w:rsidR="006B6352">
        <w:t>’</w:t>
      </w:r>
      <w:r w:rsidRPr="00FD3034">
        <w:t>ils étaient de structure uniforme. S</w:t>
      </w:r>
      <w:r w:rsidR="006B6352">
        <w:t>’</w:t>
      </w:r>
      <w:r w:rsidRPr="00FD3034">
        <w:t>il y a plusieurs couches de nature différente qui ne sont pas des matériaux composites, toutes celles qui sont situées à moins de 13 mm de profondeur par rapport à la surface tournée vers le compartiment concerné doivent être s</w:t>
      </w:r>
      <w:r w:rsidR="001E2511">
        <w:t>oumises à des essais distincts</w:t>
      </w:r>
      <w:r w:rsidRPr="00FD3034">
        <w:t> ».</w:t>
      </w:r>
    </w:p>
    <w:p w:rsidR="003A2D14" w:rsidRPr="00FD3034" w:rsidRDefault="000F72D3" w:rsidP="00850F5E">
      <w:pPr>
        <w:pStyle w:val="SingleTxtG"/>
        <w:keepNext/>
        <w:keepLines/>
      </w:pPr>
      <w:r>
        <w:rPr>
          <w:i/>
          <w:iCs/>
        </w:rPr>
        <w:t>Ajouter un nouveau paragraphe </w:t>
      </w:r>
      <w:r w:rsidR="003A2D14" w:rsidRPr="00FD3034">
        <w:rPr>
          <w:i/>
          <w:iCs/>
        </w:rPr>
        <w:t>3.3</w:t>
      </w:r>
      <w:r w:rsidR="003A2D14" w:rsidRPr="00FD3034">
        <w:t>, libellé comme suit :</w:t>
      </w:r>
    </w:p>
    <w:p w:rsidR="003A2D14" w:rsidRPr="00FD3034" w:rsidRDefault="003A2D14" w:rsidP="003A2D14">
      <w:pPr>
        <w:spacing w:after="120"/>
        <w:ind w:left="2268" w:right="1134" w:hanging="1134"/>
        <w:jc w:val="both"/>
      </w:pPr>
      <w:r w:rsidRPr="00FD3034">
        <w:t>« </w:t>
      </w:r>
      <w:r w:rsidRPr="00FD3034">
        <w:rPr>
          <w:b/>
        </w:rPr>
        <w:t>3.3</w:t>
      </w:r>
      <w:r w:rsidRPr="00FD3034">
        <w:tab/>
      </w:r>
      <w:r w:rsidRPr="00FD3034">
        <w:rPr>
          <w:b/>
        </w:rPr>
        <w:t>La taille de l</w:t>
      </w:r>
      <w:r w:rsidR="006B6352">
        <w:rPr>
          <w:b/>
        </w:rPr>
        <w:t>’</w:t>
      </w:r>
      <w:r w:rsidRPr="00FD3034">
        <w:rPr>
          <w:b/>
        </w:rPr>
        <w:t>échantillon doit être indiquée dans le procès-verbal d</w:t>
      </w:r>
      <w:r w:rsidR="006B6352">
        <w:rPr>
          <w:b/>
        </w:rPr>
        <w:t>’</w:t>
      </w:r>
      <w:r w:rsidRPr="00FD3034">
        <w:rPr>
          <w:b/>
        </w:rPr>
        <w:t>essai</w:t>
      </w:r>
      <w:r w:rsidRPr="00FD3034">
        <w:t> ».</w:t>
      </w:r>
    </w:p>
    <w:p w:rsidR="003A2D14" w:rsidRPr="00FD3034" w:rsidRDefault="000F72D3" w:rsidP="003A2D14">
      <w:pPr>
        <w:spacing w:after="120"/>
        <w:ind w:left="1134" w:right="1134"/>
        <w:jc w:val="both"/>
      </w:pPr>
      <w:r>
        <w:rPr>
          <w:i/>
        </w:rPr>
        <w:t>Le paragraphe </w:t>
      </w:r>
      <w:r w:rsidR="003A2D14" w:rsidRPr="00FD3034">
        <w:rPr>
          <w:i/>
        </w:rPr>
        <w:t xml:space="preserve">3.3 </w:t>
      </w:r>
      <w:r>
        <w:t>devient le paragraphe </w:t>
      </w:r>
      <w:r w:rsidR="003A2D14" w:rsidRPr="00FD3034">
        <w:t>3.4.</w:t>
      </w:r>
    </w:p>
    <w:p w:rsidR="003A2D14" w:rsidRPr="00FD3034" w:rsidRDefault="000F72D3" w:rsidP="003A2D14">
      <w:pPr>
        <w:keepNext/>
        <w:spacing w:after="120"/>
        <w:ind w:left="1134" w:right="1134"/>
        <w:jc w:val="both"/>
      </w:pPr>
      <w:r>
        <w:rPr>
          <w:i/>
        </w:rPr>
        <w:t>Figure </w:t>
      </w:r>
      <w:r w:rsidR="003A2D14" w:rsidRPr="00FD3034">
        <w:rPr>
          <w:i/>
        </w:rPr>
        <w:t>1</w:t>
      </w:r>
      <w:r w:rsidR="003A2D14" w:rsidRPr="00FD3034">
        <w:t>, modifier comme suit (en supprimant la légende « Brûleur » en bas de la page et en remplaçant « 220 » par « </w:t>
      </w:r>
      <w:r w:rsidR="003A2D14" w:rsidRPr="00FD3034">
        <w:rPr>
          <w:b/>
        </w:rPr>
        <w:t>240</w:t>
      </w:r>
      <w:r w:rsidR="003A2D14" w:rsidRPr="00FD3034">
        <w:t> ») :</w:t>
      </w:r>
    </w:p>
    <w:p w:rsidR="003A2D14" w:rsidRPr="00FD3034" w:rsidRDefault="000F72D3" w:rsidP="000F72D3">
      <w:pPr>
        <w:keepNext/>
        <w:keepLines/>
        <w:spacing w:after="120" w:line="240" w:lineRule="auto"/>
        <w:ind w:left="1134"/>
        <w:outlineLvl w:val="0"/>
        <w:rPr>
          <w:rFonts w:eastAsia="Arial"/>
        </w:rPr>
      </w:pPr>
      <w:r>
        <w:t>« Figure </w:t>
      </w:r>
      <w:r w:rsidR="003A2D14" w:rsidRPr="00FD3034">
        <w:t>1</w:t>
      </w:r>
      <w:r>
        <w:t xml:space="preserve"> </w:t>
      </w:r>
      <w:r w:rsidR="003A2D14" w:rsidRPr="00FD3034">
        <w:br/>
      </w:r>
      <w:r w:rsidR="003A2D14" w:rsidRPr="00FD3034">
        <w:rPr>
          <w:b/>
          <w:w w:val="109"/>
        </w:rPr>
        <w:t>Porte-échantillon</w:t>
      </w:r>
      <w:r w:rsidR="003A2D14" w:rsidRPr="00FD3034">
        <w:t xml:space="preserve"> (dimensions en millimètres)</w:t>
      </w:r>
    </w:p>
    <w:p w:rsidR="003A2D14" w:rsidRPr="00FD3034" w:rsidRDefault="003A2D14" w:rsidP="003A2D14">
      <w:pPr>
        <w:spacing w:after="120"/>
        <w:ind w:left="1134"/>
        <w:jc w:val="both"/>
      </w:pPr>
      <w:r w:rsidRPr="00FD3034">
        <w:rPr>
          <w:noProof/>
          <w:lang w:val="en-GB" w:eastAsia="en-GB"/>
        </w:rPr>
        <mc:AlternateContent>
          <mc:Choice Requires="wps">
            <w:drawing>
              <wp:anchor distT="0" distB="0" distL="114300" distR="114300" simplePos="0" relativeHeight="251659264" behindDoc="0" locked="0" layoutInCell="1" allowOverlap="1" wp14:anchorId="58006287" wp14:editId="21D0B268">
                <wp:simplePos x="0" y="0"/>
                <wp:positionH relativeFrom="column">
                  <wp:posOffset>3185160</wp:posOffset>
                </wp:positionH>
                <wp:positionV relativeFrom="paragraph">
                  <wp:posOffset>2971165</wp:posOffset>
                </wp:positionV>
                <wp:extent cx="158750" cy="2540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54000"/>
                        </a:xfrm>
                        <a:prstGeom prst="rect">
                          <a:avLst/>
                        </a:prstGeom>
                        <a:solidFill>
                          <a:sysClr val="window" lastClr="FFFFFF"/>
                        </a:solidFill>
                        <a:ln>
                          <a:noFill/>
                        </a:ln>
                        <a:extLst/>
                      </wps:spPr>
                      <wps:txbx>
                        <w:txbxContent>
                          <w:p w:rsidR="006732C2" w:rsidRPr="00A73814" w:rsidRDefault="006732C2" w:rsidP="003A2D14">
                            <w:pPr>
                              <w:jc w:val="center"/>
                              <w:rPr>
                                <w:rFonts w:ascii="Arial" w:hAnsi="Arial" w:cs="Arial"/>
                                <w:b/>
                                <w:sz w:val="18"/>
                              </w:rPr>
                            </w:pPr>
                            <w:r w:rsidRPr="006854BC">
                              <w:rPr>
                                <w:rFonts w:ascii="Arial" w:hAnsi="Arial"/>
                                <w:b/>
                                <w:sz w:val="18"/>
                              </w:rPr>
                              <w:t>240</w:t>
                            </w:r>
                          </w:p>
                        </w:txbxContent>
                      </wps:txbx>
                      <wps:bodyPr rot="0" vert="vert270"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0.8pt;margin-top:233.95pt;width:12.5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" fillcolor="window" stroked="f">
                <v:textbox style="layout-flow:vertical;mso-layout-flow-alt:bottom-to-top" inset="0,0,0,0">
                  <w:txbxContent>
                    <w:p w:rsidR="006732C2" w:rsidRPr="00A73814" w:rsidRDefault="006732C2" w:rsidP="003A2D14">
                      <w:pPr>
                        <w:jc w:val="center"/>
                        <w:rPr>
                          <w:rFonts w:ascii="Arial" w:hAnsi="Arial" w:cs="Arial"/>
                          <w:b/>
                          <w:sz w:val="18"/>
                        </w:rPr>
                      </w:pPr>
                      <w:r w:rsidRPr="006854BC">
                        <w:rPr>
                          <w:rFonts w:ascii="Arial" w:hAnsi="Arial"/>
                          <w:b/>
                          <w:sz w:val="18"/>
                        </w:rPr>
                        <w:t>240</w:t>
                      </w:r>
                    </w:p>
                  </w:txbxContent>
                </v:textbox>
              </v:shape>
            </w:pict>
          </mc:Fallback>
        </mc:AlternateContent>
      </w:r>
      <w:bookmarkStart w:id="1" w:name="_MON_1363608727"/>
      <w:bookmarkStart w:id="2" w:name="_MON_1363690512"/>
      <w:bookmarkStart w:id="3" w:name="_MON_1363690529"/>
      <w:bookmarkStart w:id="4" w:name="_MON_1382276038"/>
      <w:bookmarkStart w:id="5" w:name="_MON_1382331448"/>
      <w:bookmarkStart w:id="6" w:name="_MON_1382517020"/>
      <w:bookmarkStart w:id="7" w:name="_MON_1382517068"/>
      <w:bookmarkStart w:id="8" w:name="_MON_1532503160"/>
      <w:bookmarkStart w:id="9" w:name="_MON_1363608671"/>
      <w:bookmarkEnd w:id="1"/>
      <w:bookmarkEnd w:id="2"/>
      <w:bookmarkEnd w:id="3"/>
      <w:bookmarkEnd w:id="4"/>
      <w:bookmarkEnd w:id="5"/>
      <w:bookmarkEnd w:id="6"/>
      <w:bookmarkEnd w:id="7"/>
      <w:bookmarkEnd w:id="8"/>
      <w:bookmarkEnd w:id="9"/>
      <w:bookmarkStart w:id="10" w:name="_MON_1363608697"/>
      <w:bookmarkEnd w:id="10"/>
      <w:r w:rsidRPr="00FD3034">
        <w:object w:dxaOrig="6677" w:dyaOrig="62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pt;height:345.5pt" o:ole="">
            <v:imagedata r:id="rId10" o:title=""/>
          </v:shape>
          <o:OLEObject Type="Embed" ProgID="Word.Picture.8" ShapeID="_x0000_i1025" DrawAspect="Content" ObjectID="_1551876979" r:id="rId11"/>
        </w:object>
      </w:r>
    </w:p>
    <w:p w:rsidR="003A2D14" w:rsidRPr="00FD3034" w:rsidRDefault="003A2D14" w:rsidP="000F72D3">
      <w:pPr>
        <w:widowControl w:val="0"/>
        <w:spacing w:after="240"/>
        <w:ind w:left="992" w:right="1134" w:hanging="425"/>
        <w:jc w:val="right"/>
      </w:pPr>
      <w:r w:rsidRPr="00FD3034">
        <w:t> ».</w:t>
      </w:r>
    </w:p>
    <w:p w:rsidR="003A2D14" w:rsidRPr="00FD3034" w:rsidRDefault="000F72D3" w:rsidP="003A2D14">
      <w:pPr>
        <w:pStyle w:val="SingleTxtG"/>
        <w:keepNext/>
      </w:pPr>
      <w:r>
        <w:rPr>
          <w:i/>
          <w:iCs/>
        </w:rPr>
        <w:br w:type="page"/>
      </w:r>
      <w:r w:rsidR="003A2D14" w:rsidRPr="00FD3034">
        <w:rPr>
          <w:i/>
          <w:iCs/>
        </w:rPr>
        <w:t>Ajouter une nouvelle annexe 10</w:t>
      </w:r>
      <w:r w:rsidR="003A2D14" w:rsidRPr="00FD3034">
        <w:t>, ainsi conçue :</w:t>
      </w:r>
    </w:p>
    <w:p w:rsidR="003A2D14" w:rsidRPr="00FD3034" w:rsidRDefault="003A2D14" w:rsidP="003A2D14">
      <w:pPr>
        <w:keepNext/>
        <w:keepLines/>
        <w:tabs>
          <w:tab w:val="right" w:pos="851"/>
        </w:tabs>
        <w:suppressAutoHyphens w:val="0"/>
        <w:spacing w:before="240" w:after="120" w:line="300" w:lineRule="exact"/>
        <w:ind w:left="1134" w:right="1134" w:hanging="1134"/>
        <w:rPr>
          <w:b/>
          <w:sz w:val="28"/>
        </w:rPr>
      </w:pPr>
      <w:r w:rsidRPr="00FD3034">
        <w:rPr>
          <w:b/>
          <w:sz w:val="28"/>
        </w:rPr>
        <w:t xml:space="preserve"> </w:t>
      </w:r>
      <w:r w:rsidRPr="000F72D3">
        <w:t>« </w:t>
      </w:r>
      <w:r w:rsidR="000F72D3" w:rsidRPr="00FD3034">
        <w:rPr>
          <w:b/>
          <w:sz w:val="28"/>
        </w:rPr>
        <w:t>Ann</w:t>
      </w:r>
      <w:r w:rsidR="000F72D3">
        <w:rPr>
          <w:b/>
          <w:sz w:val="28"/>
        </w:rPr>
        <w:t>exe </w:t>
      </w:r>
      <w:r w:rsidRPr="00FD3034">
        <w:rPr>
          <w:b/>
          <w:sz w:val="28"/>
        </w:rPr>
        <w:t>10</w:t>
      </w:r>
    </w:p>
    <w:p w:rsidR="003A2D14" w:rsidRPr="00FD3034" w:rsidRDefault="003A2D14" w:rsidP="000F72D3">
      <w:pPr>
        <w:pStyle w:val="HChG"/>
      </w:pPr>
      <w:r w:rsidRPr="00FD3034">
        <w:tab/>
      </w:r>
      <w:r w:rsidRPr="00FD3034">
        <w:tab/>
        <w:t>Essai visant à déterminer la résistance des câbles électriques à la propagation des flammes</w:t>
      </w:r>
    </w:p>
    <w:p w:rsidR="003A2D14" w:rsidRPr="00FD3034" w:rsidRDefault="003A2D14" w:rsidP="000F72D3">
      <w:pPr>
        <w:keepNext/>
        <w:spacing w:after="120"/>
        <w:ind w:left="2268" w:right="1134" w:hanging="1134"/>
        <w:jc w:val="both"/>
        <w:rPr>
          <w:b/>
        </w:rPr>
      </w:pPr>
      <w:r w:rsidRPr="00FD3034">
        <w:rPr>
          <w:b/>
        </w:rPr>
        <w:t>1.</w:t>
      </w:r>
      <w:r w:rsidRPr="00FD3034">
        <w:tab/>
      </w:r>
      <w:r w:rsidRPr="00FD3034">
        <w:rPr>
          <w:b/>
        </w:rPr>
        <w:t>Champ d</w:t>
      </w:r>
      <w:r w:rsidR="006B6352">
        <w:rPr>
          <w:b/>
        </w:rPr>
        <w:t>’</w:t>
      </w:r>
      <w:r w:rsidRPr="00FD3034">
        <w:rPr>
          <w:b/>
        </w:rPr>
        <w:t>application</w:t>
      </w:r>
    </w:p>
    <w:p w:rsidR="003A2D14" w:rsidRPr="00FD3034" w:rsidRDefault="003A2D14" w:rsidP="003A2D14">
      <w:pPr>
        <w:spacing w:after="120"/>
        <w:ind w:left="2268" w:right="1134"/>
        <w:jc w:val="both"/>
        <w:rPr>
          <w:b/>
          <w:bCs/>
        </w:rPr>
      </w:pPr>
      <w:r w:rsidRPr="00FD3034">
        <w:rPr>
          <w:b/>
          <w:bCs/>
        </w:rPr>
        <w:tab/>
        <w:t>La présente annexe énumère les prescriptions à appliquer pour éprouver la résistance à la propagation des flammes des câbles électriques utilisés dans le véhicule.</w:t>
      </w:r>
    </w:p>
    <w:p w:rsidR="003A2D14" w:rsidRPr="00FD3034" w:rsidRDefault="003A2D14" w:rsidP="000F72D3">
      <w:pPr>
        <w:keepNext/>
        <w:spacing w:after="120"/>
        <w:ind w:left="2268" w:right="1134" w:hanging="1134"/>
        <w:jc w:val="both"/>
        <w:rPr>
          <w:b/>
        </w:rPr>
      </w:pPr>
      <w:r w:rsidRPr="00FD3034">
        <w:rPr>
          <w:b/>
        </w:rPr>
        <w:t>2.</w:t>
      </w:r>
      <w:r w:rsidRPr="00FD3034">
        <w:tab/>
      </w:r>
      <w:r w:rsidRPr="00FD3034">
        <w:rPr>
          <w:b/>
        </w:rPr>
        <w:t>Prélèvement et principe</w:t>
      </w:r>
    </w:p>
    <w:p w:rsidR="003A2D14" w:rsidRPr="00FD3034" w:rsidRDefault="003A2D14" w:rsidP="003A2D14">
      <w:pPr>
        <w:spacing w:after="120"/>
        <w:ind w:left="2268" w:right="1134" w:hanging="1134"/>
        <w:jc w:val="both"/>
        <w:rPr>
          <w:b/>
        </w:rPr>
      </w:pPr>
      <w:r w:rsidRPr="00FD3034">
        <w:rPr>
          <w:b/>
        </w:rPr>
        <w:t>2.1</w:t>
      </w:r>
      <w:r w:rsidRPr="00FD3034">
        <w:tab/>
      </w:r>
      <w:r w:rsidRPr="00FD3034">
        <w:rPr>
          <w:b/>
        </w:rPr>
        <w:t>Cinq échantillons doivent être soumis à l</w:t>
      </w:r>
      <w:r w:rsidR="006B6352">
        <w:rPr>
          <w:b/>
        </w:rPr>
        <w:t>’</w:t>
      </w:r>
      <w:r w:rsidRPr="00FD3034">
        <w:rPr>
          <w:b/>
        </w:rPr>
        <w:t>essai.</w:t>
      </w:r>
    </w:p>
    <w:p w:rsidR="003A2D14" w:rsidRPr="00FD3034" w:rsidRDefault="003A2D14" w:rsidP="003A2D14">
      <w:pPr>
        <w:keepNext/>
        <w:spacing w:after="120"/>
        <w:ind w:left="2268" w:right="1134" w:hanging="1134"/>
        <w:jc w:val="both"/>
        <w:rPr>
          <w:b/>
        </w:rPr>
      </w:pPr>
      <w:r w:rsidRPr="00FD3034">
        <w:rPr>
          <w:b/>
        </w:rPr>
        <w:t>3.</w:t>
      </w:r>
      <w:r w:rsidRPr="00FD3034">
        <w:tab/>
      </w:r>
      <w:r w:rsidRPr="00FD3034">
        <w:rPr>
          <w:b/>
        </w:rPr>
        <w:t>Échantillons</w:t>
      </w:r>
    </w:p>
    <w:p w:rsidR="003A2D14" w:rsidRPr="00FD3034" w:rsidRDefault="003A2D14" w:rsidP="003A2D14">
      <w:pPr>
        <w:spacing w:after="120"/>
        <w:ind w:left="2268" w:right="1134" w:hanging="1134"/>
        <w:jc w:val="both"/>
        <w:rPr>
          <w:b/>
        </w:rPr>
      </w:pPr>
      <w:r w:rsidRPr="00FD3034">
        <w:rPr>
          <w:b/>
        </w:rPr>
        <w:t>3.1</w:t>
      </w:r>
      <w:r w:rsidRPr="00FD3034">
        <w:tab/>
      </w:r>
      <w:r w:rsidRPr="00FD3034">
        <w:rPr>
          <w:b/>
        </w:rPr>
        <w:t>Le matériau isolant des échantillons doit être d</w:t>
      </w:r>
      <w:r w:rsidR="006B6352">
        <w:rPr>
          <w:b/>
        </w:rPr>
        <w:t>’</w:t>
      </w:r>
      <w:r w:rsidRPr="00FD3034">
        <w:rPr>
          <w:b/>
        </w:rPr>
        <w:t>une longueur minimale de 600 mm.</w:t>
      </w:r>
    </w:p>
    <w:p w:rsidR="003A2D14" w:rsidRPr="00FD3034" w:rsidRDefault="003A2D14" w:rsidP="000F72D3">
      <w:pPr>
        <w:keepNext/>
        <w:spacing w:after="120"/>
        <w:ind w:left="2268" w:right="1134" w:hanging="1134"/>
        <w:jc w:val="both"/>
        <w:rPr>
          <w:b/>
        </w:rPr>
      </w:pPr>
      <w:r w:rsidRPr="00FD3034">
        <w:rPr>
          <w:b/>
        </w:rPr>
        <w:t>4.</w:t>
      </w:r>
      <w:r w:rsidRPr="00FD3034">
        <w:tab/>
      </w:r>
      <w:r w:rsidRPr="00FD3034">
        <w:rPr>
          <w:b/>
        </w:rPr>
        <w:t>Procédure</w:t>
      </w:r>
    </w:p>
    <w:p w:rsidR="003A2D14" w:rsidRPr="00FD3034" w:rsidRDefault="003A2D14" w:rsidP="003A2D14">
      <w:pPr>
        <w:spacing w:after="120"/>
        <w:ind w:left="2268" w:right="1134"/>
        <w:jc w:val="both"/>
        <w:rPr>
          <w:b/>
        </w:rPr>
      </w:pPr>
      <w:r w:rsidRPr="00FD3034">
        <w:tab/>
      </w:r>
      <w:r w:rsidRPr="00FD3034">
        <w:rPr>
          <w:b/>
        </w:rPr>
        <w:t>Déterminer la résistance à la propagation des flammes à l</w:t>
      </w:r>
      <w:r w:rsidR="006B6352">
        <w:rPr>
          <w:b/>
        </w:rPr>
        <w:t>’</w:t>
      </w:r>
      <w:r w:rsidRPr="00FD3034">
        <w:rPr>
          <w:b/>
        </w:rPr>
        <w:t>aide d</w:t>
      </w:r>
      <w:r w:rsidR="006B6352">
        <w:rPr>
          <w:b/>
        </w:rPr>
        <w:t>’</w:t>
      </w:r>
      <w:r w:rsidRPr="00FD3034">
        <w:rPr>
          <w:b/>
        </w:rPr>
        <w:t>un bec Bunsen alimenté par un gaz approprié et doté d</w:t>
      </w:r>
      <w:r w:rsidR="006B6352">
        <w:rPr>
          <w:b/>
        </w:rPr>
        <w:t>’</w:t>
      </w:r>
      <w:r w:rsidRPr="00FD3034">
        <w:rPr>
          <w:b/>
        </w:rPr>
        <w:t>une cheminée de 9 mm de diamètre interne ; la température à l</w:t>
      </w:r>
      <w:r w:rsidR="006B6352">
        <w:rPr>
          <w:b/>
        </w:rPr>
        <w:t>’</w:t>
      </w:r>
      <w:r w:rsidRPr="00FD3034">
        <w:rPr>
          <w:b/>
        </w:rPr>
        <w:t>extrémité de la partie bleue de la flamme doit être de 950° </w:t>
      </w:r>
      <w:r w:rsidRPr="00FD3034">
        <w:rPr>
          <w:b/>
        </w:rPr>
        <w:sym w:font="Symbol" w:char="F0B1"/>
      </w:r>
      <w:r w:rsidRPr="00FD3034">
        <w:rPr>
          <w:b/>
        </w:rPr>
        <w:t> 50 °C.</w:t>
      </w:r>
    </w:p>
    <w:p w:rsidR="003A2D14" w:rsidRPr="00FD3034" w:rsidRDefault="003A2D14" w:rsidP="003A2D14">
      <w:pPr>
        <w:spacing w:after="120"/>
        <w:ind w:left="2268" w:right="1134"/>
        <w:jc w:val="both"/>
        <w:rPr>
          <w:b/>
        </w:rPr>
      </w:pPr>
      <w:r w:rsidRPr="00FD3034">
        <w:tab/>
      </w:r>
      <w:r w:rsidRPr="00FD3034">
        <w:rPr>
          <w:b/>
        </w:rPr>
        <w:t>Mettre l</w:t>
      </w:r>
      <w:r w:rsidR="006B6352">
        <w:rPr>
          <w:b/>
        </w:rPr>
        <w:t>’</w:t>
      </w:r>
      <w:r w:rsidRPr="00FD3034">
        <w:rPr>
          <w:b/>
        </w:rPr>
        <w:t>échantillon en suspension dans une chambre sans courant d</w:t>
      </w:r>
      <w:r w:rsidR="006B6352">
        <w:rPr>
          <w:b/>
        </w:rPr>
        <w:t>’</w:t>
      </w:r>
      <w:r w:rsidRPr="00FD3034">
        <w:rPr>
          <w:b/>
        </w:rPr>
        <w:t>air et l</w:t>
      </w:r>
      <w:r w:rsidR="006B6352">
        <w:rPr>
          <w:b/>
        </w:rPr>
        <w:t>’</w:t>
      </w:r>
      <w:r w:rsidRPr="00FD3034">
        <w:rPr>
          <w:b/>
        </w:rPr>
        <w:t>exposer à l</w:t>
      </w:r>
      <w:r w:rsidR="006B6352">
        <w:rPr>
          <w:b/>
        </w:rPr>
        <w:t>’</w:t>
      </w:r>
      <w:r w:rsidRPr="00FD3034">
        <w:rPr>
          <w:b/>
        </w:rPr>
        <w:t>extrémité de la partie bleue de la flamme, comme il est indiqué à la figure 1. L</w:t>
      </w:r>
      <w:r w:rsidR="006B6352">
        <w:rPr>
          <w:b/>
        </w:rPr>
        <w:t>’</w:t>
      </w:r>
      <w:r w:rsidRPr="00FD3034">
        <w:rPr>
          <w:b/>
        </w:rPr>
        <w:t>extrémité supérieure du câble doit être orientée à l</w:t>
      </w:r>
      <w:r w:rsidR="006B6352">
        <w:rPr>
          <w:b/>
        </w:rPr>
        <w:t>’</w:t>
      </w:r>
      <w:r w:rsidRPr="00FD3034">
        <w:rPr>
          <w:b/>
        </w:rPr>
        <w:t>opposé de la plus proche paroi de la chambre. L</w:t>
      </w:r>
      <w:r w:rsidR="006B6352">
        <w:rPr>
          <w:b/>
        </w:rPr>
        <w:t>’</w:t>
      </w:r>
      <w:r w:rsidRPr="00FD3034">
        <w:rPr>
          <w:b/>
        </w:rPr>
        <w:t>échantillon doit être soumis à une contrainte, par exemple au moyen d</w:t>
      </w:r>
      <w:r w:rsidR="006B6352">
        <w:rPr>
          <w:b/>
        </w:rPr>
        <w:t>’</w:t>
      </w:r>
      <w:r w:rsidRPr="00FD3034">
        <w:rPr>
          <w:b/>
        </w:rPr>
        <w:t>un poids suspendu à une poulie, pour être maintenu droit à tout moment. L</w:t>
      </w:r>
      <w:r w:rsidR="006B6352">
        <w:rPr>
          <w:b/>
        </w:rPr>
        <w:t>’</w:t>
      </w:r>
      <w:r w:rsidRPr="00FD3034">
        <w:rPr>
          <w:b/>
        </w:rPr>
        <w:t>angle du câble par rapport à la verticale doit être de 45° </w:t>
      </w:r>
      <w:r w:rsidRPr="00FD3034">
        <w:rPr>
          <w:b/>
        </w:rPr>
        <w:sym w:font="Symbol" w:char="F0B1"/>
      </w:r>
      <w:r w:rsidRPr="00FD3034">
        <w:rPr>
          <w:b/>
        </w:rPr>
        <w:t> 1°. Dans tous les cas, aucune partie de l</w:t>
      </w:r>
      <w:r w:rsidR="006B6352">
        <w:rPr>
          <w:b/>
        </w:rPr>
        <w:t>’</w:t>
      </w:r>
      <w:r w:rsidRPr="00FD3034">
        <w:rPr>
          <w:b/>
        </w:rPr>
        <w:t>échantillon ne doit se trouver à moins de 100 mm d</w:t>
      </w:r>
      <w:r w:rsidR="006B6352">
        <w:rPr>
          <w:b/>
        </w:rPr>
        <w:t>’</w:t>
      </w:r>
      <w:r w:rsidRPr="00FD3034">
        <w:rPr>
          <w:b/>
        </w:rPr>
        <w:t>une des parois de la chambre. Appliquer l</w:t>
      </w:r>
      <w:r w:rsidR="006B6352">
        <w:rPr>
          <w:b/>
        </w:rPr>
        <w:t>’</w:t>
      </w:r>
      <w:r w:rsidRPr="00FD3034">
        <w:rPr>
          <w:b/>
        </w:rPr>
        <w:t>extrémité de la flamme bleue à 500 </w:t>
      </w:r>
      <w:r w:rsidRPr="00FD3034">
        <w:rPr>
          <w:b/>
        </w:rPr>
        <w:sym w:font="Symbol" w:char="F0B1"/>
      </w:r>
      <w:r w:rsidRPr="00FD3034">
        <w:rPr>
          <w:b/>
        </w:rPr>
        <w:t> 5 mm de l</w:t>
      </w:r>
      <w:r w:rsidR="006B6352">
        <w:rPr>
          <w:b/>
        </w:rPr>
        <w:t>’</w:t>
      </w:r>
      <w:r w:rsidRPr="00FD3034">
        <w:rPr>
          <w:b/>
        </w:rPr>
        <w:t>isolant au sommet de l</w:t>
      </w:r>
      <w:r w:rsidR="006B6352">
        <w:rPr>
          <w:b/>
        </w:rPr>
        <w:t>’</w:t>
      </w:r>
      <w:r w:rsidRPr="00FD3034">
        <w:rPr>
          <w:b/>
        </w:rPr>
        <w:t>échantillon.</w:t>
      </w:r>
    </w:p>
    <w:p w:rsidR="003A2D14" w:rsidRPr="00FD3034" w:rsidRDefault="000F72D3" w:rsidP="003A2D14">
      <w:pPr>
        <w:keepNext/>
        <w:keepLines/>
        <w:spacing w:after="120" w:line="240" w:lineRule="auto"/>
        <w:ind w:left="1134"/>
        <w:outlineLvl w:val="0"/>
        <w:rPr>
          <w:b/>
          <w:bCs/>
        </w:rPr>
      </w:pPr>
      <w:r>
        <w:rPr>
          <w:b/>
          <w:bCs/>
        </w:rPr>
        <w:t>Figure </w:t>
      </w:r>
      <w:r w:rsidR="003A2D14" w:rsidRPr="00FD3034">
        <w:rPr>
          <w:b/>
          <w:bCs/>
        </w:rPr>
        <w:t>1</w:t>
      </w:r>
      <w:r>
        <w:rPr>
          <w:b/>
          <w:bCs/>
        </w:rPr>
        <w:t xml:space="preserve"> </w:t>
      </w:r>
      <w:r w:rsidR="003A2D14" w:rsidRPr="00FD3034">
        <w:rPr>
          <w:b/>
          <w:bCs/>
        </w:rPr>
        <w:br/>
        <w:t xml:space="preserve">Appareillage de mesure de la résistance à la propagation des flammes </w:t>
      </w:r>
      <w:r w:rsidR="003A2D14" w:rsidRPr="00FD3034">
        <w:rPr>
          <w:b/>
          <w:bCs/>
        </w:rPr>
        <w:br/>
        <w:t>(dimensions en millimètres)</w:t>
      </w:r>
    </w:p>
    <w:p w:rsidR="003A2D14" w:rsidRPr="00FD3034" w:rsidRDefault="003A2D14" w:rsidP="003A2D14">
      <w:pPr>
        <w:spacing w:after="120"/>
        <w:ind w:left="1134" w:right="1134"/>
        <w:jc w:val="both"/>
      </w:pPr>
      <w:r w:rsidRPr="00FD3034">
        <w:rPr>
          <w:noProof/>
          <w:lang w:val="en-GB" w:eastAsia="en-GB"/>
        </w:rPr>
        <mc:AlternateContent>
          <mc:Choice Requires="wps">
            <w:drawing>
              <wp:anchor distT="0" distB="0" distL="114300" distR="114300" simplePos="0" relativeHeight="251660288" behindDoc="0" locked="0" layoutInCell="1" allowOverlap="1" wp14:anchorId="22B3DE18" wp14:editId="695C09B8">
                <wp:simplePos x="0" y="0"/>
                <wp:positionH relativeFrom="column">
                  <wp:posOffset>3375660</wp:posOffset>
                </wp:positionH>
                <wp:positionV relativeFrom="paragraph">
                  <wp:posOffset>1202690</wp:posOffset>
                </wp:positionV>
                <wp:extent cx="793750" cy="571500"/>
                <wp:effectExtent l="0" t="0" r="6350" b="0"/>
                <wp:wrapNone/>
                <wp:docPr id="6" name="Zone de texte 6"/>
                <wp:cNvGraphicFramePr/>
                <a:graphic xmlns:a="http://schemas.openxmlformats.org/drawingml/2006/main">
                  <a:graphicData uri="http://schemas.microsoft.com/office/word/2010/wordprocessingShape">
                    <wps:wsp>
                      <wps:cNvSpPr txBox="1"/>
                      <wps:spPr>
                        <a:xfrm>
                          <a:off x="0" y="0"/>
                          <a:ext cx="793750" cy="571500"/>
                        </a:xfrm>
                        <a:prstGeom prst="rect">
                          <a:avLst/>
                        </a:prstGeom>
                        <a:solidFill>
                          <a:sysClr val="window" lastClr="FFFFFF"/>
                        </a:solidFill>
                        <a:ln w="6350">
                          <a:noFill/>
                        </a:ln>
                        <a:effectLst/>
                      </wps:spPr>
                      <wps:txbx>
                        <w:txbxContent>
                          <w:p w:rsidR="006732C2" w:rsidRPr="00343AB9" w:rsidRDefault="006732C2" w:rsidP="003A2D14">
                            <w:pPr>
                              <w:tabs>
                                <w:tab w:val="left" w:pos="0"/>
                                <w:tab w:val="left" w:pos="1701"/>
                                <w:tab w:val="left" w:pos="1843"/>
                                <w:tab w:val="left" w:pos="2268"/>
                                <w:tab w:val="left" w:pos="2947"/>
                                <w:tab w:val="left" w:pos="3683"/>
                                <w:tab w:val="left" w:pos="4419"/>
                                <w:tab w:val="left" w:pos="5155"/>
                                <w:tab w:val="left" w:pos="5891"/>
                                <w:tab w:val="left" w:pos="6627"/>
                                <w:tab w:val="left" w:pos="7363"/>
                                <w:tab w:val="left" w:pos="9356"/>
                              </w:tabs>
                              <w:rPr>
                                <w:rFonts w:asciiTheme="majorBidi" w:hAnsiTheme="majorBidi" w:cstheme="majorBidi"/>
                                <w:noProof/>
                                <w:sz w:val="18"/>
                                <w:szCs w:val="18"/>
                              </w:rPr>
                            </w:pPr>
                            <w:r w:rsidRPr="00343AB9">
                              <w:rPr>
                                <w:rFonts w:asciiTheme="majorBidi" w:hAnsiTheme="majorBidi" w:cstheme="majorBidi"/>
                                <w:b/>
                                <w:noProof/>
                                <w:sz w:val="18"/>
                                <w:szCs w:val="18"/>
                              </w:rPr>
                              <w:t>Légende</w:t>
                            </w:r>
                          </w:p>
                          <w:p w:rsidR="006732C2" w:rsidRPr="00343AB9" w:rsidRDefault="006732C2" w:rsidP="003A2D14">
                            <w:pPr>
                              <w:tabs>
                                <w:tab w:val="left" w:pos="0"/>
                                <w:tab w:val="left" w:pos="1701"/>
                                <w:tab w:val="left" w:pos="1843"/>
                                <w:tab w:val="left" w:pos="2268"/>
                                <w:tab w:val="left" w:pos="2947"/>
                                <w:tab w:val="left" w:pos="3683"/>
                                <w:tab w:val="left" w:pos="4419"/>
                                <w:tab w:val="left" w:pos="5155"/>
                                <w:tab w:val="left" w:pos="5891"/>
                                <w:tab w:val="left" w:pos="6627"/>
                                <w:tab w:val="left" w:pos="7363"/>
                                <w:tab w:val="left" w:pos="9356"/>
                              </w:tabs>
                              <w:rPr>
                                <w:rFonts w:asciiTheme="majorBidi" w:hAnsiTheme="majorBidi" w:cstheme="majorBidi"/>
                                <w:b/>
                                <w:noProof/>
                                <w:sz w:val="18"/>
                                <w:szCs w:val="18"/>
                              </w:rPr>
                            </w:pPr>
                            <w:r w:rsidRPr="00343AB9">
                              <w:rPr>
                                <w:rFonts w:asciiTheme="majorBidi" w:hAnsiTheme="majorBidi" w:cstheme="majorBidi"/>
                                <w:b/>
                                <w:noProof/>
                                <w:sz w:val="18"/>
                                <w:szCs w:val="18"/>
                              </w:rPr>
                              <w:t>1</w:t>
                            </w:r>
                            <w:r>
                              <w:rPr>
                                <w:rFonts w:asciiTheme="majorBidi" w:hAnsiTheme="majorBidi" w:cstheme="majorBidi"/>
                                <w:b/>
                                <w:noProof/>
                                <w:sz w:val="18"/>
                                <w:szCs w:val="18"/>
                              </w:rPr>
                              <w:t xml:space="preserve"> </w:t>
                            </w:r>
                            <w:r w:rsidRPr="00343AB9">
                              <w:rPr>
                                <w:rFonts w:asciiTheme="majorBidi" w:hAnsiTheme="majorBidi" w:cstheme="majorBidi"/>
                                <w:b/>
                                <w:noProof/>
                                <w:sz w:val="18"/>
                                <w:szCs w:val="18"/>
                              </w:rPr>
                              <w:t>Échantillon</w:t>
                            </w:r>
                          </w:p>
                          <w:p w:rsidR="006732C2" w:rsidRPr="00343AB9" w:rsidRDefault="006732C2" w:rsidP="003A2D14">
                            <w:pPr>
                              <w:rPr>
                                <w:sz w:val="18"/>
                                <w:szCs w:val="18"/>
                              </w:rPr>
                            </w:pPr>
                            <w:r w:rsidRPr="00343AB9">
                              <w:rPr>
                                <w:rFonts w:asciiTheme="majorBidi" w:hAnsiTheme="majorBidi" w:cstheme="majorBidi"/>
                                <w:b/>
                                <w:noProof/>
                                <w:sz w:val="18"/>
                                <w:szCs w:val="18"/>
                              </w:rPr>
                              <w:t>2</w:t>
                            </w:r>
                            <w:r>
                              <w:rPr>
                                <w:rFonts w:asciiTheme="majorBidi" w:hAnsiTheme="majorBidi" w:cstheme="majorBidi"/>
                                <w:b/>
                                <w:noProof/>
                                <w:sz w:val="18"/>
                                <w:szCs w:val="18"/>
                              </w:rPr>
                              <w:t xml:space="preserve"> </w:t>
                            </w:r>
                            <w:r w:rsidRPr="00343AB9">
                              <w:rPr>
                                <w:rFonts w:asciiTheme="majorBidi" w:hAnsiTheme="majorBidi" w:cstheme="majorBidi"/>
                                <w:b/>
                                <w:noProof/>
                                <w:sz w:val="18"/>
                                <w:szCs w:val="18"/>
                              </w:rPr>
                              <w:t>Bec Bunsen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27" type="#_x0000_t202" style="position:absolute;left:0;text-align:left;margin-left:265.8pt;margin-top:94.7pt;width:62.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" fillcolor="window" stroked="f" strokeweight=".5pt">
                <v:textbox inset="0,0,0,0">
                  <w:txbxContent>
                    <w:p w:rsidR="006732C2" w:rsidRPr="00343AB9" w:rsidRDefault="006732C2" w:rsidP="003A2D14">
                      <w:pPr>
                        <w:tabs>
                          <w:tab w:val="left" w:pos="0"/>
                          <w:tab w:val="left" w:pos="1701"/>
                          <w:tab w:val="left" w:pos="1843"/>
                          <w:tab w:val="left" w:pos="2268"/>
                          <w:tab w:val="left" w:pos="2947"/>
                          <w:tab w:val="left" w:pos="3683"/>
                          <w:tab w:val="left" w:pos="4419"/>
                          <w:tab w:val="left" w:pos="5155"/>
                          <w:tab w:val="left" w:pos="5891"/>
                          <w:tab w:val="left" w:pos="6627"/>
                          <w:tab w:val="left" w:pos="7363"/>
                          <w:tab w:val="left" w:pos="9356"/>
                        </w:tabs>
                        <w:rPr>
                          <w:rFonts w:asciiTheme="majorBidi" w:hAnsiTheme="majorBidi" w:cstheme="majorBidi"/>
                          <w:noProof/>
                          <w:sz w:val="18"/>
                          <w:szCs w:val="18"/>
                        </w:rPr>
                      </w:pPr>
                      <w:r w:rsidRPr="00343AB9">
                        <w:rPr>
                          <w:rFonts w:asciiTheme="majorBidi" w:hAnsiTheme="majorBidi" w:cstheme="majorBidi"/>
                          <w:b/>
                          <w:noProof/>
                          <w:sz w:val="18"/>
                          <w:szCs w:val="18"/>
                        </w:rPr>
                        <w:t>Légende</w:t>
                      </w:r>
                    </w:p>
                    <w:p w:rsidR="006732C2" w:rsidRPr="00343AB9" w:rsidRDefault="006732C2" w:rsidP="003A2D14">
                      <w:pPr>
                        <w:tabs>
                          <w:tab w:val="left" w:pos="0"/>
                          <w:tab w:val="left" w:pos="1701"/>
                          <w:tab w:val="left" w:pos="1843"/>
                          <w:tab w:val="left" w:pos="2268"/>
                          <w:tab w:val="left" w:pos="2947"/>
                          <w:tab w:val="left" w:pos="3683"/>
                          <w:tab w:val="left" w:pos="4419"/>
                          <w:tab w:val="left" w:pos="5155"/>
                          <w:tab w:val="left" w:pos="5891"/>
                          <w:tab w:val="left" w:pos="6627"/>
                          <w:tab w:val="left" w:pos="7363"/>
                          <w:tab w:val="left" w:pos="9356"/>
                        </w:tabs>
                        <w:rPr>
                          <w:rFonts w:asciiTheme="majorBidi" w:hAnsiTheme="majorBidi" w:cstheme="majorBidi"/>
                          <w:b/>
                          <w:noProof/>
                          <w:sz w:val="18"/>
                          <w:szCs w:val="18"/>
                        </w:rPr>
                      </w:pPr>
                      <w:r w:rsidRPr="00343AB9">
                        <w:rPr>
                          <w:rFonts w:asciiTheme="majorBidi" w:hAnsiTheme="majorBidi" w:cstheme="majorBidi"/>
                          <w:b/>
                          <w:noProof/>
                          <w:sz w:val="18"/>
                          <w:szCs w:val="18"/>
                        </w:rPr>
                        <w:t>1</w:t>
                      </w:r>
                      <w:r>
                        <w:rPr>
                          <w:rFonts w:asciiTheme="majorBidi" w:hAnsiTheme="majorBidi" w:cstheme="majorBidi"/>
                          <w:b/>
                          <w:noProof/>
                          <w:sz w:val="18"/>
                          <w:szCs w:val="18"/>
                        </w:rPr>
                        <w:t xml:space="preserve"> </w:t>
                      </w:r>
                      <w:r w:rsidRPr="00343AB9">
                        <w:rPr>
                          <w:rFonts w:asciiTheme="majorBidi" w:hAnsiTheme="majorBidi" w:cstheme="majorBidi"/>
                          <w:b/>
                          <w:noProof/>
                          <w:sz w:val="18"/>
                          <w:szCs w:val="18"/>
                        </w:rPr>
                        <w:t>Échantillon</w:t>
                      </w:r>
                    </w:p>
                    <w:p w:rsidR="006732C2" w:rsidRPr="00343AB9" w:rsidRDefault="006732C2" w:rsidP="003A2D14">
                      <w:pPr>
                        <w:rPr>
                          <w:sz w:val="18"/>
                          <w:szCs w:val="18"/>
                        </w:rPr>
                      </w:pPr>
                      <w:r w:rsidRPr="00343AB9">
                        <w:rPr>
                          <w:rFonts w:asciiTheme="majorBidi" w:hAnsiTheme="majorBidi" w:cstheme="majorBidi"/>
                          <w:b/>
                          <w:noProof/>
                          <w:sz w:val="18"/>
                          <w:szCs w:val="18"/>
                        </w:rPr>
                        <w:t>2</w:t>
                      </w:r>
                      <w:r>
                        <w:rPr>
                          <w:rFonts w:asciiTheme="majorBidi" w:hAnsiTheme="majorBidi" w:cstheme="majorBidi"/>
                          <w:b/>
                          <w:noProof/>
                          <w:sz w:val="18"/>
                          <w:szCs w:val="18"/>
                        </w:rPr>
                        <w:t xml:space="preserve"> </w:t>
                      </w:r>
                      <w:r w:rsidRPr="00343AB9">
                        <w:rPr>
                          <w:rFonts w:asciiTheme="majorBidi" w:hAnsiTheme="majorBidi" w:cstheme="majorBidi"/>
                          <w:b/>
                          <w:noProof/>
                          <w:sz w:val="18"/>
                          <w:szCs w:val="18"/>
                        </w:rPr>
                        <w:t>Bec Bunsen</w:t>
                      </w:r>
                    </w:p>
                  </w:txbxContent>
                </v:textbox>
              </v:shape>
            </w:pict>
          </mc:Fallback>
        </mc:AlternateContent>
      </w:r>
      <w:r w:rsidRPr="00FD3034">
        <w:rPr>
          <w:noProof/>
          <w:lang w:val="en-GB" w:eastAsia="en-GB"/>
        </w:rPr>
        <w:drawing>
          <wp:inline distT="0" distB="0" distL="0" distR="0" wp14:anchorId="0AEDD13B" wp14:editId="608081CC">
            <wp:extent cx="4324350" cy="192587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rotWithShape="1">
                    <a:blip r:embed="rId12">
                      <a:extLst>
                        <a:ext uri="{28A0092B-C50C-407E-A947-70E740481C1C}">
                          <a14:useLocalDpi xmlns:a14="http://schemas.microsoft.com/office/drawing/2010/main" val="0"/>
                        </a:ext>
                      </a:extLst>
                    </a:blip>
                    <a:srcRect l="1" r="-104948"/>
                    <a:stretch/>
                  </pic:blipFill>
                  <pic:spPr bwMode="auto">
                    <a:xfrm>
                      <a:off x="0" y="0"/>
                      <a:ext cx="4329656" cy="1928235"/>
                    </a:xfrm>
                    <a:prstGeom prst="rect">
                      <a:avLst/>
                    </a:prstGeom>
                    <a:noFill/>
                    <a:ln>
                      <a:noFill/>
                    </a:ln>
                    <a:extLst>
                      <a:ext uri="{53640926-AAD7-44D8-BBD7-CCE9431645EC}">
                        <a14:shadowObscured xmlns:a14="http://schemas.microsoft.com/office/drawing/2010/main"/>
                      </a:ext>
                    </a:extLst>
                  </pic:spPr>
                </pic:pic>
              </a:graphicData>
            </a:graphic>
          </wp:inline>
        </w:drawing>
      </w:r>
      <w:r w:rsidRPr="00FD3034">
        <w:t> ».</w:t>
      </w:r>
    </w:p>
    <w:p w:rsidR="003A2D14" w:rsidRPr="00FD3034" w:rsidRDefault="003A2D14" w:rsidP="000F72D3">
      <w:pPr>
        <w:pStyle w:val="HChG"/>
      </w:pPr>
      <w:r w:rsidRPr="00FD3034">
        <w:br w:type="page"/>
      </w:r>
      <w:r w:rsidR="000F72D3">
        <w:t>Annexe </w:t>
      </w:r>
      <w:r w:rsidRPr="00FD3034">
        <w:t>IV</w:t>
      </w:r>
    </w:p>
    <w:p w:rsidR="003A2D14" w:rsidRPr="00FD3034" w:rsidRDefault="003A2D14" w:rsidP="000F72D3">
      <w:pPr>
        <w:pStyle w:val="HChG"/>
      </w:pPr>
      <w:r w:rsidRPr="00FD3034">
        <w:tab/>
      </w:r>
      <w:r w:rsidRPr="00FD3034">
        <w:tab/>
        <w:t>Groupes informels relevant du GRSG</w:t>
      </w:r>
    </w:p>
    <w:tbl>
      <w:tblPr>
        <w:tblW w:w="0" w:type="auto"/>
        <w:tblInd w:w="1134" w:type="dxa"/>
        <w:tblLayout w:type="fixed"/>
        <w:tblCellMar>
          <w:left w:w="0" w:type="dxa"/>
          <w:right w:w="0" w:type="dxa"/>
        </w:tblCellMar>
        <w:tblLook w:val="01E0" w:firstRow="1" w:lastRow="1" w:firstColumn="1" w:lastColumn="1" w:noHBand="0" w:noVBand="0"/>
      </w:tblPr>
      <w:tblGrid>
        <w:gridCol w:w="2000"/>
        <w:gridCol w:w="3270"/>
        <w:gridCol w:w="3234"/>
      </w:tblGrid>
      <w:tr w:rsidR="003A2D14" w:rsidRPr="000F72D3" w:rsidTr="00A53366">
        <w:trPr>
          <w:tblHeader/>
        </w:trPr>
        <w:tc>
          <w:tcPr>
            <w:tcW w:w="2000" w:type="dxa"/>
            <w:tcBorders>
              <w:top w:val="single" w:sz="4" w:space="0" w:color="auto"/>
              <w:bottom w:val="single" w:sz="12" w:space="0" w:color="auto"/>
            </w:tcBorders>
            <w:shd w:val="clear" w:color="auto" w:fill="auto"/>
            <w:vAlign w:val="bottom"/>
          </w:tcPr>
          <w:p w:rsidR="003A2D14" w:rsidRPr="000F72D3" w:rsidRDefault="003A2D14" w:rsidP="00A53366">
            <w:pPr>
              <w:spacing w:before="80" w:after="80" w:line="200" w:lineRule="exact"/>
              <w:ind w:right="113"/>
              <w:rPr>
                <w:i/>
                <w:sz w:val="16"/>
              </w:rPr>
            </w:pPr>
            <w:r w:rsidRPr="000F72D3">
              <w:rPr>
                <w:i/>
                <w:sz w:val="16"/>
              </w:rPr>
              <w:t>Groupe informel</w:t>
            </w:r>
          </w:p>
        </w:tc>
        <w:tc>
          <w:tcPr>
            <w:tcW w:w="3270" w:type="dxa"/>
            <w:tcBorders>
              <w:top w:val="single" w:sz="4" w:space="0" w:color="auto"/>
              <w:bottom w:val="single" w:sz="12" w:space="0" w:color="auto"/>
            </w:tcBorders>
            <w:shd w:val="clear" w:color="auto" w:fill="auto"/>
            <w:tcMar>
              <w:left w:w="113" w:type="dxa"/>
            </w:tcMar>
            <w:vAlign w:val="bottom"/>
          </w:tcPr>
          <w:p w:rsidR="003A2D14" w:rsidRPr="000F72D3" w:rsidRDefault="003A2D14" w:rsidP="00A53366">
            <w:pPr>
              <w:spacing w:before="80" w:after="80" w:line="200" w:lineRule="exact"/>
              <w:ind w:right="113"/>
              <w:rPr>
                <w:i/>
                <w:sz w:val="16"/>
              </w:rPr>
            </w:pPr>
            <w:r w:rsidRPr="000F72D3">
              <w:rPr>
                <w:i/>
                <w:sz w:val="16"/>
              </w:rPr>
              <w:t>Président</w:t>
            </w:r>
          </w:p>
        </w:tc>
        <w:tc>
          <w:tcPr>
            <w:tcW w:w="3234" w:type="dxa"/>
            <w:tcBorders>
              <w:top w:val="single" w:sz="4" w:space="0" w:color="auto"/>
              <w:bottom w:val="single" w:sz="12" w:space="0" w:color="auto"/>
            </w:tcBorders>
            <w:shd w:val="clear" w:color="auto" w:fill="auto"/>
            <w:tcMar>
              <w:left w:w="113" w:type="dxa"/>
            </w:tcMar>
            <w:vAlign w:val="bottom"/>
          </w:tcPr>
          <w:p w:rsidR="003A2D14" w:rsidRPr="000F72D3" w:rsidRDefault="003A2D14" w:rsidP="00A53366">
            <w:pPr>
              <w:spacing w:before="80" w:after="80" w:line="200" w:lineRule="exact"/>
              <w:ind w:right="113"/>
              <w:rPr>
                <w:i/>
                <w:sz w:val="16"/>
              </w:rPr>
            </w:pPr>
            <w:r w:rsidRPr="000F72D3">
              <w:rPr>
                <w:i/>
                <w:sz w:val="16"/>
              </w:rPr>
              <w:t>Secrétaire</w:t>
            </w:r>
          </w:p>
        </w:tc>
      </w:tr>
      <w:tr w:rsidR="000F72D3" w:rsidRPr="000F72D3" w:rsidTr="00A53366">
        <w:trPr>
          <w:trHeight w:hRule="exact" w:val="113"/>
        </w:trPr>
        <w:tc>
          <w:tcPr>
            <w:tcW w:w="2000" w:type="dxa"/>
            <w:tcBorders>
              <w:top w:val="single" w:sz="12" w:space="0" w:color="auto"/>
            </w:tcBorders>
            <w:shd w:val="clear" w:color="auto" w:fill="auto"/>
          </w:tcPr>
          <w:p w:rsidR="000F72D3" w:rsidRPr="000F72D3" w:rsidRDefault="000F72D3" w:rsidP="000F72D3">
            <w:pPr>
              <w:spacing w:before="40" w:after="120"/>
              <w:ind w:right="113"/>
            </w:pPr>
          </w:p>
        </w:tc>
        <w:tc>
          <w:tcPr>
            <w:tcW w:w="3270" w:type="dxa"/>
            <w:tcBorders>
              <w:top w:val="single" w:sz="12" w:space="0" w:color="auto"/>
            </w:tcBorders>
            <w:shd w:val="clear" w:color="auto" w:fill="auto"/>
            <w:tcMar>
              <w:left w:w="113" w:type="dxa"/>
            </w:tcMar>
          </w:tcPr>
          <w:p w:rsidR="000F72D3" w:rsidRPr="000F72D3" w:rsidRDefault="000F72D3" w:rsidP="000F72D3">
            <w:pPr>
              <w:spacing w:before="40" w:after="120"/>
              <w:ind w:right="113"/>
            </w:pPr>
          </w:p>
        </w:tc>
        <w:tc>
          <w:tcPr>
            <w:tcW w:w="3234" w:type="dxa"/>
            <w:tcBorders>
              <w:top w:val="single" w:sz="12" w:space="0" w:color="auto"/>
            </w:tcBorders>
            <w:shd w:val="clear" w:color="auto" w:fill="auto"/>
            <w:tcMar>
              <w:left w:w="113" w:type="dxa"/>
            </w:tcMar>
          </w:tcPr>
          <w:p w:rsidR="000F72D3" w:rsidRPr="000F72D3" w:rsidRDefault="000F72D3" w:rsidP="000F72D3">
            <w:pPr>
              <w:spacing w:before="40" w:after="120"/>
              <w:ind w:right="113"/>
            </w:pPr>
          </w:p>
        </w:tc>
      </w:tr>
      <w:tr w:rsidR="003A2D14" w:rsidRPr="006732C2" w:rsidTr="00A53366">
        <w:trPr>
          <w:trHeight w:val="20"/>
        </w:trPr>
        <w:tc>
          <w:tcPr>
            <w:tcW w:w="2000" w:type="dxa"/>
            <w:shd w:val="clear" w:color="auto" w:fill="auto"/>
          </w:tcPr>
          <w:p w:rsidR="006732C2" w:rsidRPr="006732C2" w:rsidRDefault="003A2D14" w:rsidP="00A53366">
            <w:pPr>
              <w:pStyle w:val="SingleTxtGR"/>
              <w:spacing w:after="0" w:line="220" w:lineRule="exact"/>
              <w:ind w:left="0" w:right="0"/>
              <w:jc w:val="left"/>
              <w:rPr>
                <w:sz w:val="18"/>
                <w:szCs w:val="18"/>
                <w:lang w:val="fr-CH"/>
              </w:rPr>
            </w:pPr>
            <w:r w:rsidRPr="006732C2">
              <w:rPr>
                <w:sz w:val="18"/>
                <w:szCs w:val="18"/>
                <w:lang w:val="fr-CH"/>
              </w:rPr>
              <w:t>Systèmes automatiques d</w:t>
            </w:r>
            <w:r w:rsidR="006B6352" w:rsidRPr="006732C2">
              <w:rPr>
                <w:sz w:val="18"/>
                <w:szCs w:val="18"/>
                <w:lang w:val="fr-CH"/>
              </w:rPr>
              <w:t>’</w:t>
            </w:r>
            <w:r w:rsidRPr="006732C2">
              <w:rPr>
                <w:sz w:val="18"/>
                <w:szCs w:val="18"/>
                <w:lang w:val="fr-CH"/>
              </w:rPr>
              <w:t>appel d</w:t>
            </w:r>
            <w:r w:rsidR="006B6352" w:rsidRPr="006732C2">
              <w:rPr>
                <w:sz w:val="18"/>
                <w:szCs w:val="18"/>
                <w:lang w:val="fr-CH"/>
              </w:rPr>
              <w:t>’</w:t>
            </w:r>
            <w:r w:rsidRPr="006732C2">
              <w:rPr>
                <w:sz w:val="18"/>
                <w:szCs w:val="18"/>
                <w:lang w:val="fr-CH"/>
              </w:rPr>
              <w:t xml:space="preserve">urgence </w:t>
            </w:r>
          </w:p>
        </w:tc>
        <w:tc>
          <w:tcPr>
            <w:tcW w:w="3270" w:type="dxa"/>
            <w:shd w:val="clear" w:color="auto" w:fill="auto"/>
            <w:tcMar>
              <w:top w:w="113" w:type="dxa"/>
              <w:left w:w="113" w:type="dxa"/>
              <w:bottom w:w="113" w:type="dxa"/>
            </w:tcMar>
          </w:tcPr>
          <w:p w:rsidR="003A2D14" w:rsidRPr="006732C2" w:rsidRDefault="00A53366" w:rsidP="00A53366">
            <w:pPr>
              <w:pStyle w:val="SingleTxtGR"/>
              <w:spacing w:after="0" w:line="220" w:lineRule="exact"/>
              <w:ind w:left="0" w:right="0"/>
              <w:jc w:val="left"/>
              <w:rPr>
                <w:sz w:val="18"/>
                <w:szCs w:val="18"/>
                <w:lang w:val="fr-CH"/>
              </w:rPr>
            </w:pPr>
            <w:r w:rsidRPr="006732C2">
              <w:rPr>
                <w:sz w:val="18"/>
                <w:szCs w:val="18"/>
                <w:lang w:val="fr-CH"/>
              </w:rPr>
              <w:t>M. </w:t>
            </w:r>
            <w:r w:rsidR="003A2D14" w:rsidRPr="006732C2">
              <w:rPr>
                <w:sz w:val="18"/>
                <w:szCs w:val="18"/>
                <w:lang w:val="fr-CH"/>
              </w:rPr>
              <w:t>D. Zagarin (Fédération de Russie)</w:t>
            </w:r>
          </w:p>
          <w:p w:rsidR="003A2D14" w:rsidRPr="006732C2" w:rsidRDefault="003A2D14" w:rsidP="00A53366">
            <w:pPr>
              <w:pStyle w:val="SingleTxtGR"/>
              <w:spacing w:after="0" w:line="220" w:lineRule="exact"/>
              <w:ind w:left="0" w:right="0"/>
              <w:jc w:val="left"/>
              <w:rPr>
                <w:sz w:val="18"/>
                <w:szCs w:val="18"/>
                <w:lang w:val="fr-CH"/>
              </w:rPr>
            </w:pPr>
            <w:r w:rsidRPr="006732C2">
              <w:rPr>
                <w:sz w:val="18"/>
                <w:szCs w:val="18"/>
                <w:lang w:val="fr-CH"/>
              </w:rPr>
              <w:t>Tél. : +7 495 9949916</w:t>
            </w:r>
          </w:p>
          <w:p w:rsidR="003A2D14" w:rsidRPr="006732C2" w:rsidRDefault="003A2D14" w:rsidP="00A53366">
            <w:pPr>
              <w:pStyle w:val="SingleTxtGR"/>
              <w:spacing w:after="0" w:line="220" w:lineRule="exact"/>
              <w:ind w:left="0" w:right="0"/>
              <w:jc w:val="left"/>
              <w:rPr>
                <w:sz w:val="18"/>
                <w:szCs w:val="18"/>
                <w:lang w:val="fr-CH"/>
              </w:rPr>
            </w:pPr>
            <w:r w:rsidRPr="006732C2">
              <w:rPr>
                <w:sz w:val="18"/>
                <w:szCs w:val="18"/>
                <w:lang w:val="fr-CH"/>
              </w:rPr>
              <w:t>Fax : +7 495 9949940</w:t>
            </w:r>
          </w:p>
          <w:p w:rsidR="003A2D14" w:rsidRPr="006732C2" w:rsidRDefault="003A2D14" w:rsidP="00A53366">
            <w:pPr>
              <w:pStyle w:val="SingleTxtGR"/>
              <w:spacing w:after="0" w:line="220" w:lineRule="exact"/>
              <w:ind w:left="0" w:right="0"/>
              <w:jc w:val="left"/>
              <w:rPr>
                <w:sz w:val="18"/>
                <w:szCs w:val="18"/>
                <w:lang w:val="fr-CH"/>
              </w:rPr>
            </w:pPr>
            <w:r w:rsidRPr="006732C2">
              <w:rPr>
                <w:sz w:val="18"/>
                <w:szCs w:val="18"/>
                <w:lang w:val="fr-CH"/>
              </w:rPr>
              <w:t>Courriel : zagarin@autorc.ru</w:t>
            </w:r>
          </w:p>
        </w:tc>
        <w:tc>
          <w:tcPr>
            <w:tcW w:w="3234" w:type="dxa"/>
            <w:shd w:val="clear" w:color="auto" w:fill="auto"/>
            <w:tcMar>
              <w:top w:w="113" w:type="dxa"/>
              <w:bottom w:w="113" w:type="dxa"/>
            </w:tcMar>
          </w:tcPr>
          <w:p w:rsidR="003A2D14" w:rsidRPr="006732C2" w:rsidRDefault="006732C2" w:rsidP="00A53366">
            <w:pPr>
              <w:pStyle w:val="SingleTxtGR"/>
              <w:spacing w:after="0" w:line="220" w:lineRule="exact"/>
              <w:ind w:left="0" w:right="0"/>
              <w:jc w:val="left"/>
              <w:rPr>
                <w:sz w:val="18"/>
                <w:szCs w:val="18"/>
                <w:lang w:val="fr-CH"/>
              </w:rPr>
            </w:pPr>
            <w:r w:rsidRPr="006732C2">
              <w:rPr>
                <w:sz w:val="18"/>
                <w:szCs w:val="18"/>
                <w:lang w:val="fr-CH"/>
              </w:rPr>
              <w:t>M. O. </w:t>
            </w:r>
            <w:r w:rsidR="003A2D14" w:rsidRPr="006732C2">
              <w:rPr>
                <w:sz w:val="18"/>
                <w:szCs w:val="18"/>
                <w:lang w:val="fr-CH"/>
              </w:rPr>
              <w:t>Fontaine (OICA)</w:t>
            </w:r>
          </w:p>
          <w:p w:rsidR="003A2D14" w:rsidRPr="006732C2" w:rsidRDefault="003A2D14" w:rsidP="00A53366">
            <w:pPr>
              <w:pStyle w:val="SingleTxtGR"/>
              <w:spacing w:after="0" w:line="220" w:lineRule="exact"/>
              <w:ind w:left="0" w:right="0"/>
              <w:jc w:val="left"/>
              <w:rPr>
                <w:sz w:val="18"/>
                <w:szCs w:val="18"/>
                <w:lang w:val="fr-CH"/>
              </w:rPr>
            </w:pPr>
            <w:r w:rsidRPr="006732C2">
              <w:rPr>
                <w:sz w:val="18"/>
                <w:szCs w:val="18"/>
                <w:lang w:val="fr-CH"/>
              </w:rPr>
              <w:t>Tél. : +33 1</w:t>
            </w:r>
            <w:r w:rsidRPr="006732C2">
              <w:rPr>
                <w:sz w:val="18"/>
                <w:szCs w:val="18"/>
                <w:lang w:val="fr-CH"/>
              </w:rPr>
              <w:noBreakHyphen/>
              <w:t>43590013</w:t>
            </w:r>
          </w:p>
          <w:p w:rsidR="003A2D14" w:rsidRPr="006732C2" w:rsidRDefault="003A2D14" w:rsidP="00A53366">
            <w:pPr>
              <w:pStyle w:val="SingleTxtGR"/>
              <w:spacing w:after="0" w:line="220" w:lineRule="exact"/>
              <w:ind w:left="0" w:right="0"/>
              <w:jc w:val="left"/>
              <w:rPr>
                <w:sz w:val="18"/>
                <w:szCs w:val="18"/>
                <w:lang w:val="fr-CH"/>
              </w:rPr>
            </w:pPr>
            <w:r w:rsidRPr="006732C2">
              <w:rPr>
                <w:sz w:val="18"/>
                <w:szCs w:val="18"/>
                <w:lang w:val="fr-CH"/>
              </w:rPr>
              <w:t>Fax : +33 1</w:t>
            </w:r>
            <w:r w:rsidRPr="006732C2">
              <w:rPr>
                <w:sz w:val="18"/>
                <w:szCs w:val="18"/>
                <w:lang w:val="fr-CH"/>
              </w:rPr>
              <w:noBreakHyphen/>
              <w:t>45638441</w:t>
            </w:r>
          </w:p>
          <w:p w:rsidR="003A2D14" w:rsidRPr="006732C2" w:rsidRDefault="003A2D14" w:rsidP="00A53366">
            <w:pPr>
              <w:pStyle w:val="SingleTxtGR"/>
              <w:spacing w:after="0" w:line="220" w:lineRule="exact"/>
              <w:ind w:left="0" w:right="0"/>
              <w:jc w:val="left"/>
              <w:rPr>
                <w:b/>
                <w:bCs/>
                <w:spacing w:val="0"/>
                <w:w w:val="100"/>
                <w:kern w:val="0"/>
                <w:lang w:val="fr-CH"/>
              </w:rPr>
            </w:pPr>
            <w:r w:rsidRPr="006732C2">
              <w:rPr>
                <w:sz w:val="18"/>
                <w:szCs w:val="18"/>
                <w:lang w:val="fr-CH"/>
              </w:rPr>
              <w:t>Courriel : ofontaine@oica.net</w:t>
            </w:r>
          </w:p>
        </w:tc>
      </w:tr>
      <w:tr w:rsidR="003A2D14" w:rsidRPr="006732C2" w:rsidTr="00A53366">
        <w:trPr>
          <w:trHeight w:val="20"/>
        </w:trPr>
        <w:tc>
          <w:tcPr>
            <w:tcW w:w="2000" w:type="dxa"/>
            <w:shd w:val="clear" w:color="auto" w:fill="auto"/>
          </w:tcPr>
          <w:p w:rsidR="003A2D14" w:rsidRPr="006732C2" w:rsidRDefault="003A2D14" w:rsidP="00A53366">
            <w:pPr>
              <w:pStyle w:val="SingleTxtGR"/>
              <w:spacing w:after="0" w:line="220" w:lineRule="exact"/>
              <w:ind w:left="0" w:right="0"/>
              <w:jc w:val="left"/>
              <w:rPr>
                <w:spacing w:val="0"/>
                <w:w w:val="100"/>
                <w:kern w:val="0"/>
                <w:lang w:val="fr-CH"/>
              </w:rPr>
            </w:pPr>
            <w:r w:rsidRPr="006732C2">
              <w:rPr>
                <w:sz w:val="18"/>
                <w:szCs w:val="18"/>
                <w:lang w:val="fr-CH"/>
              </w:rPr>
              <w:t>Vitrages de toit</w:t>
            </w:r>
            <w:r w:rsidRPr="006732C2">
              <w:rPr>
                <w:spacing w:val="0"/>
                <w:w w:val="100"/>
                <w:kern w:val="0"/>
                <w:lang w:val="fr-CH"/>
              </w:rPr>
              <w:t xml:space="preserve"> </w:t>
            </w:r>
            <w:r w:rsidRPr="006732C2">
              <w:rPr>
                <w:sz w:val="18"/>
                <w:szCs w:val="18"/>
                <w:lang w:val="fr-CH"/>
              </w:rPr>
              <w:t xml:space="preserve">panoramique </w:t>
            </w:r>
          </w:p>
        </w:tc>
        <w:tc>
          <w:tcPr>
            <w:tcW w:w="3270" w:type="dxa"/>
            <w:shd w:val="clear" w:color="auto" w:fill="auto"/>
            <w:tcMar>
              <w:top w:w="113" w:type="dxa"/>
              <w:left w:w="113" w:type="dxa"/>
              <w:bottom w:w="113" w:type="dxa"/>
            </w:tcMar>
          </w:tcPr>
          <w:p w:rsidR="003A2D14" w:rsidRPr="006732C2" w:rsidRDefault="006732C2" w:rsidP="00A53366">
            <w:pPr>
              <w:pStyle w:val="SingleTxtGR"/>
              <w:spacing w:after="0" w:line="220" w:lineRule="exact"/>
              <w:ind w:left="0" w:right="0"/>
              <w:jc w:val="left"/>
              <w:rPr>
                <w:sz w:val="18"/>
                <w:szCs w:val="18"/>
                <w:lang w:val="fr-CH"/>
              </w:rPr>
            </w:pPr>
            <w:r w:rsidRPr="006732C2">
              <w:rPr>
                <w:sz w:val="18"/>
                <w:szCs w:val="18"/>
                <w:lang w:val="fr-CH"/>
              </w:rPr>
              <w:t>M. S. B. </w:t>
            </w:r>
            <w:r w:rsidR="003A2D14" w:rsidRPr="006732C2">
              <w:rPr>
                <w:sz w:val="18"/>
                <w:szCs w:val="18"/>
                <w:lang w:val="fr-CH"/>
              </w:rPr>
              <w:t>Eom (République de Corée) (coprésidé par M. R. Damm (Allemagne))</w:t>
            </w:r>
          </w:p>
          <w:p w:rsidR="003A2D14" w:rsidRPr="006732C2" w:rsidRDefault="003A2D14" w:rsidP="00A53366">
            <w:pPr>
              <w:pStyle w:val="SingleTxtGR"/>
              <w:spacing w:after="0" w:line="220" w:lineRule="exact"/>
              <w:ind w:left="0" w:right="0"/>
              <w:jc w:val="left"/>
              <w:rPr>
                <w:sz w:val="18"/>
                <w:szCs w:val="18"/>
                <w:lang w:val="fr-CH"/>
              </w:rPr>
            </w:pPr>
            <w:r w:rsidRPr="006732C2">
              <w:rPr>
                <w:sz w:val="18"/>
                <w:szCs w:val="18"/>
                <w:lang w:val="fr-CH"/>
              </w:rPr>
              <w:t>Tél. : +82 31 3690217</w:t>
            </w:r>
          </w:p>
          <w:p w:rsidR="003A2D14" w:rsidRPr="006732C2" w:rsidRDefault="003A2D14" w:rsidP="00A53366">
            <w:pPr>
              <w:pStyle w:val="SingleTxtGR"/>
              <w:spacing w:after="0" w:line="220" w:lineRule="exact"/>
              <w:ind w:left="0" w:right="0"/>
              <w:jc w:val="left"/>
              <w:rPr>
                <w:sz w:val="18"/>
                <w:szCs w:val="18"/>
                <w:lang w:val="fr-CH"/>
              </w:rPr>
            </w:pPr>
            <w:r w:rsidRPr="006732C2">
              <w:rPr>
                <w:sz w:val="18"/>
                <w:szCs w:val="18"/>
                <w:lang w:val="fr-CH"/>
              </w:rPr>
              <w:t>Fax : +82 0502 384 5328</w:t>
            </w:r>
          </w:p>
          <w:p w:rsidR="003A2D14" w:rsidRPr="006732C2" w:rsidRDefault="003A2D14" w:rsidP="00A53366">
            <w:pPr>
              <w:pStyle w:val="SingleTxtGR"/>
              <w:spacing w:after="0" w:line="220" w:lineRule="exact"/>
              <w:ind w:left="0" w:right="0"/>
              <w:jc w:val="left"/>
              <w:rPr>
                <w:sz w:val="18"/>
                <w:szCs w:val="18"/>
                <w:lang w:val="fr-CH"/>
              </w:rPr>
            </w:pPr>
            <w:r w:rsidRPr="006732C2">
              <w:rPr>
                <w:sz w:val="18"/>
                <w:szCs w:val="18"/>
                <w:lang w:val="fr-CH"/>
              </w:rPr>
              <w:t>Courriel : sbeom@ts2020.kr</w:t>
            </w:r>
          </w:p>
        </w:tc>
        <w:tc>
          <w:tcPr>
            <w:tcW w:w="3234" w:type="dxa"/>
            <w:shd w:val="clear" w:color="auto" w:fill="auto"/>
            <w:tcMar>
              <w:top w:w="113" w:type="dxa"/>
              <w:bottom w:w="113" w:type="dxa"/>
            </w:tcMar>
          </w:tcPr>
          <w:p w:rsidR="003A2D14" w:rsidRPr="006732C2" w:rsidRDefault="006732C2" w:rsidP="00A53366">
            <w:pPr>
              <w:pStyle w:val="SingleTxtGR"/>
              <w:spacing w:after="0" w:line="220" w:lineRule="exact"/>
              <w:ind w:left="0" w:right="0"/>
              <w:jc w:val="left"/>
              <w:rPr>
                <w:sz w:val="18"/>
                <w:szCs w:val="18"/>
                <w:lang w:val="fr-CH"/>
              </w:rPr>
            </w:pPr>
            <w:r w:rsidRPr="006732C2">
              <w:rPr>
                <w:sz w:val="18"/>
                <w:szCs w:val="18"/>
                <w:lang w:val="fr-CH"/>
              </w:rPr>
              <w:t>M. S. </w:t>
            </w:r>
            <w:r w:rsidR="003A2D14" w:rsidRPr="006732C2">
              <w:rPr>
                <w:sz w:val="18"/>
                <w:szCs w:val="18"/>
                <w:lang w:val="fr-CH"/>
              </w:rPr>
              <w:t>Müller von Kralik (CLEPA)</w:t>
            </w:r>
          </w:p>
          <w:p w:rsidR="003A2D14" w:rsidRPr="006732C2" w:rsidRDefault="003A2D14" w:rsidP="00A53366">
            <w:pPr>
              <w:pStyle w:val="SingleTxtGR"/>
              <w:spacing w:after="0" w:line="220" w:lineRule="exact"/>
              <w:ind w:left="0" w:right="0"/>
              <w:jc w:val="left"/>
              <w:rPr>
                <w:sz w:val="18"/>
                <w:szCs w:val="18"/>
                <w:lang w:val="fr-CH"/>
              </w:rPr>
            </w:pPr>
            <w:r w:rsidRPr="006732C2">
              <w:rPr>
                <w:sz w:val="18"/>
                <w:szCs w:val="18"/>
                <w:lang w:val="fr-CH"/>
              </w:rPr>
              <w:t>Tél. : +49 89 85794 1625</w:t>
            </w:r>
          </w:p>
          <w:p w:rsidR="003A2D14" w:rsidRPr="006732C2" w:rsidRDefault="003A2D14" w:rsidP="00A53366">
            <w:pPr>
              <w:pStyle w:val="SingleTxtGR"/>
              <w:spacing w:after="0" w:line="220" w:lineRule="exact"/>
              <w:ind w:left="0" w:right="0"/>
              <w:jc w:val="left"/>
              <w:rPr>
                <w:b/>
                <w:bCs/>
                <w:spacing w:val="0"/>
                <w:w w:val="100"/>
                <w:kern w:val="0"/>
                <w:lang w:val="fr-CH"/>
              </w:rPr>
            </w:pPr>
            <w:r w:rsidRPr="006732C2">
              <w:rPr>
                <w:sz w:val="18"/>
                <w:szCs w:val="18"/>
                <w:lang w:val="fr-CH"/>
              </w:rPr>
              <w:t>Courriel : Bianca.Retr@webasto.com</w:t>
            </w:r>
          </w:p>
        </w:tc>
      </w:tr>
      <w:tr w:rsidR="003A2D14" w:rsidRPr="006732C2" w:rsidTr="00A53366">
        <w:trPr>
          <w:trHeight w:val="20"/>
        </w:trPr>
        <w:tc>
          <w:tcPr>
            <w:tcW w:w="2000" w:type="dxa"/>
            <w:tcBorders>
              <w:bottom w:val="single" w:sz="12" w:space="0" w:color="auto"/>
            </w:tcBorders>
            <w:shd w:val="clear" w:color="auto" w:fill="auto"/>
          </w:tcPr>
          <w:p w:rsidR="003A2D14" w:rsidRPr="006732C2" w:rsidRDefault="003A2D14" w:rsidP="00A53366">
            <w:pPr>
              <w:pStyle w:val="SingleTxtGR"/>
              <w:spacing w:after="0" w:line="220" w:lineRule="exact"/>
              <w:ind w:left="0" w:right="0"/>
              <w:jc w:val="left"/>
              <w:rPr>
                <w:sz w:val="18"/>
                <w:szCs w:val="18"/>
                <w:lang w:val="fr-CH"/>
              </w:rPr>
            </w:pPr>
            <w:r w:rsidRPr="006732C2">
              <w:rPr>
                <w:sz w:val="18"/>
                <w:szCs w:val="18"/>
                <w:lang w:val="fr-CH"/>
              </w:rPr>
              <w:t>Vision rapprochée et systèmes de détection d</w:t>
            </w:r>
            <w:r w:rsidR="006B6352" w:rsidRPr="006732C2">
              <w:rPr>
                <w:sz w:val="18"/>
                <w:szCs w:val="18"/>
                <w:lang w:val="fr-CH"/>
              </w:rPr>
              <w:t>’</w:t>
            </w:r>
            <w:r w:rsidRPr="006732C2">
              <w:rPr>
                <w:sz w:val="18"/>
                <w:szCs w:val="18"/>
                <w:lang w:val="fr-CH"/>
              </w:rPr>
              <w:t>obstacle</w:t>
            </w:r>
          </w:p>
        </w:tc>
        <w:tc>
          <w:tcPr>
            <w:tcW w:w="3270" w:type="dxa"/>
            <w:tcBorders>
              <w:bottom w:val="single" w:sz="12" w:space="0" w:color="auto"/>
            </w:tcBorders>
            <w:shd w:val="clear" w:color="auto" w:fill="auto"/>
            <w:tcMar>
              <w:top w:w="113" w:type="dxa"/>
              <w:left w:w="113" w:type="dxa"/>
              <w:bottom w:w="113" w:type="dxa"/>
            </w:tcMar>
          </w:tcPr>
          <w:p w:rsidR="003A2D14" w:rsidRPr="006732C2" w:rsidRDefault="003A2D14" w:rsidP="00A53366">
            <w:pPr>
              <w:pStyle w:val="SingleTxtGR"/>
              <w:spacing w:after="0" w:line="220" w:lineRule="exact"/>
              <w:ind w:left="0" w:right="0"/>
              <w:jc w:val="left"/>
              <w:rPr>
                <w:sz w:val="18"/>
                <w:szCs w:val="18"/>
                <w:lang w:val="fr-CH"/>
              </w:rPr>
            </w:pPr>
            <w:r w:rsidRPr="006732C2">
              <w:rPr>
                <w:sz w:val="18"/>
                <w:szCs w:val="18"/>
                <w:lang w:val="fr-CH"/>
              </w:rPr>
              <w:t>Sera nommé ultérieurement</w:t>
            </w:r>
          </w:p>
        </w:tc>
        <w:tc>
          <w:tcPr>
            <w:tcW w:w="3234" w:type="dxa"/>
            <w:tcBorders>
              <w:bottom w:val="single" w:sz="12" w:space="0" w:color="auto"/>
            </w:tcBorders>
            <w:shd w:val="clear" w:color="auto" w:fill="auto"/>
            <w:tcMar>
              <w:top w:w="113" w:type="dxa"/>
              <w:bottom w:w="113" w:type="dxa"/>
            </w:tcMar>
          </w:tcPr>
          <w:p w:rsidR="003A2D14" w:rsidRPr="006732C2" w:rsidRDefault="003A2D14" w:rsidP="00A53366">
            <w:pPr>
              <w:pStyle w:val="SingleTxtGR"/>
              <w:spacing w:after="0" w:line="220" w:lineRule="exact"/>
              <w:ind w:left="0" w:right="0"/>
              <w:jc w:val="left"/>
              <w:rPr>
                <w:sz w:val="18"/>
                <w:szCs w:val="18"/>
                <w:lang w:val="fr-CH"/>
              </w:rPr>
            </w:pPr>
            <w:r w:rsidRPr="006732C2">
              <w:rPr>
                <w:sz w:val="18"/>
                <w:szCs w:val="18"/>
                <w:lang w:val="fr-CH"/>
              </w:rPr>
              <w:t>Sera nommé ultérieurement</w:t>
            </w:r>
          </w:p>
        </w:tc>
      </w:tr>
    </w:tbl>
    <w:p w:rsidR="003A2D14" w:rsidRPr="00A53366" w:rsidRDefault="00A53366" w:rsidP="00A53366">
      <w:pPr>
        <w:pStyle w:val="SingleTxtG"/>
        <w:spacing w:before="240" w:after="0"/>
        <w:jc w:val="center"/>
        <w:rPr>
          <w:u w:val="single"/>
        </w:rPr>
      </w:pPr>
      <w:r>
        <w:rPr>
          <w:u w:val="single"/>
        </w:rPr>
        <w:tab/>
      </w:r>
      <w:r>
        <w:rPr>
          <w:u w:val="single"/>
        </w:rPr>
        <w:tab/>
      </w:r>
      <w:r>
        <w:rPr>
          <w:u w:val="single"/>
        </w:rPr>
        <w:tab/>
      </w:r>
    </w:p>
    <w:sectPr w:rsidR="003A2D14" w:rsidRPr="00A53366" w:rsidSect="00A53366">
      <w:headerReference w:type="even" r:id="rId13"/>
      <w:headerReference w:type="default" r:id="rId14"/>
      <w:footerReference w:type="even" r:id="rId15"/>
      <w:footerReference w:type="default" r:id="rId16"/>
      <w:footerReference w:type="first" r:id="rId17"/>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89F" w:rsidRDefault="0086689F" w:rsidP="00F95C08">
      <w:pPr>
        <w:spacing w:line="240" w:lineRule="auto"/>
      </w:pPr>
    </w:p>
  </w:endnote>
  <w:endnote w:type="continuationSeparator" w:id="0">
    <w:p w:rsidR="0086689F" w:rsidRPr="00AC3823" w:rsidRDefault="0086689F" w:rsidP="00AC3823">
      <w:pPr>
        <w:pStyle w:val="Footer"/>
      </w:pPr>
    </w:p>
  </w:endnote>
  <w:endnote w:type="continuationNotice" w:id="1">
    <w:p w:rsidR="0086689F" w:rsidRDefault="008668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C2" w:rsidRPr="003A2D14" w:rsidRDefault="006732C2" w:rsidP="003A2D14">
    <w:pPr>
      <w:pStyle w:val="Footer"/>
      <w:tabs>
        <w:tab w:val="right" w:pos="9638"/>
      </w:tabs>
    </w:pPr>
    <w:r w:rsidRPr="003A2D14">
      <w:rPr>
        <w:b/>
        <w:sz w:val="18"/>
      </w:rPr>
      <w:fldChar w:fldCharType="begin"/>
    </w:r>
    <w:r w:rsidRPr="003A2D14">
      <w:rPr>
        <w:b/>
        <w:sz w:val="18"/>
      </w:rPr>
      <w:instrText xml:space="preserve"> PAGE  \* MERGEFORMAT </w:instrText>
    </w:r>
    <w:r w:rsidRPr="003A2D14">
      <w:rPr>
        <w:b/>
        <w:sz w:val="18"/>
      </w:rPr>
      <w:fldChar w:fldCharType="separate"/>
    </w:r>
    <w:r w:rsidR="00FC7EC2">
      <w:rPr>
        <w:b/>
        <w:noProof/>
        <w:sz w:val="18"/>
      </w:rPr>
      <w:t>16</w:t>
    </w:r>
    <w:r w:rsidRPr="003A2D14">
      <w:rPr>
        <w:b/>
        <w:sz w:val="18"/>
      </w:rPr>
      <w:fldChar w:fldCharType="end"/>
    </w:r>
    <w:r>
      <w:rPr>
        <w:b/>
        <w:sz w:val="18"/>
      </w:rPr>
      <w:tab/>
    </w:r>
    <w:r>
      <w:t>GE.16-20580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C2" w:rsidRPr="003A2D14" w:rsidRDefault="006732C2" w:rsidP="003A2D14">
    <w:pPr>
      <w:pStyle w:val="Footer"/>
      <w:tabs>
        <w:tab w:val="right" w:pos="9638"/>
      </w:tabs>
      <w:rPr>
        <w:b/>
        <w:sz w:val="18"/>
      </w:rPr>
    </w:pPr>
    <w:r>
      <w:t>GE.16-20580</w:t>
    </w:r>
    <w:r>
      <w:tab/>
    </w:r>
    <w:r w:rsidRPr="003A2D14">
      <w:rPr>
        <w:b/>
        <w:sz w:val="18"/>
      </w:rPr>
      <w:fldChar w:fldCharType="begin"/>
    </w:r>
    <w:r w:rsidRPr="003A2D14">
      <w:rPr>
        <w:b/>
        <w:sz w:val="18"/>
      </w:rPr>
      <w:instrText xml:space="preserve"> PAGE  \* MERGEFORMAT </w:instrText>
    </w:r>
    <w:r w:rsidRPr="003A2D14">
      <w:rPr>
        <w:b/>
        <w:sz w:val="18"/>
      </w:rPr>
      <w:fldChar w:fldCharType="separate"/>
    </w:r>
    <w:r w:rsidR="00FC7EC2">
      <w:rPr>
        <w:b/>
        <w:noProof/>
        <w:sz w:val="18"/>
      </w:rPr>
      <w:t>17</w:t>
    </w:r>
    <w:r w:rsidRPr="003A2D1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C2" w:rsidRPr="003A2D14" w:rsidRDefault="006732C2" w:rsidP="003A2D14">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5F2ABDA6" wp14:editId="05BA6120">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16-20580  (F)    130117    </w:t>
    </w:r>
    <w:r w:rsidR="000D0ED4" w:rsidRPr="000D0ED4">
      <w:rPr>
        <w:sz w:val="20"/>
      </w:rPr>
      <w:t>20</w:t>
    </w:r>
    <w:r w:rsidRPr="000D0ED4">
      <w:rPr>
        <w:sz w:val="20"/>
      </w:rPr>
      <w:t>0217</w:t>
    </w:r>
    <w:r>
      <w:rPr>
        <w:sz w:val="20"/>
      </w:rPr>
      <w:br/>
    </w:r>
    <w:r w:rsidRPr="003A2D14">
      <w:rPr>
        <w:rFonts w:ascii="C39T30Lfz" w:hAnsi="C39T30Lfz"/>
        <w:sz w:val="56"/>
      </w:rPr>
      <w:t></w:t>
    </w:r>
    <w:r w:rsidRPr="003A2D14">
      <w:rPr>
        <w:rFonts w:ascii="C39T30Lfz" w:hAnsi="C39T30Lfz"/>
        <w:sz w:val="56"/>
      </w:rPr>
      <w:t></w:t>
    </w:r>
    <w:r w:rsidRPr="003A2D14">
      <w:rPr>
        <w:rFonts w:ascii="C39T30Lfz" w:hAnsi="C39T30Lfz"/>
        <w:sz w:val="56"/>
      </w:rPr>
      <w:t></w:t>
    </w:r>
    <w:r w:rsidRPr="003A2D14">
      <w:rPr>
        <w:rFonts w:ascii="C39T30Lfz" w:hAnsi="C39T30Lfz"/>
        <w:sz w:val="56"/>
      </w:rPr>
      <w:t></w:t>
    </w:r>
    <w:r w:rsidRPr="003A2D14">
      <w:rPr>
        <w:rFonts w:ascii="C39T30Lfz" w:hAnsi="C39T30Lfz"/>
        <w:sz w:val="56"/>
      </w:rPr>
      <w:t></w:t>
    </w:r>
    <w:r w:rsidRPr="003A2D14">
      <w:rPr>
        <w:rFonts w:ascii="C39T30Lfz" w:hAnsi="C39T30Lfz"/>
        <w:sz w:val="56"/>
      </w:rPr>
      <w:t></w:t>
    </w:r>
    <w:r w:rsidRPr="003A2D14">
      <w:rPr>
        <w:rFonts w:ascii="C39T30Lfz" w:hAnsi="C39T30Lfz"/>
        <w:sz w:val="56"/>
      </w:rPr>
      <w:t></w:t>
    </w:r>
    <w:r w:rsidRPr="003A2D14">
      <w:rPr>
        <w:rFonts w:ascii="C39T30Lfz" w:hAnsi="C39T30Lfz"/>
        <w:sz w:val="56"/>
      </w:rPr>
      <w:t></w:t>
    </w:r>
    <w:r w:rsidRPr="003A2D14">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5A2CB79B" wp14:editId="008C8AE2">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SG/9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G/9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89F" w:rsidRPr="00AC3823" w:rsidRDefault="0086689F" w:rsidP="00AC3823">
      <w:pPr>
        <w:pStyle w:val="Footer"/>
        <w:tabs>
          <w:tab w:val="right" w:pos="2155"/>
        </w:tabs>
        <w:spacing w:after="80" w:line="240" w:lineRule="atLeast"/>
        <w:ind w:left="680"/>
        <w:rPr>
          <w:u w:val="single"/>
        </w:rPr>
      </w:pPr>
      <w:r>
        <w:rPr>
          <w:u w:val="single"/>
        </w:rPr>
        <w:tab/>
      </w:r>
    </w:p>
  </w:footnote>
  <w:footnote w:type="continuationSeparator" w:id="0">
    <w:p w:rsidR="0086689F" w:rsidRPr="00AC3823" w:rsidRDefault="0086689F" w:rsidP="00AC3823">
      <w:pPr>
        <w:pStyle w:val="Footer"/>
        <w:tabs>
          <w:tab w:val="right" w:pos="2155"/>
        </w:tabs>
        <w:spacing w:after="80" w:line="240" w:lineRule="atLeast"/>
        <w:ind w:left="680"/>
        <w:rPr>
          <w:u w:val="single"/>
        </w:rPr>
      </w:pPr>
      <w:r>
        <w:rPr>
          <w:u w:val="single"/>
        </w:rPr>
        <w:tab/>
      </w:r>
    </w:p>
  </w:footnote>
  <w:footnote w:type="continuationNotice" w:id="1">
    <w:p w:rsidR="0086689F" w:rsidRPr="00AC3823" w:rsidRDefault="0086689F">
      <w:pPr>
        <w:spacing w:line="240" w:lineRule="auto"/>
        <w:rPr>
          <w:sz w:val="2"/>
          <w:szCs w:val="2"/>
        </w:rPr>
      </w:pPr>
    </w:p>
  </w:footnote>
  <w:footnote w:id="2">
    <w:p w:rsidR="006732C2" w:rsidRPr="00546884" w:rsidRDefault="006732C2" w:rsidP="003A2D14">
      <w:pPr>
        <w:pStyle w:val="FootnoteText"/>
      </w:pPr>
      <w:r>
        <w:rPr>
          <w:lang w:val="fr-FR"/>
        </w:rPr>
        <w:tab/>
      </w:r>
      <w:r w:rsidRPr="00D55B29">
        <w:rPr>
          <w:rStyle w:val="FootnoteReference"/>
        </w:rPr>
        <w:footnoteRef/>
      </w:r>
      <w:r>
        <w:rPr>
          <w:lang w:val="fr-FR"/>
        </w:rPr>
        <w:t xml:space="preserve"> </w:t>
      </w:r>
      <w:r>
        <w:rPr>
          <w:lang w:val="fr-FR"/>
        </w:rPr>
        <w:tab/>
        <w:t>Le Groupe de travail a noté que la date limite pour la communication des documents officiels au secrétariat de la CEE avait été fixée au 27 janvier 2017, soit douze semaines avant la session.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C2" w:rsidRPr="003A2D14" w:rsidRDefault="006732C2">
    <w:pPr>
      <w:pStyle w:val="Header"/>
    </w:pPr>
    <w:r>
      <w:t>ECE/TRANS/WP.29/GRSG/90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C2" w:rsidRPr="003A2D14" w:rsidRDefault="006732C2" w:rsidP="003A2D14">
    <w:pPr>
      <w:pStyle w:val="Header"/>
      <w:jc w:val="right"/>
    </w:pPr>
    <w:r>
      <w:t>ECE/TRANS/WP.29/GRSG/90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459"/>
    <w:rsid w:val="00017F94"/>
    <w:rsid w:val="00023842"/>
    <w:rsid w:val="000334F9"/>
    <w:rsid w:val="0007077F"/>
    <w:rsid w:val="0007796D"/>
    <w:rsid w:val="000B7790"/>
    <w:rsid w:val="000D0ED4"/>
    <w:rsid w:val="000F72D3"/>
    <w:rsid w:val="00111F2F"/>
    <w:rsid w:val="0014365E"/>
    <w:rsid w:val="00143C66"/>
    <w:rsid w:val="00176178"/>
    <w:rsid w:val="00182E3B"/>
    <w:rsid w:val="001E2511"/>
    <w:rsid w:val="001F0FBB"/>
    <w:rsid w:val="001F525A"/>
    <w:rsid w:val="00223272"/>
    <w:rsid w:val="00226459"/>
    <w:rsid w:val="0024779E"/>
    <w:rsid w:val="00250A44"/>
    <w:rsid w:val="00257168"/>
    <w:rsid w:val="0027202C"/>
    <w:rsid w:val="002744B8"/>
    <w:rsid w:val="002832AC"/>
    <w:rsid w:val="002A750C"/>
    <w:rsid w:val="002C6B20"/>
    <w:rsid w:val="002D7C93"/>
    <w:rsid w:val="00305801"/>
    <w:rsid w:val="0035620E"/>
    <w:rsid w:val="0036644E"/>
    <w:rsid w:val="003916DE"/>
    <w:rsid w:val="003A031C"/>
    <w:rsid w:val="003A2D14"/>
    <w:rsid w:val="00433EDF"/>
    <w:rsid w:val="00441C3B"/>
    <w:rsid w:val="00446FE5"/>
    <w:rsid w:val="00452396"/>
    <w:rsid w:val="004837D8"/>
    <w:rsid w:val="004D0523"/>
    <w:rsid w:val="004E468C"/>
    <w:rsid w:val="005505B7"/>
    <w:rsid w:val="005524DA"/>
    <w:rsid w:val="00573BE5"/>
    <w:rsid w:val="00586ED3"/>
    <w:rsid w:val="00596AA9"/>
    <w:rsid w:val="00651D17"/>
    <w:rsid w:val="00660D3A"/>
    <w:rsid w:val="006732C2"/>
    <w:rsid w:val="006B6352"/>
    <w:rsid w:val="006D72B2"/>
    <w:rsid w:val="0071601D"/>
    <w:rsid w:val="00721D4B"/>
    <w:rsid w:val="00773E7E"/>
    <w:rsid w:val="007A62E6"/>
    <w:rsid w:val="007B667C"/>
    <w:rsid w:val="007F20FA"/>
    <w:rsid w:val="008021AA"/>
    <w:rsid w:val="0080684C"/>
    <w:rsid w:val="008370B6"/>
    <w:rsid w:val="00850F5E"/>
    <w:rsid w:val="0086689F"/>
    <w:rsid w:val="00871C75"/>
    <w:rsid w:val="008776DC"/>
    <w:rsid w:val="008A295D"/>
    <w:rsid w:val="008D6144"/>
    <w:rsid w:val="009705C8"/>
    <w:rsid w:val="00982FC2"/>
    <w:rsid w:val="009B6355"/>
    <w:rsid w:val="009C1CF4"/>
    <w:rsid w:val="009F5F9A"/>
    <w:rsid w:val="009F6B74"/>
    <w:rsid w:val="00A30353"/>
    <w:rsid w:val="00A53366"/>
    <w:rsid w:val="00A659B9"/>
    <w:rsid w:val="00A80039"/>
    <w:rsid w:val="00AC3823"/>
    <w:rsid w:val="00AE323C"/>
    <w:rsid w:val="00AF0CB5"/>
    <w:rsid w:val="00B00181"/>
    <w:rsid w:val="00B00B0D"/>
    <w:rsid w:val="00B765F7"/>
    <w:rsid w:val="00BA0CA9"/>
    <w:rsid w:val="00BF1F27"/>
    <w:rsid w:val="00C02897"/>
    <w:rsid w:val="00C435EE"/>
    <w:rsid w:val="00D3439C"/>
    <w:rsid w:val="00D64952"/>
    <w:rsid w:val="00DB1831"/>
    <w:rsid w:val="00DD3BFD"/>
    <w:rsid w:val="00DF6678"/>
    <w:rsid w:val="00E07729"/>
    <w:rsid w:val="00E17E3F"/>
    <w:rsid w:val="00E25243"/>
    <w:rsid w:val="00E65D11"/>
    <w:rsid w:val="00E85C74"/>
    <w:rsid w:val="00EA6547"/>
    <w:rsid w:val="00EF2E22"/>
    <w:rsid w:val="00F15A18"/>
    <w:rsid w:val="00F35BAF"/>
    <w:rsid w:val="00F4511F"/>
    <w:rsid w:val="00F452E5"/>
    <w:rsid w:val="00F660DF"/>
    <w:rsid w:val="00F94664"/>
    <w:rsid w:val="00F9573C"/>
    <w:rsid w:val="00F95C08"/>
    <w:rsid w:val="00FC7EC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3A2D14"/>
    <w:rPr>
      <w:rFonts w:ascii="Times New Roman" w:hAnsi="Times New Roman" w:cs="Times New Roman"/>
      <w:sz w:val="20"/>
      <w:szCs w:val="20"/>
      <w:lang w:eastAsia="en-US"/>
    </w:rPr>
  </w:style>
  <w:style w:type="character" w:customStyle="1" w:styleId="HChGChar">
    <w:name w:val="_ H _Ch_G Char"/>
    <w:link w:val="HChG"/>
    <w:rsid w:val="003A2D14"/>
    <w:rPr>
      <w:rFonts w:ascii="Times New Roman" w:hAnsi="Times New Roman" w:cs="Times New Roman"/>
      <w:b/>
      <w:sz w:val="28"/>
      <w:szCs w:val="20"/>
      <w:lang w:eastAsia="en-US"/>
    </w:rPr>
  </w:style>
  <w:style w:type="paragraph" w:customStyle="1" w:styleId="SingleTxtGR">
    <w:name w:val="_ Single Txt_GR"/>
    <w:basedOn w:val="Normal"/>
    <w:qFormat/>
    <w:rsid w:val="000F72D3"/>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spacing w:val="4"/>
      <w:w w:val="103"/>
      <w:kern w:val="1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3A2D14"/>
    <w:rPr>
      <w:rFonts w:ascii="Times New Roman" w:hAnsi="Times New Roman" w:cs="Times New Roman"/>
      <w:sz w:val="20"/>
      <w:szCs w:val="20"/>
      <w:lang w:eastAsia="en-US"/>
    </w:rPr>
  </w:style>
  <w:style w:type="character" w:customStyle="1" w:styleId="HChGChar">
    <w:name w:val="_ H _Ch_G Char"/>
    <w:link w:val="HChG"/>
    <w:rsid w:val="003A2D14"/>
    <w:rPr>
      <w:rFonts w:ascii="Times New Roman" w:hAnsi="Times New Roman" w:cs="Times New Roman"/>
      <w:b/>
      <w:sz w:val="28"/>
      <w:szCs w:val="20"/>
      <w:lang w:eastAsia="en-US"/>
    </w:rPr>
  </w:style>
  <w:style w:type="paragraph" w:customStyle="1" w:styleId="SingleTxtGR">
    <w:name w:val="_ Single Txt_GR"/>
    <w:basedOn w:val="Normal"/>
    <w:qFormat/>
    <w:rsid w:val="000F72D3"/>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spacing w:val="4"/>
      <w:w w:val="103"/>
      <w:kern w:val="1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52CDD-DC00-4EFA-8721-D110A951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12510</Words>
  <Characters>71307</Characters>
  <Application>Microsoft Office Word</Application>
  <DocSecurity>4</DocSecurity>
  <Lines>594</Lines>
  <Paragraphs>167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ECE/TRANS/WP.29/GRSG/90</vt:lpstr>
      <vt:lpstr>ECE/TRANS/WP.29/GRSG/90</vt:lpstr>
    </vt:vector>
  </TitlesOfParts>
  <Company>DCM</Company>
  <LinksUpToDate>false</LinksUpToDate>
  <CharactersWithSpaces>83650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ECE/TRANS/WP.29/GRSG/90</dc:title>
  <dc:creator>Bourion</dc:creator>
  <cp:lastModifiedBy>Benedicte Boudol</cp:lastModifiedBy>
  <cp:revision>2</cp:revision>
  <cp:lastPrinted>2017-02-17T09:32:00Z</cp:lastPrinted>
  <dcterms:created xsi:type="dcterms:W3CDTF">2017-03-24T15:10:00Z</dcterms:created>
  <dcterms:modified xsi:type="dcterms:W3CDTF">2017-03-24T15:10:00Z</dcterms:modified>
</cp:coreProperties>
</file>