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2664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26649" w:rsidP="00E26649">
            <w:pPr>
              <w:jc w:val="right"/>
            </w:pPr>
            <w:r w:rsidRPr="00E26649">
              <w:rPr>
                <w:sz w:val="40"/>
              </w:rPr>
              <w:t>ECE</w:t>
            </w:r>
            <w:r>
              <w:t>/TRANS/WP.29/GRSG/2016/7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26649" w:rsidP="00892A2F">
            <w:pPr>
              <w:spacing w:before="240"/>
            </w:pPr>
            <w:r>
              <w:t>Distr. générale</w:t>
            </w:r>
          </w:p>
          <w:p w:rsidR="00E26649" w:rsidRDefault="00E26649" w:rsidP="00E26649">
            <w:pPr>
              <w:spacing w:line="240" w:lineRule="exact"/>
            </w:pPr>
            <w:r>
              <w:t>10 février 2016</w:t>
            </w:r>
          </w:p>
          <w:p w:rsidR="00E26649" w:rsidRDefault="00E26649" w:rsidP="00E26649">
            <w:pPr>
              <w:spacing w:line="240" w:lineRule="exact"/>
            </w:pPr>
            <w:r>
              <w:t>Français</w:t>
            </w:r>
          </w:p>
          <w:p w:rsidR="00E26649" w:rsidRPr="00DB58B5" w:rsidRDefault="00E26649" w:rsidP="00E26649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26649" w:rsidRDefault="00E2664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 w:rsidR="00532B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E26649" w:rsidRDefault="00E26649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E26649" w:rsidRDefault="00E26649" w:rsidP="00257168">
      <w:pPr>
        <w:spacing w:before="120" w:line="240" w:lineRule="exact"/>
        <w:rPr>
          <w:b/>
        </w:rPr>
      </w:pPr>
      <w:r>
        <w:rPr>
          <w:b/>
        </w:rPr>
        <w:t>110</w:t>
      </w:r>
      <w:r w:rsidRPr="00E26649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E26649" w:rsidRDefault="00E26649" w:rsidP="00257168">
      <w:pPr>
        <w:spacing w:line="240" w:lineRule="exact"/>
      </w:pPr>
      <w:r>
        <w:t>Genève, 26-29 avril 2016</w:t>
      </w:r>
    </w:p>
    <w:p w:rsidR="00E26649" w:rsidRDefault="00E26649" w:rsidP="00257168">
      <w:pPr>
        <w:spacing w:line="240" w:lineRule="exact"/>
      </w:pPr>
      <w:r>
        <w:t>Point 9 de l’ordre du jour provisoire</w:t>
      </w:r>
    </w:p>
    <w:p w:rsidR="00812F49" w:rsidRPr="00E26649" w:rsidRDefault="005747B9" w:rsidP="00E26649">
      <w:pPr>
        <w:rPr>
          <w:b/>
        </w:rPr>
      </w:pPr>
      <w:r w:rsidRPr="00E26649">
        <w:rPr>
          <w:b/>
        </w:rPr>
        <w:t xml:space="preserve">Règlement </w:t>
      </w:r>
      <w:r w:rsidR="00E26649">
        <w:rPr>
          <w:b/>
        </w:rPr>
        <w:t>n</w:t>
      </w:r>
      <w:r w:rsidR="00E26649" w:rsidRPr="00E26649">
        <w:rPr>
          <w:b/>
          <w:vertAlign w:val="superscript"/>
        </w:rPr>
        <w:t>o</w:t>
      </w:r>
      <w:r w:rsidR="00E26649">
        <w:rPr>
          <w:b/>
        </w:rPr>
        <w:t> </w:t>
      </w:r>
      <w:r w:rsidRPr="00E26649">
        <w:rPr>
          <w:b/>
        </w:rPr>
        <w:t xml:space="preserve">67 (Véhicules </w:t>
      </w:r>
      <w:r w:rsidRPr="00E26649">
        <w:rPr>
          <w:b/>
        </w:rPr>
        <w:t>alimentés au GPL)</w:t>
      </w:r>
    </w:p>
    <w:p w:rsidR="00812F49" w:rsidRPr="00E26649" w:rsidRDefault="005747B9" w:rsidP="00E26649">
      <w:pPr>
        <w:pStyle w:val="HChG"/>
      </w:pPr>
      <w:r w:rsidRPr="00E26649">
        <w:tab/>
      </w:r>
      <w:r w:rsidRPr="00E26649">
        <w:tab/>
        <w:t>Proposition d'amendements au Règlement</w:t>
      </w:r>
      <w:r w:rsidR="00E26649">
        <w:t xml:space="preserve"> </w:t>
      </w:r>
      <w:r w:rsidR="00E26649">
        <w:rPr>
          <w:rFonts w:eastAsia="MS Mincho"/>
        </w:rPr>
        <w:t>n</w:t>
      </w:r>
      <w:r w:rsidR="00E26649">
        <w:rPr>
          <w:rFonts w:eastAsia="MS Mincho"/>
          <w:vertAlign w:val="superscript"/>
        </w:rPr>
        <w:t>o</w:t>
      </w:r>
      <w:r w:rsidR="00E26649">
        <w:t> </w:t>
      </w:r>
      <w:r w:rsidRPr="00E26649">
        <w:t xml:space="preserve">67 </w:t>
      </w:r>
      <w:r w:rsidR="00E26649">
        <w:br/>
      </w:r>
      <w:r w:rsidRPr="00E26649">
        <w:t>(Véhicules alimentés au GPL)</w:t>
      </w:r>
    </w:p>
    <w:p w:rsidR="00812F49" w:rsidRPr="00E26649" w:rsidRDefault="00E26649" w:rsidP="00E26649">
      <w:pPr>
        <w:pStyle w:val="H1G"/>
        <w:rPr>
          <w:vertAlign w:val="superscript"/>
        </w:rPr>
      </w:pPr>
      <w:r>
        <w:tab/>
      </w:r>
      <w:r>
        <w:tab/>
      </w:r>
      <w:r w:rsidR="005747B9" w:rsidRPr="00E26649">
        <w:t>Communication de l’expert des Pays-Bas</w:t>
      </w:r>
      <w:r w:rsidR="00513286" w:rsidRPr="0051328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E26649" w:rsidP="00E26649">
      <w:pPr>
        <w:pStyle w:val="SingleTxtG"/>
      </w:pPr>
      <w:r>
        <w:tab/>
      </w:r>
      <w:r w:rsidR="005747B9" w:rsidRPr="00E26649">
        <w:t>Le texte reproduit ci-après</w:t>
      </w:r>
      <w:r>
        <w:t xml:space="preserve"> </w:t>
      </w:r>
      <w:r w:rsidR="005747B9" w:rsidRPr="00E26649">
        <w:t>a été établi par l</w:t>
      </w:r>
      <w:r w:rsidR="00574FE5">
        <w:t>’</w:t>
      </w:r>
      <w:r w:rsidR="005747B9" w:rsidRPr="00E26649">
        <w:t>expert des Pays-Bas. Il y est propo</w:t>
      </w:r>
      <w:r>
        <w:t>sé de modifier le Règlement ONU n</w:t>
      </w:r>
      <w:r w:rsidRPr="00E26649">
        <w:rPr>
          <w:vertAlign w:val="superscript"/>
        </w:rPr>
        <w:t>o</w:t>
      </w:r>
      <w:r>
        <w:t> </w:t>
      </w:r>
      <w:r w:rsidR="005747B9" w:rsidRPr="00E26649">
        <w:t>6</w:t>
      </w:r>
      <w:r w:rsidR="005747B9" w:rsidRPr="00E26649">
        <w:t>7 relatif aux véhicules alimentés en gaz de pétrole liquéfié (GPL) de sorte à permettre l’utilisation de flexibles de la classe</w:t>
      </w:r>
      <w:r w:rsidR="000035E9">
        <w:t> </w:t>
      </w:r>
      <w:r w:rsidR="005747B9" w:rsidRPr="00E26649">
        <w:t xml:space="preserve">0 et de leurs raccords, ceux-ci faisant appel à d’autres technologies que les raccords dont les cônes d’étanchéité </w:t>
      </w:r>
      <w:r w:rsidR="00881AC8">
        <w:t xml:space="preserve">forment </w:t>
      </w:r>
      <w:r w:rsidR="005747B9" w:rsidRPr="00E26649">
        <w:t>un de</w:t>
      </w:r>
      <w:r w:rsidR="005747B9" w:rsidRPr="00E26649">
        <w:t>mi-angle vertical de 45°. Les modifications qu’il est proposé d’apporter au texte actuel du Règlement sont signalées en caractères gras pour les ajouts.</w:t>
      </w:r>
    </w:p>
    <w:p w:rsidR="00812F49" w:rsidRPr="000035E9" w:rsidRDefault="000035E9" w:rsidP="000035E9">
      <w:pPr>
        <w:pStyle w:val="HChG"/>
      </w:pPr>
      <w:r>
        <w:br w:type="page"/>
      </w:r>
      <w:r>
        <w:lastRenderedPageBreak/>
        <w:tab/>
      </w:r>
      <w:r w:rsidR="005747B9" w:rsidRPr="000035E9">
        <w:t>I.</w:t>
      </w:r>
      <w:r w:rsidR="005747B9" w:rsidRPr="000035E9">
        <w:tab/>
        <w:t>Proposition</w:t>
      </w:r>
    </w:p>
    <w:p w:rsidR="00812F49" w:rsidRPr="000035E9" w:rsidRDefault="005747B9" w:rsidP="000035E9">
      <w:pPr>
        <w:pStyle w:val="SingleTxtG"/>
      </w:pPr>
      <w:r w:rsidRPr="00FB6BA6">
        <w:rPr>
          <w:i/>
        </w:rPr>
        <w:t>Paragraphe 17.7.1</w:t>
      </w:r>
      <w:r w:rsidRPr="000035E9">
        <w:t>, modifier comme suit</w:t>
      </w:r>
      <w:r w:rsidR="000035E9">
        <w:t> </w:t>
      </w:r>
      <w:r w:rsidRPr="000035E9">
        <w:t>:</w:t>
      </w:r>
    </w:p>
    <w:p w:rsidR="00177664" w:rsidRDefault="000035E9" w:rsidP="00177664">
      <w:pPr>
        <w:pStyle w:val="SingleTxtG"/>
      </w:pPr>
      <w:r>
        <w:t>« </w:t>
      </w:r>
      <w:r w:rsidR="005747B9" w:rsidRPr="000035E9">
        <w:t>17.7.1</w:t>
      </w:r>
      <w:r w:rsidR="005747B9" w:rsidRPr="000035E9">
        <w:tab/>
        <w:t>Les tuyauteries rigides doivent être</w:t>
      </w:r>
      <w:r w:rsidR="005747B9" w:rsidRPr="000035E9">
        <w:t xml:space="preserve"> constituées</w:t>
      </w:r>
      <w:r>
        <w:t> </w:t>
      </w:r>
      <w:r w:rsidR="005747B9" w:rsidRPr="000035E9">
        <w:t>:</w:t>
      </w:r>
    </w:p>
    <w:p w:rsidR="00177664" w:rsidRPr="00177664" w:rsidRDefault="005747B9" w:rsidP="00177664">
      <w:pPr>
        <w:pStyle w:val="SingleTxtG"/>
        <w:ind w:left="2835" w:hanging="567"/>
      </w:pPr>
      <w:r w:rsidRPr="00177664">
        <w:rPr>
          <w:b/>
        </w:rPr>
        <w:t>a)</w:t>
      </w:r>
      <w:r w:rsidRPr="00177664">
        <w:tab/>
        <w:t>D’un matériau sans soudure</w:t>
      </w:r>
      <w:r w:rsidR="00FB6BA6" w:rsidRPr="00177664">
        <w:t> </w:t>
      </w:r>
      <w:r w:rsidRPr="00177664">
        <w:t>: soit du cuivre, soit de l’acier inoxydable, soit de l’acier avec un revêtement résistant à la corrosion</w:t>
      </w:r>
      <w:r w:rsidR="000035E9" w:rsidRPr="00177664">
        <w:t> </w:t>
      </w:r>
      <w:r w:rsidRPr="00177664">
        <w:t>; ou</w:t>
      </w:r>
    </w:p>
    <w:p w:rsidR="00812F49" w:rsidRPr="00177664" w:rsidRDefault="005747B9" w:rsidP="00177664">
      <w:pPr>
        <w:pStyle w:val="SingleTxtG"/>
        <w:ind w:left="2835" w:hanging="567"/>
      </w:pPr>
      <w:r w:rsidRPr="00177664">
        <w:rPr>
          <w:b/>
        </w:rPr>
        <w:t>b)</w:t>
      </w:r>
      <w:r w:rsidRPr="00177664">
        <w:rPr>
          <w:b/>
        </w:rPr>
        <w:tab/>
        <w:t>D</w:t>
      </w:r>
      <w:r w:rsidR="00177664">
        <w:rPr>
          <w:b/>
        </w:rPr>
        <w:t>’</w:t>
      </w:r>
      <w:r w:rsidRPr="00177664">
        <w:rPr>
          <w:b/>
        </w:rPr>
        <w:t>un autre matériau satisfaisant aux épreuves applicables prescrites dans le tableau 1 de l</w:t>
      </w:r>
      <w:r w:rsidR="00177664">
        <w:rPr>
          <w:b/>
        </w:rPr>
        <w:t>’</w:t>
      </w:r>
      <w:r w:rsidRPr="00177664">
        <w:rPr>
          <w:b/>
        </w:rPr>
        <w:t>annex</w:t>
      </w:r>
      <w:r w:rsidRPr="00177664">
        <w:rPr>
          <w:b/>
        </w:rPr>
        <w:t>e 15.</w:t>
      </w:r>
      <w:r w:rsidR="000035E9" w:rsidRPr="00177664">
        <w:t> »</w:t>
      </w:r>
      <w:r w:rsidRPr="00177664">
        <w:t>.</w:t>
      </w:r>
    </w:p>
    <w:p w:rsidR="00812F49" w:rsidRPr="000035E9" w:rsidRDefault="005747B9" w:rsidP="000035E9">
      <w:pPr>
        <w:pStyle w:val="HChG"/>
      </w:pPr>
      <w:r w:rsidRPr="000035E9">
        <w:tab/>
        <w:t>II.</w:t>
      </w:r>
      <w:r w:rsidRPr="000035E9">
        <w:tab/>
        <w:t>Justification</w:t>
      </w:r>
    </w:p>
    <w:p w:rsidR="00812F49" w:rsidRPr="000035E9" w:rsidRDefault="005747B9" w:rsidP="000035E9">
      <w:pPr>
        <w:pStyle w:val="SingleTxtG"/>
      </w:pPr>
      <w:r w:rsidRPr="000035E9">
        <w:t>1.</w:t>
      </w:r>
      <w:r w:rsidRPr="000035E9">
        <w:tab/>
        <w:t>La présente proposition vise à tenir compte, dans les dispositions du Règlement ONU </w:t>
      </w:r>
      <w:r w:rsidR="000035E9">
        <w:t>n</w:t>
      </w:r>
      <w:r w:rsidR="000035E9" w:rsidRPr="000035E9">
        <w:rPr>
          <w:vertAlign w:val="superscript"/>
        </w:rPr>
        <w:t>o</w:t>
      </w:r>
      <w:r w:rsidR="000035E9">
        <w:t> </w:t>
      </w:r>
      <w:r w:rsidRPr="000035E9">
        <w:t>67, des progrès techniques actuels. Les tuyauteries à paroi simple ou double constituées de matériaux soudés sont déjà employées actuellem</w:t>
      </w:r>
      <w:r w:rsidRPr="000035E9">
        <w:t>ent pour certaines tuyauteries de freinage ou d</w:t>
      </w:r>
      <w:r w:rsidR="00C45FF6">
        <w:t>’</w:t>
      </w:r>
      <w:r w:rsidRPr="000035E9">
        <w:t>alimentation en carburant et permettent d</w:t>
      </w:r>
      <w:r w:rsidR="00C45FF6">
        <w:t>’</w:t>
      </w:r>
      <w:r w:rsidRPr="000035E9">
        <w:t>obtenir une très vaste gamme de formes d</w:t>
      </w:r>
      <w:r w:rsidR="00C45FF6">
        <w:t>’</w:t>
      </w:r>
      <w:r w:rsidRPr="000035E9">
        <w:t>extrémités et de raccords. En raison de l</w:t>
      </w:r>
      <w:r w:rsidR="00C45FF6">
        <w:t>’</w:t>
      </w:r>
      <w:r w:rsidRPr="000035E9">
        <w:t xml:space="preserve">usage qui leur est réservé, ces tuyauteries sont soumises à de fortes pressions et </w:t>
      </w:r>
      <w:r w:rsidRPr="000035E9">
        <w:t xml:space="preserve">doivent être très résistantes aux impulsions de pression. Il conviendrait de modifier le Règlement ONU </w:t>
      </w:r>
      <w:r w:rsidR="000035E9">
        <w:t>n</w:t>
      </w:r>
      <w:r w:rsidR="000035E9" w:rsidRPr="000035E9">
        <w:rPr>
          <w:vertAlign w:val="superscript"/>
        </w:rPr>
        <w:t>o</w:t>
      </w:r>
      <w:r w:rsidR="000035E9">
        <w:t> </w:t>
      </w:r>
      <w:r w:rsidRPr="000035E9">
        <w:t>67 de sorte à permettre l</w:t>
      </w:r>
      <w:r w:rsidR="00C45FF6">
        <w:t>’</w:t>
      </w:r>
      <w:r w:rsidRPr="000035E9">
        <w:t>utilisation de cette technologie bien connue, pour autant que les tuyaux employés soient à même de satisfaire aux épreuves a</w:t>
      </w:r>
      <w:r w:rsidRPr="000035E9">
        <w:t>pplicables qui figurent dans le tableau 1 de l</w:t>
      </w:r>
      <w:r w:rsidR="00574FE5">
        <w:t>’</w:t>
      </w:r>
      <w:r w:rsidRPr="000035E9">
        <w:t>annexe 15.</w:t>
      </w:r>
    </w:p>
    <w:p w:rsidR="00812F49" w:rsidRPr="000035E9" w:rsidRDefault="005747B9" w:rsidP="000035E9">
      <w:pPr>
        <w:pStyle w:val="SingleTxtG"/>
      </w:pPr>
      <w:r w:rsidRPr="000035E9">
        <w:t>2.</w:t>
      </w:r>
      <w:r w:rsidRPr="000035E9">
        <w:tab/>
        <w:t>Une plus grande souplesse du Règlement permettrait de commercialiser rapidement les véhicules alimentés au GPL. Les essais de présélection effectués par General Motors (États-Unis d</w:t>
      </w:r>
      <w:r w:rsidR="00574FE5">
        <w:t>’</w:t>
      </w:r>
      <w:r w:rsidRPr="000035E9">
        <w:t>Amérique) ont</w:t>
      </w:r>
      <w:r w:rsidRPr="000035E9">
        <w:t xml:space="preserve"> donné des résultats encourageants.</w:t>
      </w:r>
    </w:p>
    <w:p w:rsidR="000035E9" w:rsidRDefault="005747B9" w:rsidP="000035E9">
      <w:pPr>
        <w:pStyle w:val="SingleTxtG"/>
      </w:pPr>
      <w:r w:rsidRPr="000035E9">
        <w:t>3.</w:t>
      </w:r>
      <w:r w:rsidRPr="000035E9">
        <w:tab/>
        <w:t>Le raisonnement technique sur lequel est fondée la présente proposition a déjà été présenté à la précédente session du Groupe de travail des dispositions générales de sécurité, sur la base du document informel GRSG-10</w:t>
      </w:r>
      <w:r w:rsidRPr="000035E9">
        <w:t>9-14 (p</w:t>
      </w:r>
      <w:r w:rsidR="000035E9">
        <w:t>. </w:t>
      </w:r>
      <w:r w:rsidRPr="000035E9">
        <w:t>11 à 21).</w:t>
      </w:r>
    </w:p>
    <w:p w:rsidR="000035E9" w:rsidRPr="000035E9" w:rsidRDefault="000035E9" w:rsidP="000035E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035E9" w:rsidRPr="000035E9" w:rsidSect="00E2664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C0" w:rsidRDefault="00C723C0" w:rsidP="00F95C08">
      <w:pPr>
        <w:spacing w:line="240" w:lineRule="auto"/>
      </w:pPr>
    </w:p>
  </w:endnote>
  <w:endnote w:type="continuationSeparator" w:id="0">
    <w:p w:rsidR="00C723C0" w:rsidRPr="00AC3823" w:rsidRDefault="00C723C0" w:rsidP="00AC3823">
      <w:pPr>
        <w:pStyle w:val="Footer"/>
      </w:pPr>
    </w:p>
  </w:endnote>
  <w:endnote w:type="continuationNotice" w:id="1">
    <w:p w:rsidR="00C723C0" w:rsidRDefault="00C723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49" w:rsidRPr="00E26649" w:rsidRDefault="00E26649" w:rsidP="00E26649">
    <w:pPr>
      <w:pStyle w:val="Footer"/>
      <w:tabs>
        <w:tab w:val="right" w:pos="9638"/>
      </w:tabs>
    </w:pPr>
    <w:r w:rsidRPr="00E26649">
      <w:rPr>
        <w:b/>
        <w:sz w:val="18"/>
      </w:rPr>
      <w:fldChar w:fldCharType="begin"/>
    </w:r>
    <w:r w:rsidRPr="00E26649">
      <w:rPr>
        <w:b/>
        <w:sz w:val="18"/>
      </w:rPr>
      <w:instrText xml:space="preserve"> PAGE  \* MERGEFORMAT </w:instrText>
    </w:r>
    <w:r w:rsidRPr="00E26649">
      <w:rPr>
        <w:b/>
        <w:sz w:val="18"/>
      </w:rPr>
      <w:fldChar w:fldCharType="separate"/>
    </w:r>
    <w:r w:rsidR="005747B9">
      <w:rPr>
        <w:b/>
        <w:noProof/>
        <w:sz w:val="18"/>
      </w:rPr>
      <w:t>2</w:t>
    </w:r>
    <w:r w:rsidRPr="00E26649">
      <w:rPr>
        <w:b/>
        <w:sz w:val="18"/>
      </w:rPr>
      <w:fldChar w:fldCharType="end"/>
    </w:r>
    <w:r>
      <w:rPr>
        <w:b/>
        <w:sz w:val="18"/>
      </w:rPr>
      <w:tab/>
    </w:r>
    <w:r>
      <w:t>GE.16-01839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49" w:rsidRPr="00E26649" w:rsidRDefault="00E26649" w:rsidP="00E26649">
    <w:pPr>
      <w:pStyle w:val="Footer"/>
      <w:tabs>
        <w:tab w:val="right" w:pos="9638"/>
      </w:tabs>
      <w:rPr>
        <w:b/>
        <w:sz w:val="18"/>
      </w:rPr>
    </w:pPr>
    <w:r>
      <w:t>GE.16-01839</w:t>
    </w:r>
    <w:r>
      <w:tab/>
    </w:r>
    <w:r w:rsidRPr="00E26649">
      <w:rPr>
        <w:b/>
        <w:sz w:val="18"/>
      </w:rPr>
      <w:fldChar w:fldCharType="begin"/>
    </w:r>
    <w:r w:rsidRPr="00E26649">
      <w:rPr>
        <w:b/>
        <w:sz w:val="18"/>
      </w:rPr>
      <w:instrText xml:space="preserve"> PAGE  \* MERGEFORMAT </w:instrText>
    </w:r>
    <w:r w:rsidRPr="00E2664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266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E26649" w:rsidRDefault="00E26649" w:rsidP="00E2664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691ECED0" wp14:editId="5DF0F639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16-01839  (F)    010316    150316</w:t>
    </w:r>
    <w:r>
      <w:rPr>
        <w:sz w:val="20"/>
      </w:rPr>
      <w:br/>
    </w:r>
    <w:r w:rsidRPr="00E26649">
      <w:rPr>
        <w:rFonts w:ascii="C39T30Lfz" w:hAnsi="C39T30Lfz"/>
        <w:sz w:val="56"/>
      </w:rPr>
      <w:t></w:t>
    </w:r>
    <w:r w:rsidRPr="00E26649">
      <w:rPr>
        <w:rFonts w:ascii="C39T30Lfz" w:hAnsi="C39T30Lfz"/>
        <w:sz w:val="56"/>
      </w:rPr>
      <w:t></w:t>
    </w:r>
    <w:r w:rsidRPr="00E26649">
      <w:rPr>
        <w:rFonts w:ascii="C39T30Lfz" w:hAnsi="C39T30Lfz"/>
        <w:sz w:val="56"/>
      </w:rPr>
      <w:t></w:t>
    </w:r>
    <w:r w:rsidRPr="00E26649">
      <w:rPr>
        <w:rFonts w:ascii="C39T30Lfz" w:hAnsi="C39T30Lfz"/>
        <w:sz w:val="56"/>
      </w:rPr>
      <w:t></w:t>
    </w:r>
    <w:r w:rsidRPr="00E26649">
      <w:rPr>
        <w:rFonts w:ascii="C39T30Lfz" w:hAnsi="C39T30Lfz"/>
        <w:sz w:val="56"/>
      </w:rPr>
      <w:t></w:t>
    </w:r>
    <w:r w:rsidRPr="00E26649">
      <w:rPr>
        <w:rFonts w:ascii="C39T30Lfz" w:hAnsi="C39T30Lfz"/>
        <w:sz w:val="56"/>
      </w:rPr>
      <w:t></w:t>
    </w:r>
    <w:r w:rsidRPr="00E26649">
      <w:rPr>
        <w:rFonts w:ascii="C39T30Lfz" w:hAnsi="C39T30Lfz"/>
        <w:sz w:val="56"/>
      </w:rPr>
      <w:t></w:t>
    </w:r>
    <w:r w:rsidRPr="00E26649">
      <w:rPr>
        <w:rFonts w:ascii="C39T30Lfz" w:hAnsi="C39T30Lfz"/>
        <w:sz w:val="56"/>
      </w:rPr>
      <w:t></w:t>
    </w:r>
    <w:r w:rsidRPr="00E26649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SG/2016/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G/2016/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C0" w:rsidRPr="00AC3823" w:rsidRDefault="00C723C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723C0" w:rsidRPr="00AC3823" w:rsidRDefault="00C723C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723C0" w:rsidRPr="00AC3823" w:rsidRDefault="00C723C0">
      <w:pPr>
        <w:spacing w:line="240" w:lineRule="auto"/>
        <w:rPr>
          <w:sz w:val="2"/>
          <w:szCs w:val="2"/>
        </w:rPr>
      </w:pPr>
    </w:p>
  </w:footnote>
  <w:footnote w:id="2">
    <w:p w:rsidR="00513286" w:rsidRPr="00513286" w:rsidRDefault="00513286">
      <w:pPr>
        <w:pStyle w:val="FootnoteText"/>
      </w:pPr>
      <w:r>
        <w:rPr>
          <w:rStyle w:val="FootnoteReference"/>
        </w:rPr>
        <w:tab/>
      </w:r>
      <w:r w:rsidRPr="0051328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5747B9" w:rsidRPr="00D6462E">
        <w:rPr>
          <w:spacing w:val="-2"/>
        </w:rPr>
        <w:t xml:space="preserve">Conformément au programme de travail du </w:t>
      </w:r>
      <w:r w:rsidR="005747B9" w:rsidRPr="00D6462E">
        <w:rPr>
          <w:spacing w:val="-2"/>
        </w:rPr>
        <w:t>Comité des transports intérieurs pour la période 2014-2018</w:t>
      </w:r>
      <w:r w:rsidR="005747B9" w:rsidRPr="00513286">
        <w:t xml:space="preserve"> (ECE/TRANS/240, par.</w:t>
      </w:r>
      <w:r w:rsidR="000035E9">
        <w:t> </w:t>
      </w:r>
      <w:r w:rsidR="005747B9" w:rsidRPr="00513286">
        <w:t>105, et ECE/TRANS/2014/26, activité 02.4), le Forum mondial a pour mission d’élaborer, d’harmoniser et de mettre à jour les Règlements en vue d’améliorer les caractéristiques f</w:t>
      </w:r>
      <w:r w:rsidR="005747B9" w:rsidRPr="00513286">
        <w:t>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49" w:rsidRPr="00E26649" w:rsidRDefault="00E26649">
    <w:pPr>
      <w:pStyle w:val="Header"/>
    </w:pPr>
    <w:r>
      <w:t>ECE/TRANS/WP.29/GRSG/2016/7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49" w:rsidRPr="00E26649" w:rsidRDefault="00E26649" w:rsidP="00E26649">
    <w:pPr>
      <w:pStyle w:val="Header"/>
      <w:jc w:val="right"/>
    </w:pPr>
    <w:r>
      <w:t>ECE/TRANS/WP.29/GRSG/2016/7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C0"/>
    <w:rsid w:val="000035E9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77664"/>
    <w:rsid w:val="001F525A"/>
    <w:rsid w:val="00223272"/>
    <w:rsid w:val="0024779E"/>
    <w:rsid w:val="00257168"/>
    <w:rsid w:val="002744B8"/>
    <w:rsid w:val="0027625D"/>
    <w:rsid w:val="002832AC"/>
    <w:rsid w:val="002D7C93"/>
    <w:rsid w:val="00305801"/>
    <w:rsid w:val="00314887"/>
    <w:rsid w:val="003916DE"/>
    <w:rsid w:val="00441C3B"/>
    <w:rsid w:val="00446FE5"/>
    <w:rsid w:val="00452396"/>
    <w:rsid w:val="004818B2"/>
    <w:rsid w:val="004837D8"/>
    <w:rsid w:val="004E20AB"/>
    <w:rsid w:val="004E468C"/>
    <w:rsid w:val="00513286"/>
    <w:rsid w:val="00532B9B"/>
    <w:rsid w:val="005505B7"/>
    <w:rsid w:val="00573BE5"/>
    <w:rsid w:val="005747B9"/>
    <w:rsid w:val="00574FE5"/>
    <w:rsid w:val="00586ED3"/>
    <w:rsid w:val="00596AA9"/>
    <w:rsid w:val="005C7E4F"/>
    <w:rsid w:val="00615F92"/>
    <w:rsid w:val="00663BE9"/>
    <w:rsid w:val="0071601D"/>
    <w:rsid w:val="007A62E6"/>
    <w:rsid w:val="007F20FA"/>
    <w:rsid w:val="0080684C"/>
    <w:rsid w:val="00871C75"/>
    <w:rsid w:val="008776DC"/>
    <w:rsid w:val="00881AC8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45FF6"/>
    <w:rsid w:val="00C723C0"/>
    <w:rsid w:val="00D10802"/>
    <w:rsid w:val="00D3439C"/>
    <w:rsid w:val="00D6462E"/>
    <w:rsid w:val="00DA33BB"/>
    <w:rsid w:val="00DB1831"/>
    <w:rsid w:val="00DD3BFD"/>
    <w:rsid w:val="00DF6678"/>
    <w:rsid w:val="00E26649"/>
    <w:rsid w:val="00E85C74"/>
    <w:rsid w:val="00EA6547"/>
    <w:rsid w:val="00EF2E22"/>
    <w:rsid w:val="00F35BAF"/>
    <w:rsid w:val="00F660DF"/>
    <w:rsid w:val="00F94664"/>
    <w:rsid w:val="00F9573C"/>
    <w:rsid w:val="00F95C08"/>
    <w:rsid w:val="00F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FA3C83C-1BC0-4F09-9296-01963905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ECE/TRANS/WP.29/GRSG/2016/7</vt:lpstr>
      <vt:lpstr>ECE/TRANS/WP.29/GRSG/2016/7</vt:lpstr>
    </vt:vector>
  </TitlesOfParts>
  <Company>DCM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ECE/TRANS/WP.29/GRSG/2016/7</dc:title>
  <dc:subject>final</dc:subject>
  <dc:creator>Deschamps</dc:creator>
  <cp:keywords/>
  <dc:description/>
  <cp:lastModifiedBy>Caillot</cp:lastModifiedBy>
  <cp:revision>2</cp:revision>
  <cp:lastPrinted>2016-03-15T07:46:00Z</cp:lastPrinted>
  <dcterms:created xsi:type="dcterms:W3CDTF">2016-03-15T17:35:00Z</dcterms:created>
  <dcterms:modified xsi:type="dcterms:W3CDTF">2016-03-15T17:35:00Z</dcterms:modified>
</cp:coreProperties>
</file>