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17" w:rsidRPr="000E295F" w:rsidRDefault="00BE5517" w:rsidP="00BE5517">
      <w:pPr>
        <w:spacing w:line="60" w:lineRule="exact"/>
        <w:rPr>
          <w:color w:val="010000"/>
          <w:sz w:val="6"/>
        </w:rPr>
        <w:sectPr w:rsidR="00BE5517" w:rsidRPr="000E295F" w:rsidSect="00BE5517">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0E295F" w:rsidRPr="000E295F" w:rsidRDefault="000E295F" w:rsidP="000E29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295F">
        <w:t>Европейская экономическая комиссия</w:t>
      </w:r>
    </w:p>
    <w:p w:rsidR="000E295F" w:rsidRPr="000E295F" w:rsidRDefault="000E295F" w:rsidP="000E295F">
      <w:pPr>
        <w:spacing w:line="120" w:lineRule="exact"/>
        <w:rPr>
          <w:b/>
          <w:sz w:val="10"/>
        </w:rPr>
      </w:pPr>
    </w:p>
    <w:p w:rsidR="000E295F" w:rsidRPr="000E295F" w:rsidRDefault="000E295F" w:rsidP="000E29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0E295F">
        <w:rPr>
          <w:b w:val="0"/>
        </w:rPr>
        <w:t>Комитет по внутреннему транспорту</w:t>
      </w:r>
    </w:p>
    <w:p w:rsidR="000E295F" w:rsidRPr="000E295F" w:rsidRDefault="000E295F" w:rsidP="000E295F">
      <w:pPr>
        <w:spacing w:line="120" w:lineRule="exact"/>
        <w:rPr>
          <w:sz w:val="10"/>
        </w:rPr>
      </w:pPr>
    </w:p>
    <w:p w:rsidR="000E295F" w:rsidRPr="000E295F" w:rsidRDefault="000E295F" w:rsidP="000E295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295F">
        <w:t xml:space="preserve">Всемирный форум для согласования правил </w:t>
      </w:r>
      <w:r w:rsidRPr="000E295F">
        <w:br/>
        <w:t>в области транспортных средств</w:t>
      </w:r>
    </w:p>
    <w:p w:rsidR="000E295F" w:rsidRPr="000E295F" w:rsidRDefault="000E295F" w:rsidP="000E295F">
      <w:pPr>
        <w:spacing w:line="120" w:lineRule="exact"/>
        <w:rPr>
          <w:b/>
          <w:sz w:val="10"/>
        </w:rPr>
      </w:pPr>
    </w:p>
    <w:p w:rsidR="000E295F" w:rsidRPr="000E295F" w:rsidRDefault="000E295F" w:rsidP="000E29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295F">
        <w:t xml:space="preserve">Рабочая группа по общим предписаниям, </w:t>
      </w:r>
      <w:r w:rsidRPr="000E295F">
        <w:br/>
        <w:t>касающимся безопасности</w:t>
      </w:r>
    </w:p>
    <w:p w:rsidR="000E295F" w:rsidRPr="000E295F" w:rsidRDefault="000E295F" w:rsidP="000E295F">
      <w:pPr>
        <w:spacing w:line="120" w:lineRule="exact"/>
        <w:rPr>
          <w:b/>
          <w:sz w:val="10"/>
        </w:rPr>
      </w:pPr>
    </w:p>
    <w:p w:rsidR="000E295F" w:rsidRPr="000E295F" w:rsidRDefault="000E295F" w:rsidP="000E295F">
      <w:pPr>
        <w:rPr>
          <w:b/>
        </w:rPr>
      </w:pPr>
      <w:r w:rsidRPr="000E295F">
        <w:rPr>
          <w:b/>
        </w:rPr>
        <w:t>110-я сессия</w:t>
      </w:r>
    </w:p>
    <w:p w:rsidR="000E295F" w:rsidRPr="000E295F" w:rsidRDefault="000E295F" w:rsidP="000E295F">
      <w:r w:rsidRPr="000E295F">
        <w:t>Женева, 26–29 апреля 2016 года</w:t>
      </w:r>
    </w:p>
    <w:p w:rsidR="000E295F" w:rsidRPr="000E295F" w:rsidRDefault="000E295F" w:rsidP="000E295F">
      <w:r w:rsidRPr="000E295F">
        <w:t>Пункт 6 предварительной повестки дня</w:t>
      </w:r>
    </w:p>
    <w:p w:rsidR="000E295F" w:rsidRPr="000E295F" w:rsidRDefault="000E295F" w:rsidP="000E295F">
      <w:pPr>
        <w:rPr>
          <w:b/>
        </w:rPr>
      </w:pPr>
      <w:r w:rsidRPr="000E295F">
        <w:rPr>
          <w:b/>
        </w:rPr>
        <w:t>Правила № 55 (</w:t>
      </w:r>
      <w:r w:rsidRPr="000E295F">
        <w:rPr>
          <w:b/>
          <w:bCs/>
        </w:rPr>
        <w:t>механические сцепные устройства</w:t>
      </w:r>
      <w:r w:rsidRPr="000E295F">
        <w:rPr>
          <w:b/>
        </w:rPr>
        <w:t>)</w:t>
      </w:r>
    </w:p>
    <w:p w:rsidR="00781E6B" w:rsidRPr="00781E6B" w:rsidRDefault="00781E6B" w:rsidP="00781E6B">
      <w:pPr>
        <w:spacing w:line="120" w:lineRule="exact"/>
        <w:rPr>
          <w:b/>
          <w:sz w:val="10"/>
        </w:rPr>
      </w:pPr>
    </w:p>
    <w:p w:rsidR="00781E6B" w:rsidRPr="00781E6B" w:rsidRDefault="00781E6B" w:rsidP="00781E6B">
      <w:pPr>
        <w:spacing w:line="120" w:lineRule="exact"/>
        <w:rPr>
          <w:b/>
          <w:sz w:val="10"/>
        </w:rPr>
      </w:pPr>
    </w:p>
    <w:p w:rsidR="00781E6B" w:rsidRPr="00781E6B" w:rsidRDefault="00781E6B" w:rsidP="00781E6B">
      <w:pPr>
        <w:spacing w:line="120" w:lineRule="exact"/>
        <w:rPr>
          <w:b/>
          <w:sz w:val="10"/>
        </w:rPr>
      </w:pPr>
    </w:p>
    <w:p w:rsidR="000E295F" w:rsidRPr="000E295F" w:rsidRDefault="00781E6B" w:rsidP="00781E6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0E295F" w:rsidRPr="000E295F">
        <w:t>Предложение по поправкам к Правилам № 55</w:t>
      </w:r>
      <w:r w:rsidR="000E295F" w:rsidRPr="000E295F">
        <w:br/>
      </w:r>
      <w:r>
        <w:tab/>
      </w:r>
      <w:r>
        <w:tab/>
      </w:r>
      <w:r w:rsidR="000E295F" w:rsidRPr="000E295F">
        <w:t>(механические сцепные устройства)</w:t>
      </w:r>
    </w:p>
    <w:p w:rsidR="000E295F" w:rsidRPr="00781E6B" w:rsidRDefault="000E295F" w:rsidP="000E295F">
      <w:pPr>
        <w:spacing w:line="120" w:lineRule="exact"/>
        <w:ind w:left="720"/>
        <w:rPr>
          <w:b/>
          <w:sz w:val="10"/>
        </w:rPr>
      </w:pPr>
    </w:p>
    <w:p w:rsidR="000E295F" w:rsidRPr="000E295F" w:rsidRDefault="000E295F" w:rsidP="000E295F">
      <w:pPr>
        <w:spacing w:line="120" w:lineRule="exact"/>
        <w:ind w:left="720"/>
        <w:rPr>
          <w:b/>
          <w:sz w:val="10"/>
        </w:rPr>
      </w:pPr>
    </w:p>
    <w:p w:rsidR="000E295F" w:rsidRPr="000E295F" w:rsidRDefault="000E295F" w:rsidP="00781E6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vertAlign w:val="superscript"/>
        </w:rPr>
      </w:pPr>
      <w:r w:rsidRPr="00781E6B">
        <w:tab/>
      </w:r>
      <w:r w:rsidRPr="00781E6B">
        <w:tab/>
      </w:r>
      <w:r w:rsidRPr="000E295F">
        <w:t>Представлено экспертом от Польши</w:t>
      </w:r>
      <w:r w:rsidRPr="00F26F04">
        <w:rPr>
          <w:b w:val="0"/>
          <w:sz w:val="20"/>
          <w:szCs w:val="20"/>
        </w:rPr>
        <w:footnoteReference w:customMarkFollows="1" w:id="1"/>
        <w:t>*</w:t>
      </w:r>
    </w:p>
    <w:p w:rsidR="000E295F" w:rsidRPr="000E295F" w:rsidRDefault="000E295F" w:rsidP="000E295F">
      <w:pPr>
        <w:pStyle w:val="SingleTxt"/>
        <w:spacing w:after="0" w:line="120" w:lineRule="exact"/>
        <w:rPr>
          <w:sz w:val="10"/>
        </w:rPr>
      </w:pPr>
    </w:p>
    <w:p w:rsidR="000E295F" w:rsidRPr="000E295F" w:rsidRDefault="000E295F" w:rsidP="000E295F">
      <w:pPr>
        <w:pStyle w:val="SingleTxt"/>
        <w:spacing w:after="0" w:line="120" w:lineRule="exact"/>
        <w:rPr>
          <w:sz w:val="10"/>
        </w:rPr>
      </w:pPr>
    </w:p>
    <w:p w:rsidR="000E295F" w:rsidRPr="00EA513F" w:rsidRDefault="00EA513F" w:rsidP="000E295F">
      <w:pPr>
        <w:pStyle w:val="SingleTxt"/>
      </w:pPr>
      <w:r w:rsidRPr="00781E6B">
        <w:tab/>
      </w:r>
      <w:r w:rsidR="000E295F" w:rsidRPr="000E295F">
        <w:t>Воспроизведенный ниже текст был подготовлен экспертом от Польши и имеет целью включить в Правила соответствующую поправку, предусматривающую введение в действие нового ограничения на официальное утверждение типа компонента механических сцепных устройств, предназначенных для транспортных средств категории М</w:t>
      </w:r>
      <w:r w:rsidR="000E295F" w:rsidRPr="000E295F">
        <w:rPr>
          <w:vertAlign w:val="subscript"/>
        </w:rPr>
        <w:t>1</w:t>
      </w:r>
      <w:r w:rsidR="000E295F" w:rsidRPr="000E295F">
        <w:t xml:space="preserve"> только в том случае, если они предназначены для буксировки прицепов. Изменения к действующему тексту Правил № 55 выделены жирным шрифтом.</w:t>
      </w:r>
    </w:p>
    <w:p w:rsidR="000E295F" w:rsidRPr="000E295F" w:rsidRDefault="000E295F" w:rsidP="00E553F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295F">
        <w:br w:type="page"/>
      </w:r>
      <w:r w:rsidR="00E553F9" w:rsidRPr="00A63021">
        <w:lastRenderedPageBreak/>
        <w:tab/>
      </w:r>
      <w:r w:rsidRPr="000E295F">
        <w:rPr>
          <w:lang w:val="en-GB"/>
        </w:rPr>
        <w:t>I</w:t>
      </w:r>
      <w:r w:rsidRPr="000E295F">
        <w:t>.</w:t>
      </w:r>
      <w:r w:rsidRPr="000E295F">
        <w:tab/>
        <w:t>Предложение</w:t>
      </w:r>
    </w:p>
    <w:p w:rsidR="00E553F9" w:rsidRPr="00E553F9" w:rsidRDefault="00E553F9" w:rsidP="00E553F9">
      <w:pPr>
        <w:spacing w:line="120" w:lineRule="exact"/>
        <w:rPr>
          <w:i/>
          <w:sz w:val="10"/>
        </w:rPr>
      </w:pPr>
    </w:p>
    <w:p w:rsidR="00E553F9" w:rsidRPr="00E553F9" w:rsidRDefault="00E553F9" w:rsidP="00E553F9">
      <w:pPr>
        <w:spacing w:line="120" w:lineRule="exact"/>
        <w:rPr>
          <w:i/>
          <w:sz w:val="10"/>
        </w:rPr>
      </w:pPr>
    </w:p>
    <w:p w:rsidR="000E295F" w:rsidRPr="000E295F" w:rsidRDefault="000E295F" w:rsidP="00E553F9">
      <w:pPr>
        <w:pStyle w:val="SingleTxt"/>
      </w:pPr>
      <w:r w:rsidRPr="00B3633C">
        <w:rPr>
          <w:i/>
        </w:rPr>
        <w:t>Включить новый пункт 8.2</w:t>
      </w:r>
      <w:r w:rsidRPr="000E295F">
        <w:rPr>
          <w:iCs/>
        </w:rPr>
        <w:t xml:space="preserve"> следующего содержания</w:t>
      </w:r>
      <w:r w:rsidRPr="000E295F">
        <w:t>:</w:t>
      </w:r>
    </w:p>
    <w:p w:rsidR="000E295F" w:rsidRPr="000E295F" w:rsidRDefault="00E553F9" w:rsidP="00B3633C">
      <w:pPr>
        <w:pStyle w:val="SingleTxt"/>
        <w:ind w:left="2218" w:hanging="951"/>
      </w:pPr>
      <w:r>
        <w:t>«</w:t>
      </w:r>
      <w:r w:rsidR="000E295F" w:rsidRPr="00B3633C">
        <w:rPr>
          <w:b/>
        </w:rPr>
        <w:t>8.2</w:t>
      </w:r>
      <w:r w:rsidR="000E295F" w:rsidRPr="00B3633C">
        <w:rPr>
          <w:b/>
        </w:rPr>
        <w:tab/>
      </w:r>
      <w:r w:rsidR="00B3633C" w:rsidRPr="00B3633C">
        <w:rPr>
          <w:b/>
        </w:rPr>
        <w:tab/>
      </w:r>
      <w:r w:rsidR="000E295F" w:rsidRPr="00B3633C">
        <w:rPr>
          <w:b/>
        </w:rPr>
        <w:t>До выдачи официального утверждения типа соответствующего компонента механических сцепных устройств, предназначенных для определенного типа транспортного средства категории М</w:t>
      </w:r>
      <w:r w:rsidR="000E295F" w:rsidRPr="00B3633C">
        <w:rPr>
          <w:b/>
          <w:vertAlign w:val="subscript"/>
        </w:rPr>
        <w:t>1</w:t>
      </w:r>
      <w:r w:rsidR="000E295F" w:rsidRPr="00B3633C">
        <w:rPr>
          <w:b/>
        </w:rPr>
        <w:t>, орган по официальному утверждению выясняет, предназначен ли данный конкретный тип транспортного средства для буксировки прицепа, путем проверки документации об официальном утверждении данного типа транспортного средства с целью установить, составляет ли максимально допустимая статическая вертикальная нагрузка на шаровой наконечник больше нуля. Если эта величина равна нулю, то в официальном утверждении отказывают</w:t>
      </w:r>
      <w:r>
        <w:t>»</w:t>
      </w:r>
      <w:r w:rsidR="000E295F" w:rsidRPr="000E295F">
        <w:t>.</w:t>
      </w:r>
    </w:p>
    <w:p w:rsidR="000E295F" w:rsidRPr="000E295F" w:rsidRDefault="000E295F" w:rsidP="00E553F9">
      <w:pPr>
        <w:pStyle w:val="SingleTxt"/>
      </w:pPr>
      <w:r w:rsidRPr="000E295F">
        <w:rPr>
          <w:i/>
        </w:rPr>
        <w:t>Пункт 8.2</w:t>
      </w:r>
      <w:r w:rsidR="00E553F9" w:rsidRPr="00E553F9">
        <w:rPr>
          <w:i/>
        </w:rPr>
        <w:t>–</w:t>
      </w:r>
      <w:r w:rsidRPr="000E295F">
        <w:rPr>
          <w:i/>
        </w:rPr>
        <w:t xml:space="preserve">8.5 (прежние), </w:t>
      </w:r>
      <w:r w:rsidRPr="000E295F">
        <w:t>изменить нумерацию на 8.3</w:t>
      </w:r>
      <w:r w:rsidR="00E553F9">
        <w:t>–</w:t>
      </w:r>
      <w:r w:rsidRPr="000E295F">
        <w:t>8.6.</w:t>
      </w:r>
    </w:p>
    <w:p w:rsidR="00E553F9" w:rsidRPr="00E553F9" w:rsidRDefault="00E553F9" w:rsidP="00E553F9">
      <w:pPr>
        <w:spacing w:line="120" w:lineRule="exact"/>
        <w:rPr>
          <w:b/>
          <w:sz w:val="10"/>
        </w:rPr>
      </w:pPr>
    </w:p>
    <w:p w:rsidR="00E553F9" w:rsidRPr="00E553F9" w:rsidRDefault="00E553F9" w:rsidP="00E553F9">
      <w:pPr>
        <w:spacing w:line="120" w:lineRule="exact"/>
        <w:rPr>
          <w:b/>
          <w:sz w:val="10"/>
        </w:rPr>
      </w:pPr>
    </w:p>
    <w:p w:rsidR="000E295F" w:rsidRPr="000E295F" w:rsidRDefault="000E295F" w:rsidP="00E553F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E295F">
        <w:tab/>
      </w:r>
      <w:r w:rsidRPr="000E295F">
        <w:rPr>
          <w:lang w:val="en-GB"/>
        </w:rPr>
        <w:t>II</w:t>
      </w:r>
      <w:r w:rsidRPr="000E295F">
        <w:t>.</w:t>
      </w:r>
      <w:r w:rsidRPr="000E295F">
        <w:tab/>
        <w:t>Обоснование</w:t>
      </w:r>
    </w:p>
    <w:p w:rsidR="00E553F9" w:rsidRPr="00E553F9" w:rsidRDefault="00E553F9" w:rsidP="00E553F9">
      <w:pPr>
        <w:spacing w:line="120" w:lineRule="exact"/>
        <w:rPr>
          <w:sz w:val="10"/>
        </w:rPr>
      </w:pPr>
    </w:p>
    <w:p w:rsidR="00E553F9" w:rsidRPr="00E553F9" w:rsidRDefault="00E553F9" w:rsidP="00E553F9">
      <w:pPr>
        <w:spacing w:line="120" w:lineRule="exact"/>
        <w:rPr>
          <w:sz w:val="10"/>
        </w:rPr>
      </w:pPr>
    </w:p>
    <w:p w:rsidR="000E295F" w:rsidRPr="000E295F" w:rsidRDefault="000E295F" w:rsidP="00E553F9">
      <w:pPr>
        <w:pStyle w:val="SingleTxt"/>
      </w:pPr>
      <w:r w:rsidRPr="000E295F">
        <w:t>1.</w:t>
      </w:r>
      <w:r w:rsidRPr="000E295F">
        <w:tab/>
        <w:t>В ходе недавнего совещания органов Европейского союза по официальному утверждению типа (СООУ), состоявшегося в Исландии в 2015 году, эксперт от Польши поднял проблему выдачи свидетельств официального утверждения ООН на устройства, предназначенные для транспортных средств, которые никогда не используются для буксировки прицепа (выдержку из протокола совещания СООУ см. в приложении ниже).</w:t>
      </w:r>
    </w:p>
    <w:p w:rsidR="00BE5517" w:rsidRDefault="000E295F" w:rsidP="00E553F9">
      <w:pPr>
        <w:pStyle w:val="SingleTxt"/>
      </w:pPr>
      <w:r w:rsidRPr="000E295F">
        <w:t>2.</w:t>
      </w:r>
      <w:r w:rsidRPr="000E295F">
        <w:tab/>
        <w:t>В этой связи в настоящем документе предлагается ввести в действие новое общее ограничение на официальное утверждение типа компонентов механических сцепных устройств только в том случае, если данный тип транспортного средства предназначен для буксировки прицепа.</w:t>
      </w:r>
    </w:p>
    <w:p w:rsidR="00B3633C" w:rsidRDefault="00B3633C" w:rsidP="00B3633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rsidRPr="00541663">
        <w:t>Annex</w:t>
      </w:r>
      <w:r>
        <w:t xml:space="preserve"> (in English only)</w:t>
      </w:r>
    </w:p>
    <w:p w:rsidR="00B3633C" w:rsidRPr="00B3633C" w:rsidRDefault="00B3633C" w:rsidP="00B3633C">
      <w:pPr>
        <w:spacing w:line="120" w:lineRule="exact"/>
        <w:rPr>
          <w:sz w:val="10"/>
        </w:rPr>
      </w:pPr>
    </w:p>
    <w:p w:rsidR="00B3633C" w:rsidRPr="00B3633C" w:rsidRDefault="00B3633C" w:rsidP="00B3633C">
      <w:pPr>
        <w:spacing w:line="120" w:lineRule="exact"/>
        <w:rPr>
          <w:sz w:val="10"/>
        </w:rPr>
      </w:pPr>
    </w:p>
    <w:p w:rsidR="00B3633C" w:rsidRDefault="00B3633C" w:rsidP="00B3633C">
      <w:pPr>
        <w:keepNext/>
        <w:keepLines/>
        <w:spacing w:line="240" w:lineRule="auto"/>
        <w:ind w:left="1049" w:right="1134"/>
        <w:jc w:val="both"/>
        <w:rPr>
          <w:lang w:val="en-US"/>
        </w:rPr>
      </w:pPr>
      <w:r>
        <w:rPr>
          <w:noProof/>
          <w:lang w:val="en-US"/>
        </w:rPr>
        <w:drawing>
          <wp:inline distT="0" distB="0" distL="0" distR="0" wp14:anchorId="7F7DAEA5" wp14:editId="13A1DBB1">
            <wp:extent cx="4810125" cy="6858000"/>
            <wp:effectExtent l="19050" t="19050" r="28575" b="1905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125" cy="6858000"/>
                    </a:xfrm>
                    <a:prstGeom prst="rect">
                      <a:avLst/>
                    </a:prstGeom>
                    <a:noFill/>
                    <a:ln w="6350" cmpd="sng">
                      <a:solidFill>
                        <a:srgbClr val="000000"/>
                      </a:solidFill>
                      <a:miter lim="800000"/>
                      <a:headEnd/>
                      <a:tailEnd/>
                    </a:ln>
                    <a:effectLst/>
                  </pic:spPr>
                </pic:pic>
              </a:graphicData>
            </a:graphic>
          </wp:inline>
        </w:drawing>
      </w:r>
    </w:p>
    <w:p w:rsidR="00B3633C" w:rsidRPr="00B3633C" w:rsidRDefault="00B3633C" w:rsidP="00B3633C">
      <w:pPr>
        <w:pStyle w:val="SingleTxt"/>
        <w:spacing w:after="0" w:line="240" w:lineRule="auto"/>
        <w:jc w:val="lef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37F2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B3633C" w:rsidRPr="00B3633C" w:rsidSect="00BE5517">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A6" w:rsidRDefault="004C2AA6" w:rsidP="008A1A7A">
      <w:pPr>
        <w:spacing w:line="240" w:lineRule="auto"/>
      </w:pPr>
      <w:r>
        <w:separator/>
      </w:r>
    </w:p>
  </w:endnote>
  <w:endnote w:type="continuationSeparator" w:id="0">
    <w:p w:rsidR="004C2AA6" w:rsidRDefault="004C2AA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BE5517" w:rsidTr="00BE5517">
      <w:trPr>
        <w:jc w:val="center"/>
      </w:trPr>
      <w:tc>
        <w:tcPr>
          <w:tcW w:w="5126" w:type="dxa"/>
          <w:shd w:val="clear" w:color="auto" w:fill="auto"/>
          <w:vAlign w:val="bottom"/>
        </w:tcPr>
        <w:p w:rsidR="00BE5517" w:rsidRPr="00BE5517" w:rsidRDefault="00BE5517" w:rsidP="00BE5517">
          <w:pPr>
            <w:pStyle w:val="Footer"/>
            <w:rPr>
              <w:color w:val="000000"/>
            </w:rPr>
          </w:pPr>
          <w:r>
            <w:fldChar w:fldCharType="begin"/>
          </w:r>
          <w:r>
            <w:instrText xml:space="preserve"> PAGE  \* Arabic  \* MERGEFORMAT </w:instrText>
          </w:r>
          <w:r>
            <w:fldChar w:fldCharType="separate"/>
          </w:r>
          <w:r w:rsidR="00A63021">
            <w:rPr>
              <w:noProof/>
            </w:rPr>
            <w:t>2</w:t>
          </w:r>
          <w:r>
            <w:fldChar w:fldCharType="end"/>
          </w:r>
          <w:r>
            <w:t>/</w:t>
          </w:r>
          <w:r w:rsidR="00A63021">
            <w:fldChar w:fldCharType="begin"/>
          </w:r>
          <w:r w:rsidR="00A63021">
            <w:instrText xml:space="preserve"> NUMPAGES  \* Arabic  \* MERGEFORMAT </w:instrText>
          </w:r>
          <w:r w:rsidR="00A63021">
            <w:fldChar w:fldCharType="separate"/>
          </w:r>
          <w:r w:rsidR="00A63021">
            <w:rPr>
              <w:noProof/>
            </w:rPr>
            <w:t>3</w:t>
          </w:r>
          <w:r w:rsidR="00A63021">
            <w:rPr>
              <w:noProof/>
            </w:rPr>
            <w:fldChar w:fldCharType="end"/>
          </w:r>
        </w:p>
      </w:tc>
      <w:tc>
        <w:tcPr>
          <w:tcW w:w="5127" w:type="dxa"/>
          <w:shd w:val="clear" w:color="auto" w:fill="auto"/>
          <w:vAlign w:val="bottom"/>
        </w:tcPr>
        <w:p w:rsidR="00BE5517" w:rsidRPr="00BE5517" w:rsidRDefault="00BE5517" w:rsidP="00BE551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603AE">
            <w:rPr>
              <w:b w:val="0"/>
              <w:color w:val="000000"/>
              <w:sz w:val="14"/>
            </w:rPr>
            <w:t>GE.16-01827</w:t>
          </w:r>
          <w:r>
            <w:rPr>
              <w:b w:val="0"/>
              <w:color w:val="000000"/>
              <w:sz w:val="14"/>
            </w:rPr>
            <w:fldChar w:fldCharType="end"/>
          </w:r>
        </w:p>
      </w:tc>
    </w:tr>
  </w:tbl>
  <w:p w:rsidR="00BE5517" w:rsidRPr="00BE5517" w:rsidRDefault="00BE5517" w:rsidP="00BE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BE5517" w:rsidTr="00BE5517">
      <w:trPr>
        <w:jc w:val="center"/>
      </w:trPr>
      <w:tc>
        <w:tcPr>
          <w:tcW w:w="5126" w:type="dxa"/>
          <w:shd w:val="clear" w:color="auto" w:fill="auto"/>
          <w:vAlign w:val="bottom"/>
        </w:tcPr>
        <w:p w:rsidR="00BE5517" w:rsidRPr="00BE5517" w:rsidRDefault="00BE5517" w:rsidP="00BE551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603AE">
            <w:rPr>
              <w:b w:val="0"/>
              <w:color w:val="000000"/>
              <w:sz w:val="14"/>
            </w:rPr>
            <w:t>GE.16-01827</w:t>
          </w:r>
          <w:r>
            <w:rPr>
              <w:b w:val="0"/>
              <w:color w:val="000000"/>
              <w:sz w:val="14"/>
            </w:rPr>
            <w:fldChar w:fldCharType="end"/>
          </w:r>
        </w:p>
      </w:tc>
      <w:tc>
        <w:tcPr>
          <w:tcW w:w="5127" w:type="dxa"/>
          <w:shd w:val="clear" w:color="auto" w:fill="auto"/>
          <w:vAlign w:val="bottom"/>
        </w:tcPr>
        <w:p w:rsidR="00BE5517" w:rsidRPr="00BE5517" w:rsidRDefault="00BE5517" w:rsidP="00BE5517">
          <w:pPr>
            <w:pStyle w:val="Footer"/>
            <w:jc w:val="right"/>
          </w:pPr>
          <w:r>
            <w:fldChar w:fldCharType="begin"/>
          </w:r>
          <w:r>
            <w:instrText xml:space="preserve"> PAGE  \* Arabic  \* MERGEFORMAT </w:instrText>
          </w:r>
          <w:r>
            <w:fldChar w:fldCharType="separate"/>
          </w:r>
          <w:r w:rsidR="00A63021">
            <w:rPr>
              <w:noProof/>
            </w:rPr>
            <w:t>3</w:t>
          </w:r>
          <w:r>
            <w:fldChar w:fldCharType="end"/>
          </w:r>
          <w:r>
            <w:t>/</w:t>
          </w:r>
          <w:r w:rsidR="00A63021">
            <w:fldChar w:fldCharType="begin"/>
          </w:r>
          <w:r w:rsidR="00A63021">
            <w:instrText xml:space="preserve"> NUMPAGES  \* Arabic  \* MERGEFORMAT </w:instrText>
          </w:r>
          <w:r w:rsidR="00A63021">
            <w:fldChar w:fldCharType="separate"/>
          </w:r>
          <w:r w:rsidR="00A63021">
            <w:rPr>
              <w:noProof/>
            </w:rPr>
            <w:t>3</w:t>
          </w:r>
          <w:r w:rsidR="00A63021">
            <w:rPr>
              <w:noProof/>
            </w:rPr>
            <w:fldChar w:fldCharType="end"/>
          </w:r>
        </w:p>
      </w:tc>
    </w:tr>
  </w:tbl>
  <w:p w:rsidR="00BE5517" w:rsidRPr="00BE5517" w:rsidRDefault="00BE5517" w:rsidP="00BE5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BE5517" w:rsidTr="00BE5517">
      <w:tc>
        <w:tcPr>
          <w:tcW w:w="3873" w:type="dxa"/>
        </w:tcPr>
        <w:p w:rsidR="00BE5517" w:rsidRDefault="00BE5517" w:rsidP="00BE5517">
          <w:pPr>
            <w:pStyle w:val="ReleaseDate"/>
            <w:rPr>
              <w:color w:val="010000"/>
            </w:rPr>
          </w:pPr>
          <w:r>
            <w:rPr>
              <w:noProof/>
              <w:lang w:val="en-US"/>
            </w:rPr>
            <w:drawing>
              <wp:anchor distT="0" distB="0" distL="114300" distR="114300" simplePos="0" relativeHeight="251658240" behindDoc="0" locked="0" layoutInCell="1" allowOverlap="1" wp14:anchorId="57CAC2DE" wp14:editId="18A2A18E">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SG/2016/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6/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GE.16-01827 (R)</w:t>
          </w:r>
          <w:r>
            <w:rPr>
              <w:color w:val="010000"/>
            </w:rPr>
            <w:t xml:space="preserve">    230216    230216</w:t>
          </w:r>
        </w:p>
        <w:p w:rsidR="00BE5517" w:rsidRPr="00BE5517" w:rsidRDefault="00BE5517" w:rsidP="00BE5517">
          <w:pPr>
            <w:spacing w:before="80" w:line="210" w:lineRule="exact"/>
            <w:rPr>
              <w:rFonts w:ascii="Barcode 3 of 9 by request" w:hAnsi="Barcode 3 of 9 by request"/>
              <w:w w:val="100"/>
              <w:sz w:val="24"/>
            </w:rPr>
          </w:pPr>
          <w:r>
            <w:rPr>
              <w:rFonts w:ascii="Barcode 3 of 9 by request" w:hAnsi="Barcode 3 of 9 by request"/>
              <w:w w:val="100"/>
              <w:sz w:val="24"/>
            </w:rPr>
            <w:t>*1601827*</w:t>
          </w:r>
        </w:p>
      </w:tc>
      <w:tc>
        <w:tcPr>
          <w:tcW w:w="5127" w:type="dxa"/>
        </w:tcPr>
        <w:p w:rsidR="00BE5517" w:rsidRDefault="00BE5517" w:rsidP="00BE5517">
          <w:pPr>
            <w:pStyle w:val="Footer"/>
            <w:spacing w:line="240" w:lineRule="atLeast"/>
            <w:jc w:val="right"/>
            <w:rPr>
              <w:b w:val="0"/>
              <w:sz w:val="20"/>
            </w:rPr>
          </w:pPr>
          <w:r>
            <w:rPr>
              <w:b w:val="0"/>
              <w:noProof/>
              <w:sz w:val="20"/>
              <w:lang w:val="en-US"/>
            </w:rPr>
            <w:drawing>
              <wp:inline distT="0" distB="0" distL="0" distR="0" wp14:anchorId="321C956F" wp14:editId="0D9D9CCB">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BE5517" w:rsidRPr="00BE5517" w:rsidRDefault="00BE5517" w:rsidP="00BE551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A6" w:rsidRPr="000E295F" w:rsidRDefault="000E295F" w:rsidP="000E295F">
      <w:pPr>
        <w:pStyle w:val="Footer"/>
        <w:spacing w:after="80"/>
        <w:ind w:left="792"/>
        <w:rPr>
          <w:sz w:val="16"/>
        </w:rPr>
      </w:pPr>
      <w:r w:rsidRPr="000E295F">
        <w:rPr>
          <w:sz w:val="16"/>
        </w:rPr>
        <w:t>__________________</w:t>
      </w:r>
    </w:p>
  </w:footnote>
  <w:footnote w:type="continuationSeparator" w:id="0">
    <w:p w:rsidR="004C2AA6" w:rsidRPr="000E295F" w:rsidRDefault="000E295F" w:rsidP="000E295F">
      <w:pPr>
        <w:pStyle w:val="Footer"/>
        <w:spacing w:after="80"/>
        <w:ind w:left="792"/>
        <w:rPr>
          <w:sz w:val="16"/>
        </w:rPr>
      </w:pPr>
      <w:r w:rsidRPr="000E295F">
        <w:rPr>
          <w:sz w:val="16"/>
        </w:rPr>
        <w:t>__________________</w:t>
      </w:r>
    </w:p>
  </w:footnote>
  <w:footnote w:id="1">
    <w:p w:rsidR="000E295F" w:rsidRPr="007360B3" w:rsidRDefault="000E295F" w:rsidP="000E295F">
      <w:pPr>
        <w:pStyle w:val="FootnoteText"/>
        <w:tabs>
          <w:tab w:val="right" w:pos="1195"/>
          <w:tab w:val="left" w:pos="1267"/>
          <w:tab w:val="left" w:pos="1742"/>
          <w:tab w:val="left" w:pos="2218"/>
          <w:tab w:val="left" w:pos="2693"/>
        </w:tabs>
        <w:ind w:left="1267" w:right="1260" w:hanging="432"/>
        <w:rPr>
          <w:rFonts w:eastAsia="Calibri"/>
        </w:rPr>
      </w:pPr>
      <w:r>
        <w:rPr>
          <w:lang w:val="en-US"/>
        </w:rPr>
        <w:tab/>
      </w:r>
      <w:r w:rsidRPr="00EA513F">
        <w:rPr>
          <w:rStyle w:val="FootnoteReference"/>
          <w:vertAlign w:val="baseline"/>
        </w:rPr>
        <w:t>*</w:t>
      </w:r>
      <w:r w:rsidRPr="000E295F">
        <w:tab/>
      </w:r>
      <w:r w:rsidRPr="008C55FF">
        <w:rPr>
          <w:szCs w:val="18"/>
        </w:rPr>
        <w:t xml:space="preserve">В соответствии с программой работы Комитета по внутреннему транспорту </w:t>
      </w:r>
      <w:r w:rsidR="00EA513F" w:rsidRPr="00EA513F">
        <w:rPr>
          <w:szCs w:val="18"/>
        </w:rPr>
        <w:br/>
      </w:r>
      <w:r w:rsidRPr="008C55FF">
        <w:rPr>
          <w:szCs w:val="18"/>
        </w:rPr>
        <w:t>на 2014–2018 годы (</w:t>
      </w:r>
      <w:r w:rsidRPr="00F94367">
        <w:rPr>
          <w:szCs w:val="18"/>
          <w:lang w:val="en-US"/>
        </w:rPr>
        <w:t>ECE</w:t>
      </w:r>
      <w:r w:rsidRPr="008C55FF">
        <w:rPr>
          <w:szCs w:val="18"/>
        </w:rPr>
        <w:t>/</w:t>
      </w:r>
      <w:r w:rsidRPr="00F94367">
        <w:rPr>
          <w:szCs w:val="18"/>
          <w:lang w:val="en-US"/>
        </w:rPr>
        <w:t>TRANS</w:t>
      </w:r>
      <w:r w:rsidRPr="008C55FF">
        <w:rPr>
          <w:szCs w:val="18"/>
        </w:rPr>
        <w:t xml:space="preserve">/240, пункт 105, и </w:t>
      </w:r>
      <w:r w:rsidRPr="00F94367">
        <w:rPr>
          <w:szCs w:val="18"/>
          <w:lang w:val="en-US"/>
        </w:rPr>
        <w:t>ECE</w:t>
      </w:r>
      <w:r w:rsidRPr="008C55FF">
        <w:rPr>
          <w:szCs w:val="18"/>
        </w:rPr>
        <w:t>/</w:t>
      </w:r>
      <w:r w:rsidRPr="00F94367">
        <w:rPr>
          <w:szCs w:val="18"/>
          <w:lang w:val="en-US"/>
        </w:rPr>
        <w:t>TRANS</w:t>
      </w:r>
      <w:r w:rsidRPr="008C55FF">
        <w:rPr>
          <w:szCs w:val="18"/>
        </w:rPr>
        <w:t>/2014/26, подпрограмма 02.4) Всемирный форум будет разрабатывать, согласовывать и обновлять правила в целях улучшения характеристик транспортных средств</w:t>
      </w:r>
      <w:r w:rsidRPr="007360B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E5517" w:rsidTr="00BE5517">
      <w:trPr>
        <w:trHeight w:hRule="exact" w:val="864"/>
        <w:jc w:val="center"/>
      </w:trPr>
      <w:tc>
        <w:tcPr>
          <w:tcW w:w="4882" w:type="dxa"/>
          <w:shd w:val="clear" w:color="auto" w:fill="auto"/>
          <w:vAlign w:val="bottom"/>
        </w:tcPr>
        <w:p w:rsidR="00BE5517" w:rsidRPr="00BE5517" w:rsidRDefault="00BE5517" w:rsidP="00BE5517">
          <w:pPr>
            <w:pStyle w:val="Header"/>
            <w:spacing w:after="80"/>
            <w:rPr>
              <w:b/>
            </w:rPr>
          </w:pPr>
          <w:r>
            <w:rPr>
              <w:b/>
            </w:rPr>
            <w:fldChar w:fldCharType="begin"/>
          </w:r>
          <w:r>
            <w:rPr>
              <w:b/>
            </w:rPr>
            <w:instrText xml:space="preserve"> DOCVARIABLE "sss1" \* MERGEFORMAT </w:instrText>
          </w:r>
          <w:r>
            <w:rPr>
              <w:b/>
            </w:rPr>
            <w:fldChar w:fldCharType="separate"/>
          </w:r>
          <w:r w:rsidR="009603AE">
            <w:rPr>
              <w:b/>
            </w:rPr>
            <w:t>ECE/TRANS/WP.29/GRSG/2016/4</w:t>
          </w:r>
          <w:r>
            <w:rPr>
              <w:b/>
            </w:rPr>
            <w:fldChar w:fldCharType="end"/>
          </w:r>
        </w:p>
      </w:tc>
      <w:tc>
        <w:tcPr>
          <w:tcW w:w="5127" w:type="dxa"/>
          <w:shd w:val="clear" w:color="auto" w:fill="auto"/>
          <w:vAlign w:val="bottom"/>
        </w:tcPr>
        <w:p w:rsidR="00BE5517" w:rsidRDefault="00BE5517" w:rsidP="00BE5517">
          <w:pPr>
            <w:pStyle w:val="Header"/>
          </w:pPr>
        </w:p>
      </w:tc>
    </w:tr>
  </w:tbl>
  <w:p w:rsidR="00BE5517" w:rsidRPr="00BE5517" w:rsidRDefault="00BE5517" w:rsidP="00BE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E5517" w:rsidTr="00BE5517">
      <w:trPr>
        <w:trHeight w:hRule="exact" w:val="864"/>
        <w:jc w:val="center"/>
      </w:trPr>
      <w:tc>
        <w:tcPr>
          <w:tcW w:w="4882" w:type="dxa"/>
          <w:shd w:val="clear" w:color="auto" w:fill="auto"/>
          <w:vAlign w:val="bottom"/>
        </w:tcPr>
        <w:p w:rsidR="00BE5517" w:rsidRDefault="00BE5517" w:rsidP="00BE5517">
          <w:pPr>
            <w:pStyle w:val="Header"/>
          </w:pPr>
        </w:p>
      </w:tc>
      <w:tc>
        <w:tcPr>
          <w:tcW w:w="5127" w:type="dxa"/>
          <w:shd w:val="clear" w:color="auto" w:fill="auto"/>
          <w:vAlign w:val="bottom"/>
        </w:tcPr>
        <w:p w:rsidR="00BE5517" w:rsidRPr="00BE5517" w:rsidRDefault="00BE5517" w:rsidP="00BE5517">
          <w:pPr>
            <w:pStyle w:val="Header"/>
            <w:spacing w:after="80"/>
            <w:jc w:val="right"/>
            <w:rPr>
              <w:b/>
            </w:rPr>
          </w:pPr>
          <w:r>
            <w:rPr>
              <w:b/>
            </w:rPr>
            <w:fldChar w:fldCharType="begin"/>
          </w:r>
          <w:r>
            <w:rPr>
              <w:b/>
            </w:rPr>
            <w:instrText xml:space="preserve"> DOCVARIABLE "sss1" \* MERGEFORMAT </w:instrText>
          </w:r>
          <w:r>
            <w:rPr>
              <w:b/>
            </w:rPr>
            <w:fldChar w:fldCharType="separate"/>
          </w:r>
          <w:r w:rsidR="009603AE">
            <w:rPr>
              <w:b/>
            </w:rPr>
            <w:t>ECE/TRANS/WP.29/GRSG/2016/4</w:t>
          </w:r>
          <w:r>
            <w:rPr>
              <w:b/>
            </w:rPr>
            <w:fldChar w:fldCharType="end"/>
          </w:r>
        </w:p>
      </w:tc>
    </w:tr>
  </w:tbl>
  <w:p w:rsidR="00BE5517" w:rsidRPr="00BE5517" w:rsidRDefault="00BE5517" w:rsidP="00BE5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BE5517" w:rsidTr="00BE5517">
      <w:trPr>
        <w:trHeight w:hRule="exact" w:val="864"/>
      </w:trPr>
      <w:tc>
        <w:tcPr>
          <w:tcW w:w="4421" w:type="dxa"/>
          <w:gridSpan w:val="2"/>
          <w:tcBorders>
            <w:bottom w:val="single" w:sz="4" w:space="0" w:color="auto"/>
          </w:tcBorders>
          <w:shd w:val="clear" w:color="auto" w:fill="auto"/>
          <w:vAlign w:val="bottom"/>
        </w:tcPr>
        <w:p w:rsidR="00BE5517" w:rsidRPr="00BE5517" w:rsidRDefault="00BE5517" w:rsidP="00BE551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BE5517" w:rsidRDefault="00BE5517" w:rsidP="00BE5517">
          <w:pPr>
            <w:pStyle w:val="Header"/>
            <w:spacing w:after="120"/>
          </w:pPr>
        </w:p>
      </w:tc>
      <w:tc>
        <w:tcPr>
          <w:tcW w:w="5357" w:type="dxa"/>
          <w:gridSpan w:val="3"/>
          <w:tcBorders>
            <w:bottom w:val="single" w:sz="4" w:space="0" w:color="auto"/>
          </w:tcBorders>
          <w:shd w:val="clear" w:color="auto" w:fill="auto"/>
          <w:vAlign w:val="bottom"/>
        </w:tcPr>
        <w:p w:rsidR="00BE5517" w:rsidRPr="00BE5517" w:rsidRDefault="00BE5517" w:rsidP="00BE5517">
          <w:pPr>
            <w:pStyle w:val="Header"/>
            <w:spacing w:after="20"/>
            <w:jc w:val="right"/>
            <w:rPr>
              <w:sz w:val="20"/>
            </w:rPr>
          </w:pPr>
          <w:r>
            <w:rPr>
              <w:sz w:val="40"/>
            </w:rPr>
            <w:t>ECE</w:t>
          </w:r>
          <w:r>
            <w:rPr>
              <w:sz w:val="20"/>
            </w:rPr>
            <w:t>/TRANS/WP.29/GRSG/2016/4</w:t>
          </w:r>
        </w:p>
      </w:tc>
    </w:tr>
    <w:tr w:rsidR="00BE5517" w:rsidRPr="000E295F" w:rsidTr="00BE5517">
      <w:trPr>
        <w:trHeight w:hRule="exact" w:val="2880"/>
      </w:trPr>
      <w:tc>
        <w:tcPr>
          <w:tcW w:w="1267" w:type="dxa"/>
          <w:tcBorders>
            <w:top w:val="single" w:sz="4" w:space="0" w:color="auto"/>
            <w:bottom w:val="single" w:sz="12" w:space="0" w:color="auto"/>
          </w:tcBorders>
          <w:shd w:val="clear" w:color="auto" w:fill="auto"/>
        </w:tcPr>
        <w:p w:rsidR="00BE5517" w:rsidRPr="00BE5517" w:rsidRDefault="00BE5517" w:rsidP="00BE5517">
          <w:pPr>
            <w:pStyle w:val="Header"/>
            <w:spacing w:before="120"/>
            <w:jc w:val="center"/>
          </w:pPr>
          <w:r>
            <w:t xml:space="preserve"> </w:t>
          </w:r>
          <w:r>
            <w:rPr>
              <w:noProof/>
              <w:lang w:val="en-US"/>
            </w:rPr>
            <w:drawing>
              <wp:inline distT="0" distB="0" distL="0" distR="0" wp14:anchorId="7D1C3F97" wp14:editId="3FC085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E5517" w:rsidRPr="00BE5517" w:rsidRDefault="00BE5517" w:rsidP="00BE5517">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BE5517" w:rsidRPr="00BE5517" w:rsidRDefault="00BE5517" w:rsidP="00BE5517">
          <w:pPr>
            <w:pStyle w:val="Header"/>
            <w:spacing w:before="109"/>
          </w:pPr>
        </w:p>
      </w:tc>
      <w:tc>
        <w:tcPr>
          <w:tcW w:w="3280" w:type="dxa"/>
          <w:tcBorders>
            <w:top w:val="single" w:sz="4" w:space="0" w:color="auto"/>
            <w:bottom w:val="single" w:sz="12" w:space="0" w:color="auto"/>
          </w:tcBorders>
          <w:shd w:val="clear" w:color="auto" w:fill="auto"/>
        </w:tcPr>
        <w:p w:rsidR="00BE5517" w:rsidRPr="000E295F" w:rsidRDefault="00BE5517" w:rsidP="00BE5517">
          <w:pPr>
            <w:pStyle w:val="Distribution"/>
            <w:rPr>
              <w:color w:val="000000"/>
              <w:lang w:val="en-US"/>
            </w:rPr>
          </w:pPr>
          <w:r w:rsidRPr="000E295F">
            <w:rPr>
              <w:color w:val="000000"/>
              <w:lang w:val="en-US"/>
            </w:rPr>
            <w:t>Distr.: General</w:t>
          </w:r>
        </w:p>
        <w:p w:rsidR="00BE5517" w:rsidRPr="000E295F" w:rsidRDefault="00BE5517" w:rsidP="000E295F">
          <w:pPr>
            <w:pStyle w:val="Publication"/>
            <w:rPr>
              <w:color w:val="000000"/>
              <w:lang w:val="en-US"/>
            </w:rPr>
          </w:pPr>
          <w:r w:rsidRPr="000E295F">
            <w:rPr>
              <w:color w:val="000000"/>
              <w:lang w:val="en-US"/>
            </w:rPr>
            <w:t>10 February 2016</w:t>
          </w:r>
        </w:p>
        <w:p w:rsidR="00BE5517" w:rsidRPr="000E295F" w:rsidRDefault="00BE5517" w:rsidP="00BE5517">
          <w:pPr>
            <w:rPr>
              <w:color w:val="000000"/>
              <w:lang w:val="en-US"/>
            </w:rPr>
          </w:pPr>
          <w:r w:rsidRPr="000E295F">
            <w:rPr>
              <w:color w:val="000000"/>
              <w:lang w:val="en-US"/>
            </w:rPr>
            <w:t>Russian</w:t>
          </w:r>
        </w:p>
        <w:p w:rsidR="00BE5517" w:rsidRPr="000E295F" w:rsidRDefault="00BE5517" w:rsidP="00BE5517">
          <w:pPr>
            <w:pStyle w:val="Original"/>
            <w:rPr>
              <w:color w:val="000000"/>
              <w:lang w:val="en-US"/>
            </w:rPr>
          </w:pPr>
          <w:r w:rsidRPr="000E295F">
            <w:rPr>
              <w:color w:val="000000"/>
              <w:lang w:val="en-US"/>
            </w:rPr>
            <w:t>Original: English</w:t>
          </w:r>
        </w:p>
        <w:p w:rsidR="00BE5517" w:rsidRPr="000E295F" w:rsidRDefault="00BE5517" w:rsidP="00BE5517">
          <w:pPr>
            <w:rPr>
              <w:lang w:val="en-US"/>
            </w:rPr>
          </w:pPr>
        </w:p>
      </w:tc>
    </w:tr>
  </w:tbl>
  <w:p w:rsidR="00BE5517" w:rsidRPr="000E295F" w:rsidRDefault="00BE5517" w:rsidP="00BE5517">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1827*"/>
    <w:docVar w:name="CreationDt" w:val="2/23/2016 2:36: PM"/>
    <w:docVar w:name="DocCategory" w:val="Doc"/>
    <w:docVar w:name="DocType" w:val="Final"/>
    <w:docVar w:name="DutyStation" w:val="Geneva"/>
    <w:docVar w:name="FooterJN" w:val="GE.16-01827"/>
    <w:docVar w:name="jobn" w:val="GE.16-01827 (R)"/>
    <w:docVar w:name="jobnDT" w:val="GE.16-01827 (R)   230216"/>
    <w:docVar w:name="jobnDTDT" w:val="GE.16-01827 (R)   230216   230216"/>
    <w:docVar w:name="JobNo" w:val="GE.1601827R"/>
    <w:docVar w:name="JobNo2" w:val="1602264R"/>
    <w:docVar w:name="LocalDrive" w:val="0"/>
    <w:docVar w:name="OandT" w:val=" "/>
    <w:docVar w:name="PaperSize" w:val="A4"/>
    <w:docVar w:name="sss1" w:val="ECE/TRANS/WP.29/GRSG/2016/4"/>
    <w:docVar w:name="sss2" w:val="-"/>
    <w:docVar w:name="Symbol1" w:val="ECE/TRANS/WP.29/GRSG/2016/4"/>
    <w:docVar w:name="Symbol2" w:val="-"/>
  </w:docVars>
  <w:rsids>
    <w:rsidRoot w:val="004C2AA6"/>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295F"/>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304A"/>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2AA6"/>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3C8D"/>
    <w:rsid w:val="00745258"/>
    <w:rsid w:val="00763C4A"/>
    <w:rsid w:val="00767AED"/>
    <w:rsid w:val="007732BE"/>
    <w:rsid w:val="0077374B"/>
    <w:rsid w:val="007746A3"/>
    <w:rsid w:val="0077623B"/>
    <w:rsid w:val="007766E6"/>
    <w:rsid w:val="00776873"/>
    <w:rsid w:val="00781ACA"/>
    <w:rsid w:val="00781E6B"/>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03AE"/>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021"/>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33C"/>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5517"/>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53F9"/>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A513F"/>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26F04"/>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C8A"/>
    <w:rsid w:val="00FA6D66"/>
    <w:rsid w:val="00FA7C7A"/>
    <w:rsid w:val="00FB140B"/>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B23385-8775-4843-9AE8-FDD604A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BE5517"/>
    <w:rPr>
      <w:sz w:val="16"/>
      <w:szCs w:val="16"/>
    </w:rPr>
  </w:style>
  <w:style w:type="paragraph" w:styleId="CommentText">
    <w:name w:val="annotation text"/>
    <w:basedOn w:val="Normal"/>
    <w:link w:val="CommentTextChar"/>
    <w:uiPriority w:val="99"/>
    <w:semiHidden/>
    <w:unhideWhenUsed/>
    <w:rsid w:val="00BE5517"/>
    <w:pPr>
      <w:spacing w:line="240" w:lineRule="auto"/>
    </w:pPr>
    <w:rPr>
      <w:szCs w:val="20"/>
    </w:rPr>
  </w:style>
  <w:style w:type="character" w:customStyle="1" w:styleId="CommentTextChar">
    <w:name w:val="Comment Text Char"/>
    <w:basedOn w:val="DefaultParagraphFont"/>
    <w:link w:val="CommentText"/>
    <w:uiPriority w:val="99"/>
    <w:semiHidden/>
    <w:rsid w:val="00BE5517"/>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E5517"/>
    <w:rPr>
      <w:b/>
      <w:bCs/>
    </w:rPr>
  </w:style>
  <w:style w:type="character" w:customStyle="1" w:styleId="CommentSubjectChar">
    <w:name w:val="Comment Subject Char"/>
    <w:basedOn w:val="CommentTextChar"/>
    <w:link w:val="CommentSubject"/>
    <w:uiPriority w:val="99"/>
    <w:semiHidden/>
    <w:rsid w:val="00BE5517"/>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link w:val="HChGChar"/>
    <w:rsid w:val="00B3633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ChGChar">
    <w:name w:val="_ H _Ch_G Char"/>
    <w:link w:val="HChG"/>
    <w:rsid w:val="00B3633C"/>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A630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21"/>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7493-B94B-47AE-88DF-D5CBFECA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Салынская Екатерина</dc:creator>
  <cp:lastModifiedBy>Caillot</cp:lastModifiedBy>
  <cp:revision>2</cp:revision>
  <cp:lastPrinted>2016-02-23T13:51:00Z</cp:lastPrinted>
  <dcterms:created xsi:type="dcterms:W3CDTF">2016-03-15T17:28:00Z</dcterms:created>
  <dcterms:modified xsi:type="dcterms:W3CDTF">2016-03-15T17:28:00Z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1601827R</vt:lpwstr>
  </property>
  <property fmtid="{D5CDD505-2E9C-101B-9397-08002B2CF9AE}" pid="3" name="ODSRefJobNo">
    <vt:lpwstr>1602264R</vt:lpwstr>
  </property>
  <property fmtid="{D5CDD505-2E9C-101B-9397-08002B2CF9AE}" pid="4" name="Symbol1">
    <vt:lpwstr>ECE/TRANS/WP.29/GRSG/2016/4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10 February 2016</vt:lpwstr>
  </property>
  <property fmtid="{D5CDD505-2E9C-101B-9397-08002B2CF9AE}" pid="12" name="Original">
    <vt:lpwstr>English</vt:lpwstr>
  </property>
  <property fmtid="{D5CDD505-2E9C-101B-9397-08002B2CF9AE}" pid="13" name="Release Date">
    <vt:lpwstr>230216</vt:lpwstr>
  </property>
</Properties>
</file>