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E0" w:rsidRPr="000231C4" w:rsidRDefault="003235F7" w:rsidP="000425C2">
      <w:pPr>
        <w:pStyle w:val="HChG"/>
        <w:ind w:left="0" w:right="227" w:firstLine="0"/>
        <w:rPr>
          <w:rFonts w:ascii="Calibri" w:hAnsi="Calibri"/>
          <w:lang w:val="en-US"/>
        </w:rPr>
      </w:pPr>
      <w:r w:rsidRPr="000231C4">
        <w:rPr>
          <w:rFonts w:ascii="Calibri" w:hAnsi="Calibri"/>
          <w:lang w:val="en-US"/>
        </w:rPr>
        <w:t>Draft Proposal for amendment of Regulation No. 90</w:t>
      </w:r>
      <w:r w:rsidR="00B96F4D" w:rsidRPr="000231C4">
        <w:rPr>
          <w:rFonts w:ascii="Calibri" w:hAnsi="Calibri"/>
          <w:lang w:val="en-US"/>
        </w:rPr>
        <w:tab/>
      </w:r>
      <w:r w:rsidR="000425C2" w:rsidRPr="000231C4">
        <w:rPr>
          <w:rFonts w:ascii="Calibri" w:hAnsi="Calibri"/>
          <w:lang w:val="en-US"/>
        </w:rPr>
        <w:tab/>
      </w:r>
      <w:r w:rsidR="00C17CB6" w:rsidRPr="000231C4">
        <w:rPr>
          <w:rFonts w:ascii="Calibri" w:hAnsi="Calibri"/>
          <w:lang w:val="en-US"/>
        </w:rPr>
        <w:tab/>
      </w:r>
      <w:r w:rsidR="000425C2" w:rsidRPr="000231C4">
        <w:rPr>
          <w:rFonts w:ascii="Calibri" w:hAnsi="Calibri"/>
          <w:lang w:val="en-US"/>
        </w:rPr>
        <w:tab/>
      </w:r>
    </w:p>
    <w:p w:rsidR="0017624C" w:rsidRPr="000231C4" w:rsidRDefault="00B96F4D" w:rsidP="00B96F4D">
      <w:pPr>
        <w:tabs>
          <w:tab w:val="left" w:pos="4171"/>
        </w:tabs>
        <w:rPr>
          <w:lang w:val="en-US"/>
        </w:rPr>
      </w:pPr>
      <w:r w:rsidRPr="000231C4">
        <w:rPr>
          <w:lang w:val="en-US"/>
        </w:rPr>
        <w:tab/>
      </w:r>
    </w:p>
    <w:p w:rsidR="00921E99" w:rsidRPr="000231C4" w:rsidRDefault="00806233" w:rsidP="001000C0">
      <w:pPr>
        <w:numPr>
          <w:ilvl w:val="0"/>
          <w:numId w:val="30"/>
        </w:numPr>
        <w:jc w:val="both"/>
        <w:rPr>
          <w:rFonts w:ascii="Calibri" w:hAnsi="Calibri"/>
          <w:b/>
          <w:sz w:val="24"/>
          <w:szCs w:val="24"/>
        </w:rPr>
      </w:pPr>
      <w:r w:rsidRPr="000231C4">
        <w:rPr>
          <w:rFonts w:ascii="Calibri" w:hAnsi="Calibri"/>
          <w:b/>
          <w:sz w:val="24"/>
          <w:szCs w:val="24"/>
        </w:rPr>
        <w:t>Introduction</w:t>
      </w:r>
    </w:p>
    <w:p w:rsidR="004139CD" w:rsidRPr="000231C4" w:rsidRDefault="00DD3AFD" w:rsidP="000425C2">
      <w:pPr>
        <w:ind w:left="360" w:right="283"/>
        <w:jc w:val="both"/>
        <w:rPr>
          <w:rFonts w:ascii="Calibri" w:hAnsi="Calibri"/>
          <w:sz w:val="24"/>
          <w:szCs w:val="24"/>
        </w:rPr>
      </w:pPr>
      <w:r w:rsidRPr="000231C4">
        <w:rPr>
          <w:rFonts w:ascii="Calibri" w:hAnsi="Calibri"/>
          <w:sz w:val="24"/>
          <w:szCs w:val="24"/>
        </w:rPr>
        <w:br/>
      </w:r>
      <w:r w:rsidR="003768BD" w:rsidRPr="000231C4">
        <w:rPr>
          <w:rFonts w:ascii="Calibri" w:hAnsi="Calibri"/>
          <w:sz w:val="24"/>
          <w:szCs w:val="24"/>
        </w:rPr>
        <w:t xml:space="preserve">The Approval Authority which granted </w:t>
      </w:r>
      <w:bookmarkStart w:id="0" w:name="_GoBack"/>
      <w:r w:rsidR="003768BD" w:rsidRPr="000231C4">
        <w:rPr>
          <w:rFonts w:ascii="Calibri" w:hAnsi="Calibri"/>
          <w:sz w:val="24"/>
          <w:szCs w:val="24"/>
        </w:rPr>
        <w:t>ECE</w:t>
      </w:r>
      <w:bookmarkEnd w:id="0"/>
      <w:r w:rsidR="003768BD" w:rsidRPr="000231C4">
        <w:rPr>
          <w:rFonts w:ascii="Calibri" w:hAnsi="Calibri"/>
          <w:sz w:val="24"/>
          <w:szCs w:val="24"/>
        </w:rPr>
        <w:t xml:space="preserve"> R90 Type Approvals</w:t>
      </w:r>
      <w:r w:rsidR="005F0064" w:rsidRPr="000231C4">
        <w:rPr>
          <w:rFonts w:ascii="Calibri" w:hAnsi="Calibri"/>
          <w:sz w:val="24"/>
          <w:szCs w:val="24"/>
        </w:rPr>
        <w:t xml:space="preserve"> is obliged according</w:t>
      </w:r>
      <w:r w:rsidR="003768BD" w:rsidRPr="000231C4">
        <w:rPr>
          <w:rFonts w:ascii="Calibri" w:hAnsi="Calibri"/>
          <w:sz w:val="24"/>
          <w:szCs w:val="24"/>
        </w:rPr>
        <w:t xml:space="preserve"> </w:t>
      </w:r>
      <w:r w:rsidR="005F0064" w:rsidRPr="000231C4">
        <w:rPr>
          <w:rFonts w:ascii="Calibri" w:hAnsi="Calibri"/>
          <w:sz w:val="24"/>
          <w:szCs w:val="24"/>
        </w:rPr>
        <w:t>ECE Regulation No. 90, chapter</w:t>
      </w:r>
      <w:r w:rsidR="002F5FE4" w:rsidRPr="000231C4">
        <w:rPr>
          <w:rFonts w:ascii="Calibri" w:hAnsi="Calibri"/>
          <w:sz w:val="24"/>
          <w:szCs w:val="24"/>
        </w:rPr>
        <w:t xml:space="preserve"> 8</w:t>
      </w:r>
      <w:r w:rsidR="00CC24F7" w:rsidRPr="000231C4">
        <w:rPr>
          <w:rFonts w:ascii="Calibri" w:hAnsi="Calibri"/>
          <w:sz w:val="24"/>
          <w:szCs w:val="24"/>
        </w:rPr>
        <w:t>,</w:t>
      </w:r>
      <w:r w:rsidR="00200D64" w:rsidRPr="000231C4">
        <w:rPr>
          <w:rFonts w:ascii="Calibri" w:hAnsi="Calibri"/>
          <w:sz w:val="24"/>
          <w:szCs w:val="24"/>
        </w:rPr>
        <w:t xml:space="preserve"> </w:t>
      </w:r>
      <w:r w:rsidR="00BD68B6" w:rsidRPr="000231C4">
        <w:rPr>
          <w:rFonts w:ascii="Calibri" w:hAnsi="Calibri"/>
          <w:sz w:val="24"/>
          <w:szCs w:val="24"/>
        </w:rPr>
        <w:t>“</w:t>
      </w:r>
      <w:r w:rsidR="00CC24F7" w:rsidRPr="000231C4">
        <w:rPr>
          <w:rFonts w:ascii="Calibri" w:hAnsi="Calibri"/>
          <w:sz w:val="24"/>
          <w:szCs w:val="24"/>
        </w:rPr>
        <w:t>Conformity of Production</w:t>
      </w:r>
      <w:r w:rsidR="00BD68B6" w:rsidRPr="000231C4">
        <w:rPr>
          <w:rFonts w:ascii="Calibri" w:hAnsi="Calibri"/>
          <w:sz w:val="24"/>
          <w:szCs w:val="24"/>
        </w:rPr>
        <w:t>”</w:t>
      </w:r>
      <w:r w:rsidR="00CC24F7" w:rsidRPr="000231C4">
        <w:rPr>
          <w:rFonts w:ascii="Calibri" w:hAnsi="Calibri"/>
          <w:sz w:val="24"/>
          <w:szCs w:val="24"/>
        </w:rPr>
        <w:t xml:space="preserve">, </w:t>
      </w:r>
      <w:r w:rsidR="005F0064" w:rsidRPr="000231C4">
        <w:rPr>
          <w:rFonts w:ascii="Calibri" w:hAnsi="Calibri"/>
          <w:sz w:val="24"/>
          <w:szCs w:val="24"/>
        </w:rPr>
        <w:t xml:space="preserve">to verify </w:t>
      </w:r>
      <w:r w:rsidR="00CC24F7" w:rsidRPr="000231C4">
        <w:rPr>
          <w:rFonts w:ascii="Calibri" w:hAnsi="Calibri"/>
          <w:sz w:val="24"/>
          <w:szCs w:val="24"/>
        </w:rPr>
        <w:t xml:space="preserve">annually </w:t>
      </w:r>
      <w:r w:rsidR="005F0064" w:rsidRPr="000231C4">
        <w:rPr>
          <w:rFonts w:ascii="Calibri" w:hAnsi="Calibri"/>
          <w:sz w:val="24"/>
          <w:szCs w:val="24"/>
        </w:rPr>
        <w:t>the conformity control methods on</w:t>
      </w:r>
      <w:r w:rsidR="002F5FE4" w:rsidRPr="000231C4">
        <w:rPr>
          <w:rFonts w:ascii="Calibri" w:hAnsi="Calibri"/>
          <w:sz w:val="24"/>
          <w:szCs w:val="24"/>
        </w:rPr>
        <w:t xml:space="preserve"> </w:t>
      </w:r>
      <w:r w:rsidR="00A3413C" w:rsidRPr="000231C4">
        <w:rPr>
          <w:rFonts w:ascii="Calibri" w:hAnsi="Calibri"/>
          <w:sz w:val="24"/>
          <w:szCs w:val="24"/>
        </w:rPr>
        <w:t xml:space="preserve">replacement </w:t>
      </w:r>
      <w:r w:rsidR="00921E99" w:rsidRPr="000231C4">
        <w:rPr>
          <w:rFonts w:ascii="Calibri" w:hAnsi="Calibri"/>
          <w:sz w:val="24"/>
          <w:szCs w:val="24"/>
        </w:rPr>
        <w:t xml:space="preserve">brake lining </w:t>
      </w:r>
      <w:r w:rsidR="005F0064" w:rsidRPr="000231C4">
        <w:rPr>
          <w:rFonts w:ascii="Calibri" w:hAnsi="Calibri"/>
          <w:sz w:val="24"/>
          <w:szCs w:val="24"/>
        </w:rPr>
        <w:t xml:space="preserve">product and </w:t>
      </w:r>
      <w:r w:rsidR="002F5FE4" w:rsidRPr="000231C4">
        <w:rPr>
          <w:rFonts w:ascii="Calibri" w:hAnsi="Calibri"/>
          <w:sz w:val="24"/>
          <w:szCs w:val="24"/>
        </w:rPr>
        <w:t>production</w:t>
      </w:r>
      <w:r w:rsidR="005F0064" w:rsidRPr="000231C4">
        <w:rPr>
          <w:rFonts w:ascii="Calibri" w:hAnsi="Calibri"/>
          <w:sz w:val="24"/>
          <w:szCs w:val="24"/>
        </w:rPr>
        <w:t xml:space="preserve"> process</w:t>
      </w:r>
      <w:r w:rsidR="00070B48" w:rsidRPr="000231C4">
        <w:rPr>
          <w:rFonts w:ascii="Calibri" w:hAnsi="Calibri"/>
          <w:sz w:val="24"/>
          <w:szCs w:val="24"/>
        </w:rPr>
        <w:t>.</w:t>
      </w:r>
      <w:r w:rsidR="002F5FE4" w:rsidRPr="000231C4">
        <w:rPr>
          <w:rFonts w:ascii="Calibri" w:hAnsi="Calibri"/>
          <w:sz w:val="24"/>
          <w:szCs w:val="24"/>
        </w:rPr>
        <w:t xml:space="preserve"> </w:t>
      </w:r>
      <w:r w:rsidR="00921E99" w:rsidRPr="000231C4">
        <w:rPr>
          <w:rFonts w:ascii="Calibri" w:hAnsi="Calibri"/>
          <w:sz w:val="24"/>
          <w:szCs w:val="24"/>
        </w:rPr>
        <w:t>G</w:t>
      </w:r>
      <w:r w:rsidR="0054095E" w:rsidRPr="000231C4">
        <w:rPr>
          <w:rFonts w:ascii="Calibri" w:hAnsi="Calibri"/>
          <w:sz w:val="24"/>
          <w:szCs w:val="24"/>
        </w:rPr>
        <w:t>eneral</w:t>
      </w:r>
      <w:r w:rsidR="00921E99" w:rsidRPr="000231C4">
        <w:rPr>
          <w:rFonts w:ascii="Calibri" w:hAnsi="Calibri"/>
          <w:sz w:val="24"/>
          <w:szCs w:val="24"/>
        </w:rPr>
        <w:t>ly</w:t>
      </w:r>
      <w:r w:rsidR="0054095E" w:rsidRPr="000231C4">
        <w:rPr>
          <w:rFonts w:ascii="Calibri" w:hAnsi="Calibri"/>
          <w:sz w:val="24"/>
          <w:szCs w:val="24"/>
        </w:rPr>
        <w:t xml:space="preserve">, these inspections are conducted </w:t>
      </w:r>
      <w:r w:rsidR="000F0FD5" w:rsidRPr="000231C4">
        <w:rPr>
          <w:rFonts w:ascii="Calibri" w:hAnsi="Calibri"/>
          <w:sz w:val="24"/>
          <w:szCs w:val="24"/>
        </w:rPr>
        <w:t xml:space="preserve">directly </w:t>
      </w:r>
      <w:r w:rsidR="00921E99" w:rsidRPr="000231C4">
        <w:rPr>
          <w:rFonts w:ascii="Calibri" w:hAnsi="Calibri"/>
          <w:sz w:val="24"/>
          <w:szCs w:val="24"/>
        </w:rPr>
        <w:t>by the Competent Authorities</w:t>
      </w:r>
      <w:r w:rsidR="004752D9" w:rsidRPr="000231C4">
        <w:rPr>
          <w:rFonts w:ascii="Calibri" w:hAnsi="Calibri"/>
          <w:sz w:val="24"/>
          <w:szCs w:val="24"/>
        </w:rPr>
        <w:t>/respectively the Technical Services</w:t>
      </w:r>
      <w:r w:rsidR="0054095E" w:rsidRPr="000231C4">
        <w:rPr>
          <w:rFonts w:ascii="Calibri" w:hAnsi="Calibri"/>
          <w:sz w:val="24"/>
          <w:szCs w:val="24"/>
        </w:rPr>
        <w:t xml:space="preserve"> or </w:t>
      </w:r>
      <w:r w:rsidR="000F0FD5" w:rsidRPr="000231C4">
        <w:rPr>
          <w:rFonts w:ascii="Calibri" w:hAnsi="Calibri"/>
          <w:sz w:val="24"/>
          <w:szCs w:val="24"/>
        </w:rPr>
        <w:t xml:space="preserve">delegated to </w:t>
      </w:r>
      <w:r w:rsidR="00070B48" w:rsidRPr="000231C4">
        <w:rPr>
          <w:rFonts w:ascii="Calibri" w:hAnsi="Calibri"/>
          <w:sz w:val="24"/>
          <w:szCs w:val="24"/>
        </w:rPr>
        <w:t>accredited</w:t>
      </w:r>
      <w:r w:rsidR="0054095E" w:rsidRPr="000231C4">
        <w:rPr>
          <w:rFonts w:ascii="Calibri" w:hAnsi="Calibri"/>
          <w:sz w:val="24"/>
          <w:szCs w:val="24"/>
        </w:rPr>
        <w:t xml:space="preserve"> auditor</w:t>
      </w:r>
      <w:r w:rsidR="00A3413C" w:rsidRPr="000231C4">
        <w:rPr>
          <w:rFonts w:ascii="Calibri" w:hAnsi="Calibri"/>
          <w:sz w:val="24"/>
          <w:szCs w:val="24"/>
        </w:rPr>
        <w:t>s (independent bod</w:t>
      </w:r>
      <w:hyperlink r:id="rId8" w:tooltip="Independent body" w:history="1">
        <w:r w:rsidR="00A3413C" w:rsidRPr="000231C4">
          <w:rPr>
            <w:rFonts w:ascii="Calibri" w:hAnsi="Calibri"/>
            <w:sz w:val="24"/>
            <w:szCs w:val="24"/>
          </w:rPr>
          <w:t>ies</w:t>
        </w:r>
      </w:hyperlink>
      <w:r w:rsidR="00A3413C" w:rsidRPr="000231C4">
        <w:rPr>
          <w:rFonts w:ascii="Calibri" w:hAnsi="Calibri"/>
          <w:sz w:val="24"/>
          <w:szCs w:val="24"/>
        </w:rPr>
        <w:t>)</w:t>
      </w:r>
      <w:r w:rsidR="0035436C">
        <w:rPr>
          <w:rFonts w:ascii="Calibri" w:hAnsi="Calibri"/>
          <w:sz w:val="24"/>
          <w:szCs w:val="24"/>
        </w:rPr>
        <w:t xml:space="preserve"> to ISO 9001 or ISO/TS </w:t>
      </w:r>
      <w:r w:rsidR="00863492" w:rsidRPr="000231C4">
        <w:rPr>
          <w:rFonts w:ascii="Calibri" w:hAnsi="Calibri"/>
          <w:sz w:val="24"/>
          <w:szCs w:val="24"/>
        </w:rPr>
        <w:t>16949</w:t>
      </w:r>
      <w:r w:rsidR="0054095E" w:rsidRPr="000231C4">
        <w:rPr>
          <w:rFonts w:ascii="Calibri" w:hAnsi="Calibri"/>
          <w:sz w:val="24"/>
          <w:szCs w:val="24"/>
        </w:rPr>
        <w:t xml:space="preserve">. </w:t>
      </w:r>
      <w:r w:rsidR="00CC24F7" w:rsidRPr="000231C4">
        <w:rPr>
          <w:rFonts w:ascii="Calibri" w:hAnsi="Calibri"/>
          <w:sz w:val="24"/>
          <w:szCs w:val="24"/>
        </w:rPr>
        <w:t>F</w:t>
      </w:r>
      <w:r w:rsidR="00C45772" w:rsidRPr="000231C4">
        <w:rPr>
          <w:rFonts w:ascii="Calibri" w:hAnsi="Calibri"/>
          <w:sz w:val="24"/>
          <w:szCs w:val="24"/>
        </w:rPr>
        <w:t xml:space="preserve">riction </w:t>
      </w:r>
      <w:r w:rsidR="00E34A2B" w:rsidRPr="000231C4">
        <w:rPr>
          <w:rFonts w:ascii="Calibri" w:hAnsi="Calibri"/>
          <w:sz w:val="24"/>
          <w:szCs w:val="24"/>
        </w:rPr>
        <w:t xml:space="preserve">material </w:t>
      </w:r>
      <w:r w:rsidR="00C45772" w:rsidRPr="000231C4">
        <w:rPr>
          <w:rFonts w:ascii="Calibri" w:hAnsi="Calibri"/>
          <w:sz w:val="24"/>
          <w:szCs w:val="24"/>
        </w:rPr>
        <w:t>manufacturers ha</w:t>
      </w:r>
      <w:r w:rsidR="00CC24F7" w:rsidRPr="000231C4">
        <w:rPr>
          <w:rFonts w:ascii="Calibri" w:hAnsi="Calibri"/>
          <w:sz w:val="24"/>
          <w:szCs w:val="24"/>
        </w:rPr>
        <w:t>ve</w:t>
      </w:r>
      <w:r w:rsidR="00C45772" w:rsidRPr="000231C4">
        <w:rPr>
          <w:rFonts w:ascii="Calibri" w:hAnsi="Calibri"/>
          <w:sz w:val="24"/>
          <w:szCs w:val="24"/>
        </w:rPr>
        <w:t xml:space="preserve"> to work with </w:t>
      </w:r>
      <w:r w:rsidR="00BD68B6" w:rsidRPr="000231C4">
        <w:rPr>
          <w:rFonts w:ascii="Calibri" w:hAnsi="Calibri"/>
          <w:sz w:val="24"/>
          <w:szCs w:val="24"/>
        </w:rPr>
        <w:t>several</w:t>
      </w:r>
      <w:r w:rsidR="00C45772" w:rsidRPr="000231C4">
        <w:rPr>
          <w:rFonts w:ascii="Calibri" w:hAnsi="Calibri"/>
          <w:sz w:val="24"/>
          <w:szCs w:val="24"/>
        </w:rPr>
        <w:t xml:space="preserve"> Approval Authorit</w:t>
      </w:r>
      <w:r w:rsidR="009B52AD" w:rsidRPr="000231C4">
        <w:rPr>
          <w:rFonts w:ascii="Calibri" w:hAnsi="Calibri"/>
          <w:sz w:val="24"/>
          <w:szCs w:val="24"/>
        </w:rPr>
        <w:t>ies</w:t>
      </w:r>
      <w:r w:rsidR="00C45772" w:rsidRPr="000231C4">
        <w:rPr>
          <w:rFonts w:ascii="Calibri" w:hAnsi="Calibri"/>
          <w:sz w:val="24"/>
          <w:szCs w:val="24"/>
        </w:rPr>
        <w:t xml:space="preserve"> to overcome the</w:t>
      </w:r>
      <w:r w:rsidR="009B52AD" w:rsidRPr="000231C4">
        <w:rPr>
          <w:rFonts w:ascii="Calibri" w:hAnsi="Calibri"/>
          <w:sz w:val="24"/>
          <w:szCs w:val="24"/>
        </w:rPr>
        <w:t xml:space="preserve"> ECE</w:t>
      </w:r>
      <w:r w:rsidR="00C53BA0" w:rsidRPr="000231C4">
        <w:rPr>
          <w:rFonts w:ascii="Calibri" w:hAnsi="Calibri"/>
          <w:sz w:val="24"/>
          <w:szCs w:val="24"/>
        </w:rPr>
        <w:t xml:space="preserve"> R90</w:t>
      </w:r>
      <w:r w:rsidR="00C45772" w:rsidRPr="000231C4">
        <w:rPr>
          <w:rFonts w:ascii="Calibri" w:hAnsi="Calibri"/>
          <w:sz w:val="24"/>
          <w:szCs w:val="24"/>
        </w:rPr>
        <w:t xml:space="preserve"> approval workload. Due to this fact, </w:t>
      </w:r>
      <w:r w:rsidR="00CC24F7" w:rsidRPr="000231C4">
        <w:rPr>
          <w:rFonts w:ascii="Calibri" w:hAnsi="Calibri"/>
          <w:sz w:val="24"/>
          <w:szCs w:val="24"/>
        </w:rPr>
        <w:t>many</w:t>
      </w:r>
      <w:r w:rsidR="00E34A2B" w:rsidRPr="000231C4">
        <w:rPr>
          <w:rFonts w:ascii="Calibri" w:hAnsi="Calibri"/>
          <w:sz w:val="24"/>
          <w:szCs w:val="24"/>
        </w:rPr>
        <w:t xml:space="preserve"> </w:t>
      </w:r>
      <w:r w:rsidR="00CC24F7" w:rsidRPr="000231C4">
        <w:rPr>
          <w:rFonts w:ascii="Calibri" w:hAnsi="Calibri"/>
          <w:sz w:val="24"/>
          <w:szCs w:val="24"/>
        </w:rPr>
        <w:t xml:space="preserve">friction material </w:t>
      </w:r>
      <w:r w:rsidR="00E34A2B" w:rsidRPr="000231C4">
        <w:rPr>
          <w:rFonts w:ascii="Calibri" w:hAnsi="Calibri"/>
          <w:sz w:val="24"/>
          <w:szCs w:val="24"/>
        </w:rPr>
        <w:t>manu</w:t>
      </w:r>
      <w:r w:rsidR="000425C2" w:rsidRPr="000231C4">
        <w:rPr>
          <w:rFonts w:ascii="Calibri" w:hAnsi="Calibri"/>
          <w:sz w:val="24"/>
          <w:szCs w:val="24"/>
        </w:rPr>
        <w:t xml:space="preserve">facturers </w:t>
      </w:r>
      <w:r w:rsidR="00C53BA0" w:rsidRPr="000231C4">
        <w:rPr>
          <w:rFonts w:ascii="Calibri" w:hAnsi="Calibri"/>
          <w:sz w:val="24"/>
          <w:szCs w:val="24"/>
        </w:rPr>
        <w:t xml:space="preserve">are </w:t>
      </w:r>
      <w:r w:rsidR="004D15BF" w:rsidRPr="000231C4">
        <w:rPr>
          <w:rFonts w:ascii="Calibri" w:hAnsi="Calibri"/>
          <w:sz w:val="24"/>
          <w:szCs w:val="24"/>
        </w:rPr>
        <w:t xml:space="preserve">now </w:t>
      </w:r>
      <w:r w:rsidR="00C53BA0" w:rsidRPr="000231C4">
        <w:rPr>
          <w:rFonts w:ascii="Calibri" w:hAnsi="Calibri"/>
          <w:sz w:val="24"/>
          <w:szCs w:val="24"/>
        </w:rPr>
        <w:t xml:space="preserve">faced to celebrate </w:t>
      </w:r>
      <w:r w:rsidR="009B52AD" w:rsidRPr="000231C4">
        <w:rPr>
          <w:rFonts w:ascii="Calibri" w:hAnsi="Calibri"/>
          <w:sz w:val="24"/>
          <w:szCs w:val="24"/>
        </w:rPr>
        <w:t>multiple</w:t>
      </w:r>
      <w:r w:rsidR="00A924B5">
        <w:rPr>
          <w:rFonts w:ascii="Calibri" w:hAnsi="Calibri"/>
          <w:sz w:val="24"/>
          <w:szCs w:val="24"/>
        </w:rPr>
        <w:t xml:space="preserve"> </w:t>
      </w:r>
      <w:proofErr w:type="spellStart"/>
      <w:r w:rsidR="00A924B5">
        <w:rPr>
          <w:rFonts w:ascii="Calibri" w:hAnsi="Calibri"/>
          <w:sz w:val="24"/>
          <w:szCs w:val="24"/>
        </w:rPr>
        <w:t>Co</w:t>
      </w:r>
      <w:r w:rsidR="00C53BA0" w:rsidRPr="000231C4">
        <w:rPr>
          <w:rFonts w:ascii="Calibri" w:hAnsi="Calibri"/>
          <w:sz w:val="24"/>
          <w:szCs w:val="24"/>
        </w:rPr>
        <w:t>P</w:t>
      </w:r>
      <w:proofErr w:type="spellEnd"/>
      <w:r w:rsidR="00C53BA0" w:rsidRPr="000231C4">
        <w:rPr>
          <w:rFonts w:ascii="Calibri" w:hAnsi="Calibri"/>
          <w:sz w:val="24"/>
          <w:szCs w:val="24"/>
        </w:rPr>
        <w:t xml:space="preserve"> </w:t>
      </w:r>
      <w:r w:rsidR="00997153" w:rsidRPr="000231C4">
        <w:rPr>
          <w:rFonts w:ascii="Calibri" w:hAnsi="Calibri"/>
          <w:sz w:val="24"/>
          <w:szCs w:val="24"/>
        </w:rPr>
        <w:t>inspections</w:t>
      </w:r>
      <w:r w:rsidR="00C53BA0" w:rsidRPr="000231C4">
        <w:rPr>
          <w:rFonts w:ascii="Calibri" w:hAnsi="Calibri"/>
          <w:sz w:val="24"/>
          <w:szCs w:val="24"/>
        </w:rPr>
        <w:t xml:space="preserve"> annually, as there is no </w:t>
      </w:r>
      <w:r w:rsidR="009B52AD" w:rsidRPr="000231C4">
        <w:rPr>
          <w:rFonts w:ascii="Calibri" w:hAnsi="Calibri"/>
          <w:sz w:val="24"/>
          <w:szCs w:val="24"/>
        </w:rPr>
        <w:t>mutual</w:t>
      </w:r>
      <w:r w:rsidR="00C53BA0" w:rsidRPr="000231C4">
        <w:rPr>
          <w:rFonts w:ascii="Calibri" w:hAnsi="Calibri"/>
          <w:sz w:val="24"/>
          <w:szCs w:val="24"/>
        </w:rPr>
        <w:t xml:space="preserve"> recognition</w:t>
      </w:r>
      <w:r w:rsidR="000425C2" w:rsidRPr="000231C4">
        <w:rPr>
          <w:rFonts w:ascii="Calibri" w:hAnsi="Calibri"/>
          <w:sz w:val="24"/>
          <w:szCs w:val="24"/>
        </w:rPr>
        <w:t xml:space="preserve"> between Approval Authorities </w:t>
      </w:r>
      <w:r w:rsidR="00C53BA0" w:rsidRPr="000231C4">
        <w:rPr>
          <w:rFonts w:ascii="Calibri" w:hAnsi="Calibri"/>
          <w:sz w:val="24"/>
          <w:szCs w:val="24"/>
        </w:rPr>
        <w:t xml:space="preserve">of </w:t>
      </w:r>
      <w:r w:rsidR="004139CD" w:rsidRPr="000231C4">
        <w:rPr>
          <w:rFonts w:ascii="Calibri" w:hAnsi="Calibri"/>
          <w:sz w:val="24"/>
          <w:szCs w:val="24"/>
        </w:rPr>
        <w:t>said</w:t>
      </w:r>
      <w:r w:rsidR="00C53BA0" w:rsidRPr="000231C4">
        <w:rPr>
          <w:rFonts w:ascii="Calibri" w:hAnsi="Calibri"/>
          <w:sz w:val="24"/>
          <w:szCs w:val="24"/>
        </w:rPr>
        <w:t xml:space="preserve"> </w:t>
      </w:r>
      <w:r w:rsidR="00997153" w:rsidRPr="000231C4">
        <w:rPr>
          <w:rFonts w:ascii="Calibri" w:hAnsi="Calibri"/>
          <w:sz w:val="24"/>
          <w:szCs w:val="24"/>
        </w:rPr>
        <w:t>inspections</w:t>
      </w:r>
      <w:r w:rsidR="00DE270D" w:rsidRPr="000231C4">
        <w:rPr>
          <w:rFonts w:ascii="Calibri" w:hAnsi="Calibri"/>
          <w:sz w:val="24"/>
          <w:szCs w:val="24"/>
        </w:rPr>
        <w:t>.</w:t>
      </w:r>
    </w:p>
    <w:p w:rsidR="00B976B6" w:rsidRPr="000231C4" w:rsidRDefault="00B976B6" w:rsidP="000425C2">
      <w:pPr>
        <w:ind w:left="360" w:right="283"/>
        <w:jc w:val="both"/>
        <w:rPr>
          <w:rFonts w:ascii="Calibri" w:hAnsi="Calibri"/>
          <w:sz w:val="24"/>
          <w:szCs w:val="24"/>
        </w:rPr>
      </w:pPr>
    </w:p>
    <w:p w:rsidR="00A90F3E" w:rsidRPr="000231C4" w:rsidRDefault="00B34E9F" w:rsidP="000425C2">
      <w:pPr>
        <w:ind w:left="360" w:right="283"/>
        <w:jc w:val="both"/>
        <w:rPr>
          <w:rFonts w:ascii="Calibri" w:hAnsi="Calibri"/>
          <w:sz w:val="24"/>
          <w:szCs w:val="24"/>
        </w:rPr>
      </w:pPr>
      <w:r w:rsidRPr="000231C4">
        <w:rPr>
          <w:rFonts w:ascii="Calibri" w:hAnsi="Calibri"/>
          <w:sz w:val="24"/>
          <w:szCs w:val="24"/>
        </w:rPr>
        <w:t xml:space="preserve">The intention </w:t>
      </w:r>
      <w:r w:rsidR="00CC24F7" w:rsidRPr="000231C4">
        <w:rPr>
          <w:rFonts w:ascii="Calibri" w:hAnsi="Calibri"/>
          <w:sz w:val="24"/>
          <w:szCs w:val="24"/>
        </w:rPr>
        <w:t xml:space="preserve">of the proposal </w:t>
      </w:r>
      <w:r w:rsidR="00B54CB5" w:rsidRPr="000231C4">
        <w:rPr>
          <w:rFonts w:ascii="Calibri" w:hAnsi="Calibri"/>
          <w:sz w:val="24"/>
          <w:szCs w:val="24"/>
        </w:rPr>
        <w:t xml:space="preserve">is to standardize </w:t>
      </w:r>
      <w:r w:rsidR="002E11E6" w:rsidRPr="000231C4">
        <w:rPr>
          <w:rFonts w:ascii="Calibri" w:hAnsi="Calibri"/>
          <w:sz w:val="24"/>
          <w:szCs w:val="24"/>
        </w:rPr>
        <w:t>the process by using</w:t>
      </w:r>
      <w:r w:rsidR="00863492" w:rsidRPr="000231C4">
        <w:rPr>
          <w:rFonts w:ascii="Calibri" w:hAnsi="Calibri"/>
          <w:sz w:val="24"/>
          <w:szCs w:val="24"/>
        </w:rPr>
        <w:t xml:space="preserve"> a common</w:t>
      </w:r>
      <w:r w:rsidR="00CC24F7" w:rsidRPr="000231C4">
        <w:rPr>
          <w:rFonts w:ascii="Calibri" w:hAnsi="Calibri"/>
          <w:sz w:val="24"/>
          <w:szCs w:val="24"/>
        </w:rPr>
        <w:t xml:space="preserve"> </w:t>
      </w:r>
      <w:proofErr w:type="spellStart"/>
      <w:r w:rsidR="00A924B5">
        <w:rPr>
          <w:rFonts w:ascii="Calibri" w:hAnsi="Calibri"/>
          <w:sz w:val="24"/>
          <w:szCs w:val="24"/>
        </w:rPr>
        <w:t>Co</w:t>
      </w:r>
      <w:r w:rsidR="00B54CB5" w:rsidRPr="000231C4">
        <w:rPr>
          <w:rFonts w:ascii="Calibri" w:hAnsi="Calibri"/>
          <w:sz w:val="24"/>
          <w:szCs w:val="24"/>
        </w:rPr>
        <w:t>P</w:t>
      </w:r>
      <w:proofErr w:type="spellEnd"/>
      <w:r w:rsidR="00B54CB5" w:rsidRPr="000231C4">
        <w:rPr>
          <w:rFonts w:ascii="Calibri" w:hAnsi="Calibri"/>
          <w:sz w:val="24"/>
          <w:szCs w:val="24"/>
        </w:rPr>
        <w:t xml:space="preserve"> </w:t>
      </w:r>
      <w:r w:rsidR="003F5419" w:rsidRPr="000231C4">
        <w:rPr>
          <w:rFonts w:ascii="Calibri" w:hAnsi="Calibri"/>
          <w:sz w:val="24"/>
          <w:szCs w:val="24"/>
        </w:rPr>
        <w:t>I</w:t>
      </w:r>
      <w:r w:rsidR="00997153" w:rsidRPr="000231C4">
        <w:rPr>
          <w:rFonts w:ascii="Calibri" w:hAnsi="Calibri"/>
          <w:sz w:val="24"/>
          <w:szCs w:val="24"/>
        </w:rPr>
        <w:t>nspection</w:t>
      </w:r>
      <w:r w:rsidR="003F5419" w:rsidRPr="000231C4">
        <w:rPr>
          <w:rFonts w:ascii="Calibri" w:hAnsi="Calibri"/>
          <w:sz w:val="24"/>
          <w:szCs w:val="24"/>
        </w:rPr>
        <w:t xml:space="preserve"> Q</w:t>
      </w:r>
      <w:r w:rsidR="00CC24F7" w:rsidRPr="000231C4">
        <w:rPr>
          <w:rFonts w:ascii="Calibri" w:hAnsi="Calibri"/>
          <w:sz w:val="24"/>
          <w:szCs w:val="24"/>
        </w:rPr>
        <w:t>uestionnaire</w:t>
      </w:r>
      <w:r w:rsidR="00A90F3E" w:rsidRPr="000231C4">
        <w:rPr>
          <w:rFonts w:ascii="Calibri" w:hAnsi="Calibri"/>
          <w:sz w:val="24"/>
          <w:szCs w:val="24"/>
        </w:rPr>
        <w:t xml:space="preserve"> and</w:t>
      </w:r>
      <w:r w:rsidR="000425C2" w:rsidRPr="000231C4">
        <w:rPr>
          <w:rFonts w:ascii="Calibri" w:hAnsi="Calibri"/>
          <w:sz w:val="24"/>
          <w:szCs w:val="24"/>
        </w:rPr>
        <w:t xml:space="preserve"> </w:t>
      </w:r>
      <w:r w:rsidR="00863492" w:rsidRPr="000231C4">
        <w:rPr>
          <w:rFonts w:ascii="Calibri" w:hAnsi="Calibri"/>
          <w:sz w:val="24"/>
          <w:szCs w:val="24"/>
        </w:rPr>
        <w:t>thus reachin</w:t>
      </w:r>
      <w:r w:rsidR="00A924B5">
        <w:rPr>
          <w:rFonts w:ascii="Calibri" w:hAnsi="Calibri"/>
          <w:sz w:val="24"/>
          <w:szCs w:val="24"/>
        </w:rPr>
        <w:t xml:space="preserve">g a mutual recognition of the </w:t>
      </w:r>
      <w:proofErr w:type="spellStart"/>
      <w:r w:rsidR="00A924B5">
        <w:rPr>
          <w:rFonts w:ascii="Calibri" w:hAnsi="Calibri"/>
          <w:sz w:val="24"/>
          <w:szCs w:val="24"/>
        </w:rPr>
        <w:t>Co</w:t>
      </w:r>
      <w:r w:rsidR="00863492" w:rsidRPr="000231C4">
        <w:rPr>
          <w:rFonts w:ascii="Calibri" w:hAnsi="Calibri"/>
          <w:sz w:val="24"/>
          <w:szCs w:val="24"/>
        </w:rPr>
        <w:t>P</w:t>
      </w:r>
      <w:proofErr w:type="spellEnd"/>
      <w:r w:rsidR="00863492" w:rsidRPr="000231C4">
        <w:rPr>
          <w:rFonts w:ascii="Calibri" w:hAnsi="Calibri"/>
          <w:sz w:val="24"/>
          <w:szCs w:val="24"/>
        </w:rPr>
        <w:t xml:space="preserve"> and Quality audits. The Questionnaire shall be added to </w:t>
      </w:r>
      <w:r w:rsidR="000425C2" w:rsidRPr="000231C4">
        <w:rPr>
          <w:rFonts w:ascii="Calibri" w:hAnsi="Calibri"/>
          <w:sz w:val="24"/>
          <w:szCs w:val="24"/>
        </w:rPr>
        <w:t xml:space="preserve">ECE R90, </w:t>
      </w:r>
      <w:r w:rsidR="00BD68B6" w:rsidRPr="000231C4">
        <w:rPr>
          <w:rFonts w:ascii="Calibri" w:hAnsi="Calibri"/>
          <w:sz w:val="24"/>
          <w:szCs w:val="24"/>
        </w:rPr>
        <w:t>chapter</w:t>
      </w:r>
      <w:r w:rsidR="000425C2" w:rsidRPr="000231C4">
        <w:rPr>
          <w:rFonts w:ascii="Calibri" w:hAnsi="Calibri"/>
          <w:sz w:val="24"/>
          <w:szCs w:val="24"/>
        </w:rPr>
        <w:t xml:space="preserve"> 8</w:t>
      </w:r>
      <w:r w:rsidR="009B52AD" w:rsidRPr="000231C4">
        <w:rPr>
          <w:rFonts w:ascii="Calibri" w:hAnsi="Calibri"/>
          <w:sz w:val="24"/>
          <w:szCs w:val="24"/>
        </w:rPr>
        <w:t>, “Conformity of Production”</w:t>
      </w:r>
      <w:r w:rsidR="000425C2" w:rsidRPr="000231C4">
        <w:rPr>
          <w:rFonts w:ascii="Calibri" w:hAnsi="Calibri"/>
          <w:sz w:val="24"/>
          <w:szCs w:val="24"/>
        </w:rPr>
        <w:t xml:space="preserve">. </w:t>
      </w:r>
    </w:p>
    <w:p w:rsidR="00A90F3E" w:rsidRPr="000231C4" w:rsidRDefault="00A90F3E" w:rsidP="004D15BF">
      <w:pPr>
        <w:ind w:left="1494" w:right="283"/>
        <w:jc w:val="both"/>
        <w:rPr>
          <w:rFonts w:ascii="Calibri" w:hAnsi="Calibri"/>
          <w:sz w:val="24"/>
          <w:szCs w:val="24"/>
        </w:rPr>
      </w:pPr>
    </w:p>
    <w:p w:rsidR="00921E99" w:rsidRPr="000231C4" w:rsidRDefault="00921E99" w:rsidP="00921E99">
      <w:pPr>
        <w:ind w:left="1494"/>
        <w:jc w:val="both"/>
        <w:rPr>
          <w:rFonts w:ascii="Calibri" w:hAnsi="Calibri"/>
          <w:sz w:val="24"/>
          <w:szCs w:val="24"/>
        </w:rPr>
      </w:pPr>
    </w:p>
    <w:p w:rsidR="00C44A4B" w:rsidRPr="000231C4" w:rsidRDefault="007F55EF" w:rsidP="001000C0">
      <w:pPr>
        <w:numPr>
          <w:ilvl w:val="0"/>
          <w:numId w:val="30"/>
        </w:numPr>
        <w:jc w:val="both"/>
        <w:rPr>
          <w:rFonts w:ascii="Calibri" w:hAnsi="Calibri"/>
          <w:sz w:val="24"/>
          <w:szCs w:val="24"/>
        </w:rPr>
      </w:pPr>
      <w:r w:rsidRPr="000231C4">
        <w:rPr>
          <w:rFonts w:ascii="Calibri" w:hAnsi="Calibri"/>
          <w:b/>
          <w:sz w:val="24"/>
          <w:szCs w:val="24"/>
        </w:rPr>
        <w:t>Proposal</w:t>
      </w:r>
      <w:r w:rsidRPr="000231C4">
        <w:rPr>
          <w:rFonts w:ascii="Calibri" w:hAnsi="Calibri"/>
          <w:b/>
          <w:sz w:val="24"/>
          <w:szCs w:val="24"/>
        </w:rPr>
        <w:br/>
      </w:r>
    </w:p>
    <w:p w:rsidR="00BB762C" w:rsidRPr="000231C4" w:rsidRDefault="002E11E6" w:rsidP="000425C2">
      <w:pPr>
        <w:ind w:left="360" w:right="283"/>
        <w:jc w:val="both"/>
        <w:rPr>
          <w:rFonts w:ascii="Calibri" w:hAnsi="Calibri"/>
          <w:i/>
          <w:sz w:val="24"/>
          <w:szCs w:val="24"/>
        </w:rPr>
      </w:pPr>
      <w:r w:rsidRPr="000231C4">
        <w:rPr>
          <w:rFonts w:ascii="Calibri" w:hAnsi="Calibri"/>
          <w:i/>
          <w:sz w:val="24"/>
          <w:szCs w:val="24"/>
        </w:rPr>
        <w:t>Insert new paragraph 8.6 to read:</w:t>
      </w:r>
    </w:p>
    <w:p w:rsidR="002E11E6" w:rsidRPr="000231C4" w:rsidRDefault="002E11E6" w:rsidP="000425C2">
      <w:pPr>
        <w:ind w:left="360" w:right="283"/>
        <w:jc w:val="both"/>
        <w:rPr>
          <w:rFonts w:ascii="Calibri" w:hAnsi="Calibri"/>
          <w:sz w:val="24"/>
          <w:szCs w:val="24"/>
        </w:rPr>
      </w:pPr>
      <w:proofErr w:type="gramStart"/>
      <w:r w:rsidRPr="000231C4">
        <w:rPr>
          <w:rFonts w:ascii="Calibri" w:hAnsi="Calibri"/>
          <w:sz w:val="24"/>
          <w:szCs w:val="24"/>
        </w:rPr>
        <w:t>“ 8.6</w:t>
      </w:r>
      <w:proofErr w:type="gramEnd"/>
    </w:p>
    <w:p w:rsidR="002E11E6" w:rsidRPr="000231C4" w:rsidRDefault="002E11E6" w:rsidP="000425C2">
      <w:pPr>
        <w:ind w:left="360" w:right="283"/>
        <w:jc w:val="both"/>
        <w:rPr>
          <w:rFonts w:ascii="Calibri" w:hAnsi="Calibri"/>
          <w:sz w:val="24"/>
          <w:szCs w:val="24"/>
        </w:rPr>
      </w:pPr>
      <w:r w:rsidRPr="000231C4">
        <w:rPr>
          <w:rFonts w:ascii="Calibri" w:hAnsi="Calibri"/>
          <w:sz w:val="24"/>
          <w:szCs w:val="24"/>
        </w:rPr>
        <w:t xml:space="preserve">Annual </w:t>
      </w:r>
      <w:proofErr w:type="spellStart"/>
      <w:r w:rsidR="007A7681">
        <w:rPr>
          <w:rFonts w:ascii="Calibri" w:hAnsi="Calibri"/>
          <w:sz w:val="24"/>
          <w:szCs w:val="24"/>
        </w:rPr>
        <w:t>Co</w:t>
      </w:r>
      <w:r w:rsidRPr="000231C4">
        <w:rPr>
          <w:rFonts w:ascii="Calibri" w:hAnsi="Calibri"/>
          <w:sz w:val="24"/>
          <w:szCs w:val="24"/>
        </w:rPr>
        <w:t>P</w:t>
      </w:r>
      <w:proofErr w:type="spellEnd"/>
      <w:r w:rsidRPr="000231C4">
        <w:rPr>
          <w:rFonts w:ascii="Calibri" w:hAnsi="Calibri"/>
          <w:sz w:val="24"/>
          <w:szCs w:val="24"/>
        </w:rPr>
        <w:t xml:space="preserve"> inspection can be – alternatively – performed by any Audit Agency accredited to ISO 9001 or ISO/TS 16949</w:t>
      </w:r>
      <w:r w:rsidR="000231C4" w:rsidRPr="000231C4">
        <w:rPr>
          <w:rFonts w:ascii="Calibri" w:hAnsi="Calibri"/>
          <w:sz w:val="24"/>
          <w:szCs w:val="24"/>
        </w:rPr>
        <w:t>”</w:t>
      </w:r>
    </w:p>
    <w:p w:rsidR="000231C4" w:rsidRPr="000231C4" w:rsidRDefault="000231C4" w:rsidP="000425C2">
      <w:pPr>
        <w:ind w:left="360" w:right="283"/>
        <w:jc w:val="both"/>
        <w:rPr>
          <w:rFonts w:ascii="Calibri" w:hAnsi="Calibri"/>
          <w:sz w:val="24"/>
          <w:szCs w:val="24"/>
        </w:rPr>
      </w:pPr>
    </w:p>
    <w:p w:rsidR="000231C4" w:rsidRPr="000231C4" w:rsidRDefault="000231C4" w:rsidP="000231C4">
      <w:pPr>
        <w:ind w:left="360" w:right="283"/>
        <w:jc w:val="both"/>
        <w:rPr>
          <w:rFonts w:ascii="Calibri" w:hAnsi="Calibri"/>
          <w:i/>
          <w:sz w:val="24"/>
          <w:szCs w:val="24"/>
        </w:rPr>
      </w:pPr>
      <w:r w:rsidRPr="000231C4">
        <w:rPr>
          <w:rFonts w:ascii="Calibri" w:hAnsi="Calibri"/>
          <w:i/>
          <w:sz w:val="24"/>
          <w:szCs w:val="24"/>
        </w:rPr>
        <w:t>Insert new paragraph 8.7 to read:</w:t>
      </w:r>
    </w:p>
    <w:p w:rsidR="000231C4" w:rsidRPr="000231C4" w:rsidRDefault="000231C4" w:rsidP="000425C2">
      <w:pPr>
        <w:ind w:left="360" w:right="283"/>
        <w:jc w:val="both"/>
        <w:rPr>
          <w:rFonts w:ascii="Calibri" w:hAnsi="Calibri"/>
          <w:sz w:val="24"/>
          <w:szCs w:val="24"/>
        </w:rPr>
      </w:pPr>
      <w:r w:rsidRPr="000231C4">
        <w:rPr>
          <w:rFonts w:ascii="Calibri" w:hAnsi="Calibri"/>
          <w:sz w:val="24"/>
          <w:szCs w:val="24"/>
        </w:rPr>
        <w:t>“8.7</w:t>
      </w:r>
      <w:r w:rsidRPr="000231C4">
        <w:rPr>
          <w:rFonts w:ascii="Calibri" w:hAnsi="Calibri"/>
          <w:sz w:val="24"/>
          <w:szCs w:val="24"/>
        </w:rPr>
        <w:br/>
        <w:t xml:space="preserve">In order to safeguard </w:t>
      </w:r>
      <w:r w:rsidR="007A7681">
        <w:rPr>
          <w:rFonts w:ascii="Calibri" w:hAnsi="Calibri"/>
          <w:sz w:val="24"/>
          <w:szCs w:val="24"/>
        </w:rPr>
        <w:t xml:space="preserve">uniform quality of the annual </w:t>
      </w:r>
      <w:proofErr w:type="spellStart"/>
      <w:r w:rsidR="007A7681">
        <w:rPr>
          <w:rFonts w:ascii="Calibri" w:hAnsi="Calibri"/>
          <w:sz w:val="24"/>
          <w:szCs w:val="24"/>
        </w:rPr>
        <w:t>Co</w:t>
      </w:r>
      <w:r w:rsidRPr="000231C4">
        <w:rPr>
          <w:rFonts w:ascii="Calibri" w:hAnsi="Calibri"/>
          <w:sz w:val="24"/>
          <w:szCs w:val="24"/>
        </w:rPr>
        <w:t>P</w:t>
      </w:r>
      <w:proofErr w:type="spellEnd"/>
      <w:r w:rsidRPr="000231C4">
        <w:rPr>
          <w:rFonts w:ascii="Calibri" w:hAnsi="Calibri"/>
          <w:sz w:val="24"/>
          <w:szCs w:val="24"/>
        </w:rPr>
        <w:t xml:space="preserve"> inspections a standard questionnaire according to Annex 14 to this Regulation shall be used”</w:t>
      </w:r>
    </w:p>
    <w:p w:rsidR="000231C4" w:rsidRPr="000231C4" w:rsidRDefault="000231C4" w:rsidP="000425C2">
      <w:pPr>
        <w:ind w:left="360" w:right="283"/>
        <w:jc w:val="both"/>
        <w:rPr>
          <w:rFonts w:ascii="Calibri" w:hAnsi="Calibri"/>
          <w:sz w:val="24"/>
          <w:szCs w:val="24"/>
        </w:rPr>
      </w:pPr>
    </w:p>
    <w:p w:rsidR="000231C4" w:rsidRPr="000231C4" w:rsidRDefault="00A938AA" w:rsidP="000425C2">
      <w:pPr>
        <w:ind w:left="360" w:right="283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Insert new Annex 16</w:t>
      </w:r>
      <w:r w:rsidR="000231C4" w:rsidRPr="000231C4">
        <w:rPr>
          <w:rFonts w:ascii="Calibri" w:hAnsi="Calibri"/>
          <w:i/>
          <w:sz w:val="24"/>
          <w:szCs w:val="24"/>
        </w:rPr>
        <w:t xml:space="preserve"> to read:</w:t>
      </w:r>
    </w:p>
    <w:p w:rsidR="000231C4" w:rsidRPr="000231C4" w:rsidRDefault="000231C4" w:rsidP="000425C2">
      <w:pPr>
        <w:ind w:left="360" w:right="283"/>
        <w:jc w:val="both"/>
        <w:rPr>
          <w:rFonts w:ascii="Calibri" w:hAnsi="Calibri"/>
          <w:sz w:val="24"/>
          <w:szCs w:val="24"/>
        </w:rPr>
      </w:pPr>
    </w:p>
    <w:p w:rsidR="000231C4" w:rsidRPr="000231C4" w:rsidRDefault="00A938AA" w:rsidP="000425C2">
      <w:pPr>
        <w:ind w:left="360" w:right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“Annex 16</w:t>
      </w:r>
    </w:p>
    <w:p w:rsidR="000231C4" w:rsidRPr="000231C4" w:rsidRDefault="007A7681" w:rsidP="000231C4">
      <w:pPr>
        <w:ind w:left="360" w:right="28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Specific Conformity of Production</w:t>
      </w:r>
      <w:r w:rsidR="000231C4" w:rsidRPr="000231C4">
        <w:rPr>
          <w:rFonts w:ascii="Calibri" w:hAnsi="Calibri"/>
          <w:sz w:val="24"/>
          <w:szCs w:val="24"/>
        </w:rPr>
        <w:t xml:space="preserve"> Inspection Questionnaire</w:t>
      </w:r>
    </w:p>
    <w:p w:rsidR="000231C4" w:rsidRPr="000231C4" w:rsidRDefault="000231C4" w:rsidP="000231C4">
      <w:pPr>
        <w:ind w:left="360" w:right="283"/>
        <w:jc w:val="center"/>
        <w:rPr>
          <w:rFonts w:ascii="Calibri" w:hAnsi="Calibri"/>
          <w:sz w:val="24"/>
          <w:szCs w:val="24"/>
        </w:rPr>
      </w:pP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9185"/>
      </w:tblGrid>
      <w:tr w:rsidR="000231C4" w:rsidRPr="000231C4" w:rsidTr="00A924B5">
        <w:trPr>
          <w:trHeight w:val="668"/>
          <w:tblHeader/>
        </w:trPr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:rsidR="000231C4" w:rsidRPr="000231C4" w:rsidRDefault="000231C4" w:rsidP="00A924B5">
            <w:pPr>
              <w:keepNext/>
              <w:keepLines/>
              <w:spacing w:before="60" w:after="60"/>
              <w:ind w:left="-28" w:right="-28"/>
              <w:jc w:val="center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t>No.</w:t>
            </w:r>
          </w:p>
        </w:tc>
        <w:tc>
          <w:tcPr>
            <w:tcW w:w="9185" w:type="dxa"/>
            <w:tcBorders>
              <w:left w:val="single" w:sz="4" w:space="0" w:color="auto"/>
            </w:tcBorders>
            <w:vAlign w:val="center"/>
          </w:tcPr>
          <w:p w:rsidR="000231C4" w:rsidRPr="000231C4" w:rsidRDefault="000231C4" w:rsidP="00A924B5">
            <w:pPr>
              <w:keepNext/>
              <w:keepLines/>
              <w:tabs>
                <w:tab w:val="left" w:pos="2700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t xml:space="preserve">Requirements to the holder of an approval </w:t>
            </w:r>
          </w:p>
        </w:tc>
      </w:tr>
      <w:tr w:rsidR="000231C4" w:rsidRPr="000231C4" w:rsidTr="00A924B5">
        <w:trPr>
          <w:trHeight w:val="1401"/>
        </w:trPr>
        <w:tc>
          <w:tcPr>
            <w:tcW w:w="477" w:type="dxa"/>
            <w:tcBorders>
              <w:right w:val="single" w:sz="2" w:space="0" w:color="auto"/>
            </w:tcBorders>
          </w:tcPr>
          <w:p w:rsidR="000231C4" w:rsidRPr="000231C4" w:rsidRDefault="00A924B5" w:rsidP="00965563">
            <w:pPr>
              <w:spacing w:before="120"/>
            </w:pPr>
            <w:r w:rsidRPr="00A924B5">
              <w:t>1</w:t>
            </w:r>
          </w:p>
        </w:tc>
        <w:tc>
          <w:tcPr>
            <w:tcW w:w="9185" w:type="dxa"/>
            <w:tcBorders>
              <w:left w:val="single" w:sz="2" w:space="0" w:color="auto"/>
            </w:tcBorders>
          </w:tcPr>
          <w:p w:rsidR="000231C4" w:rsidRPr="000231C4" w:rsidRDefault="000231C4" w:rsidP="00A924B5">
            <w:pPr>
              <w:pStyle w:val="Header"/>
              <w:keepLines/>
              <w:spacing w:before="80" w:after="80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t>It is ensured that</w:t>
            </w:r>
          </w:p>
          <w:p w:rsidR="000231C4" w:rsidRPr="000231C4" w:rsidRDefault="000231C4" w:rsidP="000231C4">
            <w:pPr>
              <w:keepLines/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40" w:lineRule="auto"/>
              <w:ind w:left="284" w:hanging="284"/>
              <w:rPr>
                <w:rFonts w:asciiTheme="minorHAnsi" w:hAnsiTheme="minorHAnsi"/>
                <w:sz w:val="16"/>
                <w:szCs w:val="16"/>
              </w:rPr>
            </w:pPr>
            <w:r w:rsidRPr="000231C4">
              <w:rPr>
                <w:rFonts w:asciiTheme="minorHAnsi" w:hAnsiTheme="minorHAnsi"/>
                <w:sz w:val="16"/>
                <w:szCs w:val="16"/>
              </w:rPr>
              <w:t xml:space="preserve">The approval holder is familiar with his rights and obligations </w:t>
            </w:r>
          </w:p>
          <w:p w:rsidR="000231C4" w:rsidRPr="000231C4" w:rsidRDefault="000231C4" w:rsidP="000231C4">
            <w:pPr>
              <w:keepLines/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40" w:lineRule="auto"/>
              <w:ind w:left="284" w:hanging="284"/>
              <w:rPr>
                <w:rFonts w:asciiTheme="minorHAnsi" w:hAnsiTheme="minorHAnsi"/>
                <w:sz w:val="16"/>
                <w:szCs w:val="16"/>
              </w:rPr>
            </w:pPr>
            <w:r w:rsidRPr="000231C4">
              <w:rPr>
                <w:rFonts w:asciiTheme="minorHAnsi" w:hAnsiTheme="minorHAnsi"/>
                <w:sz w:val="16"/>
                <w:szCs w:val="16"/>
              </w:rPr>
              <w:t xml:space="preserve">Only current internal and external documents are in use </w:t>
            </w:r>
          </w:p>
          <w:p w:rsidR="000231C4" w:rsidRPr="000231C4" w:rsidRDefault="000231C4" w:rsidP="000231C4">
            <w:pPr>
              <w:keepLines/>
              <w:numPr>
                <w:ilvl w:val="0"/>
                <w:numId w:val="31"/>
              </w:numPr>
              <w:tabs>
                <w:tab w:val="left" w:pos="284"/>
              </w:tabs>
              <w:suppressAutoHyphens w:val="0"/>
              <w:spacing w:line="240" w:lineRule="auto"/>
              <w:ind w:left="284" w:hanging="284"/>
              <w:rPr>
                <w:rFonts w:asciiTheme="minorHAnsi" w:hAnsiTheme="minorHAnsi"/>
                <w:sz w:val="16"/>
                <w:szCs w:val="16"/>
              </w:rPr>
            </w:pPr>
            <w:r w:rsidRPr="000231C4">
              <w:rPr>
                <w:rFonts w:asciiTheme="minorHAnsi" w:hAnsiTheme="minorHAnsi"/>
                <w:sz w:val="16"/>
                <w:szCs w:val="16"/>
              </w:rPr>
              <w:t>The approval holder is familiar with the latest version of relevant standards/requirements</w:t>
            </w:r>
          </w:p>
          <w:p w:rsidR="000231C4" w:rsidRPr="000231C4" w:rsidRDefault="000231C4" w:rsidP="000231C4">
            <w:pPr>
              <w:keepLines/>
              <w:numPr>
                <w:ilvl w:val="0"/>
                <w:numId w:val="32"/>
              </w:numPr>
              <w:tabs>
                <w:tab w:val="left" w:pos="284"/>
                <w:tab w:val="num" w:pos="359"/>
              </w:tabs>
              <w:suppressAutoHyphens w:val="0"/>
              <w:spacing w:after="80" w:line="240" w:lineRule="auto"/>
              <w:ind w:left="284" w:hanging="284"/>
              <w:rPr>
                <w:rFonts w:asciiTheme="minorHAnsi" w:hAnsiTheme="minorHAnsi"/>
                <w:sz w:val="18"/>
                <w:szCs w:val="18"/>
              </w:rPr>
            </w:pPr>
            <w:r w:rsidRPr="000231C4">
              <w:rPr>
                <w:rFonts w:asciiTheme="minorHAnsi" w:hAnsiTheme="minorHAnsi"/>
                <w:sz w:val="16"/>
                <w:szCs w:val="16"/>
              </w:rPr>
              <w:t>The approval holder is able to react on changes appropriately and in time</w:t>
            </w:r>
            <w:r w:rsidRPr="000231C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231C4" w:rsidRPr="000231C4" w:rsidTr="00A9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1C4" w:rsidRPr="000231C4" w:rsidRDefault="000231C4" w:rsidP="00A924B5">
            <w:pPr>
              <w:keepLines/>
              <w:spacing w:before="120" w:after="120"/>
              <w:ind w:left="-28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t>2</w:t>
            </w:r>
          </w:p>
        </w:tc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C4" w:rsidRPr="000231C4" w:rsidRDefault="000231C4" w:rsidP="00A924B5">
            <w:pPr>
              <w:pStyle w:val="Header"/>
              <w:keepLines/>
              <w:spacing w:before="80" w:after="80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t>Extension of type approvals are applied at the Approval Authority</w:t>
            </w:r>
          </w:p>
          <w:p w:rsidR="000231C4" w:rsidRPr="007A7681" w:rsidRDefault="000231C4" w:rsidP="000231C4">
            <w:pPr>
              <w:pStyle w:val="Header"/>
              <w:keepLines/>
              <w:numPr>
                <w:ilvl w:val="0"/>
                <w:numId w:val="33"/>
              </w:numPr>
              <w:pBdr>
                <w:bottom w:val="none" w:sz="0" w:space="0" w:color="auto"/>
              </w:pBdr>
              <w:suppressAutoHyphens w:val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A7681">
              <w:rPr>
                <w:rFonts w:asciiTheme="minorHAnsi" w:hAnsiTheme="minorHAnsi"/>
                <w:b w:val="0"/>
                <w:sz w:val="16"/>
                <w:szCs w:val="16"/>
              </w:rPr>
              <w:t>Prior to design changes</w:t>
            </w:r>
          </w:p>
          <w:p w:rsidR="000231C4" w:rsidRPr="007A7681" w:rsidRDefault="000231C4" w:rsidP="000231C4">
            <w:pPr>
              <w:pStyle w:val="Header"/>
              <w:keepLines/>
              <w:numPr>
                <w:ilvl w:val="0"/>
                <w:numId w:val="33"/>
              </w:numPr>
              <w:pBdr>
                <w:bottom w:val="none" w:sz="0" w:space="0" w:color="auto"/>
              </w:pBdr>
              <w:suppressAutoHyphens w:val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A7681">
              <w:rPr>
                <w:rFonts w:asciiTheme="minorHAnsi" w:hAnsiTheme="minorHAnsi"/>
                <w:b w:val="0"/>
                <w:sz w:val="16"/>
                <w:szCs w:val="16"/>
              </w:rPr>
              <w:t>In case of administrative changes</w:t>
            </w:r>
          </w:p>
          <w:p w:rsidR="000231C4" w:rsidRPr="007A7681" w:rsidRDefault="000231C4" w:rsidP="000231C4">
            <w:pPr>
              <w:pStyle w:val="Header"/>
              <w:keepLines/>
              <w:numPr>
                <w:ilvl w:val="0"/>
                <w:numId w:val="33"/>
              </w:numPr>
              <w:pBdr>
                <w:bottom w:val="none" w:sz="0" w:space="0" w:color="auto"/>
              </w:pBdr>
              <w:tabs>
                <w:tab w:val="clear" w:pos="284"/>
              </w:tabs>
              <w:suppressAutoHyphens w:val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A7681">
              <w:rPr>
                <w:rFonts w:asciiTheme="minorHAnsi" w:hAnsiTheme="minorHAnsi"/>
                <w:b w:val="0"/>
                <w:sz w:val="16"/>
                <w:szCs w:val="16"/>
              </w:rPr>
              <w:t>Prior to other alterations regarding the application</w:t>
            </w:r>
          </w:p>
          <w:p w:rsidR="000231C4" w:rsidRPr="000231C4" w:rsidRDefault="000231C4" w:rsidP="000231C4">
            <w:pPr>
              <w:pStyle w:val="Header"/>
              <w:keepLines/>
              <w:numPr>
                <w:ilvl w:val="0"/>
                <w:numId w:val="33"/>
              </w:numPr>
              <w:pBdr>
                <w:bottom w:val="none" w:sz="0" w:space="0" w:color="auto"/>
              </w:pBdr>
              <w:suppressAutoHyphens w:val="0"/>
              <w:rPr>
                <w:rFonts w:asciiTheme="minorHAnsi" w:hAnsiTheme="minorHAnsi"/>
                <w:sz w:val="16"/>
                <w:szCs w:val="16"/>
              </w:rPr>
            </w:pPr>
            <w:r w:rsidRPr="007A7681">
              <w:rPr>
                <w:rFonts w:asciiTheme="minorHAnsi" w:hAnsiTheme="minorHAnsi"/>
                <w:b w:val="0"/>
                <w:sz w:val="16"/>
                <w:szCs w:val="16"/>
              </w:rPr>
              <w:t>In case of replacement of suppliers (only if specified by the type approval or legally required)</w:t>
            </w:r>
          </w:p>
        </w:tc>
      </w:tr>
      <w:tr w:rsidR="000231C4" w:rsidRPr="000231C4" w:rsidTr="00A9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8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1C4" w:rsidRPr="000231C4" w:rsidRDefault="000231C4" w:rsidP="00A924B5">
            <w:pPr>
              <w:keepLines/>
              <w:spacing w:before="120" w:after="120"/>
              <w:ind w:left="-28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C4" w:rsidRPr="000231C4" w:rsidRDefault="000231C4" w:rsidP="00A924B5">
            <w:pPr>
              <w:pStyle w:val="Header"/>
              <w:keepLines/>
              <w:spacing w:before="80" w:after="80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t xml:space="preserve">Recall of risky products is guaranteed </w:t>
            </w:r>
          </w:p>
          <w:p w:rsidR="000231C4" w:rsidRPr="007A7681" w:rsidRDefault="000231C4" w:rsidP="000231C4">
            <w:pPr>
              <w:pStyle w:val="Header"/>
              <w:keepLines/>
              <w:numPr>
                <w:ilvl w:val="0"/>
                <w:numId w:val="40"/>
              </w:numPr>
              <w:pBdr>
                <w:bottom w:val="none" w:sz="0" w:space="0" w:color="auto"/>
              </w:pBdr>
              <w:suppressAutoHyphens w:val="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7A7681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Sources of information (e.g. complaint management)</w:t>
            </w:r>
          </w:p>
          <w:p w:rsidR="000231C4" w:rsidRPr="007A7681" w:rsidRDefault="000231C4" w:rsidP="000231C4">
            <w:pPr>
              <w:pStyle w:val="Header"/>
              <w:keepLines/>
              <w:numPr>
                <w:ilvl w:val="0"/>
                <w:numId w:val="40"/>
              </w:numPr>
              <w:pBdr>
                <w:bottom w:val="none" w:sz="0" w:space="0" w:color="auto"/>
              </w:pBdr>
              <w:suppressAutoHyphens w:val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A7681">
              <w:rPr>
                <w:rFonts w:asciiTheme="minorHAnsi" w:hAnsiTheme="minorHAnsi"/>
                <w:b w:val="0"/>
                <w:sz w:val="16"/>
                <w:szCs w:val="16"/>
              </w:rPr>
              <w:t>Responsibilities are defined</w:t>
            </w:r>
          </w:p>
          <w:p w:rsidR="000231C4" w:rsidRPr="007A7681" w:rsidRDefault="000231C4" w:rsidP="000231C4">
            <w:pPr>
              <w:pStyle w:val="Header"/>
              <w:keepLines/>
              <w:numPr>
                <w:ilvl w:val="0"/>
                <w:numId w:val="40"/>
              </w:numPr>
              <w:pBdr>
                <w:bottom w:val="none" w:sz="0" w:space="0" w:color="auto"/>
              </w:pBdr>
              <w:suppressAutoHyphens w:val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A7681">
              <w:rPr>
                <w:rFonts w:asciiTheme="minorHAnsi" w:hAnsiTheme="minorHAnsi"/>
                <w:b w:val="0"/>
                <w:sz w:val="16"/>
                <w:szCs w:val="16"/>
              </w:rPr>
              <w:t xml:space="preserve">Control of information and escalation is defined </w:t>
            </w:r>
          </w:p>
          <w:p w:rsidR="000231C4" w:rsidRPr="000231C4" w:rsidRDefault="000231C4" w:rsidP="000231C4">
            <w:pPr>
              <w:pStyle w:val="Header"/>
              <w:keepLines/>
              <w:numPr>
                <w:ilvl w:val="0"/>
                <w:numId w:val="40"/>
              </w:numPr>
              <w:pBdr>
                <w:bottom w:val="none" w:sz="0" w:space="0" w:color="auto"/>
              </w:pBdr>
              <w:suppressAutoHyphens w:val="0"/>
              <w:spacing w:after="80"/>
              <w:rPr>
                <w:rFonts w:asciiTheme="minorHAnsi" w:hAnsiTheme="minorHAnsi"/>
                <w:szCs w:val="18"/>
              </w:rPr>
            </w:pPr>
            <w:r w:rsidRPr="007A7681">
              <w:rPr>
                <w:rFonts w:asciiTheme="minorHAnsi" w:hAnsiTheme="minorHAnsi"/>
                <w:b w:val="0"/>
                <w:sz w:val="16"/>
                <w:szCs w:val="16"/>
              </w:rPr>
              <w:t>Further handling of products is defined</w:t>
            </w:r>
            <w:r w:rsidRPr="000231C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0231C4" w:rsidRPr="000231C4" w:rsidTr="00A9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C4" w:rsidRPr="00965563" w:rsidRDefault="000231C4" w:rsidP="00A924B5">
            <w:pPr>
              <w:pStyle w:val="Header"/>
              <w:keepLines/>
              <w:spacing w:before="120" w:after="120"/>
              <w:ind w:left="-28" w:right="68"/>
              <w:rPr>
                <w:rFonts w:asciiTheme="minorHAnsi" w:hAnsiTheme="minorHAnsi"/>
                <w:b w:val="0"/>
                <w:sz w:val="20"/>
              </w:rPr>
            </w:pPr>
            <w:r w:rsidRPr="00965563">
              <w:rPr>
                <w:rFonts w:asciiTheme="minorHAnsi" w:hAnsiTheme="minorHAnsi"/>
                <w:b w:val="0"/>
                <w:sz w:val="20"/>
              </w:rPr>
              <w:t>4</w:t>
            </w:r>
          </w:p>
        </w:tc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C4" w:rsidRPr="000231C4" w:rsidRDefault="000231C4" w:rsidP="00A924B5">
            <w:pPr>
              <w:pStyle w:val="Header"/>
              <w:keepLines/>
              <w:spacing w:before="80" w:after="80"/>
              <w:ind w:left="284" w:hanging="284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t>Immediate information to the Approval Authority</w:t>
            </w:r>
          </w:p>
          <w:p w:rsidR="000231C4" w:rsidRPr="007A7681" w:rsidRDefault="000231C4" w:rsidP="000231C4">
            <w:pPr>
              <w:pStyle w:val="Header"/>
              <w:keepLines/>
              <w:numPr>
                <w:ilvl w:val="0"/>
                <w:numId w:val="41"/>
              </w:numPr>
              <w:pBdr>
                <w:bottom w:val="none" w:sz="0" w:space="0" w:color="auto"/>
              </w:pBdr>
              <w:suppressAutoHyphens w:val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A7681">
              <w:rPr>
                <w:rFonts w:asciiTheme="minorHAnsi" w:hAnsiTheme="minorHAnsi"/>
                <w:b w:val="0"/>
                <w:sz w:val="16"/>
                <w:szCs w:val="16"/>
              </w:rPr>
              <w:t>Administrative changes</w:t>
            </w:r>
          </w:p>
          <w:p w:rsidR="000231C4" w:rsidRPr="007A7681" w:rsidRDefault="000231C4" w:rsidP="000231C4">
            <w:pPr>
              <w:pStyle w:val="Header"/>
              <w:keepLines/>
              <w:numPr>
                <w:ilvl w:val="0"/>
                <w:numId w:val="41"/>
              </w:numPr>
              <w:pBdr>
                <w:bottom w:val="none" w:sz="0" w:space="0" w:color="auto"/>
              </w:pBdr>
              <w:suppressAutoHyphens w:val="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7A7681">
              <w:rPr>
                <w:rFonts w:asciiTheme="minorHAnsi" w:hAnsiTheme="minorHAnsi"/>
                <w:b w:val="0"/>
                <w:sz w:val="16"/>
                <w:szCs w:val="16"/>
              </w:rPr>
              <w:t>Suspension/termination of a certification/verification</w:t>
            </w:r>
          </w:p>
          <w:p w:rsidR="000231C4" w:rsidRPr="007A7681" w:rsidRDefault="000231C4" w:rsidP="000231C4">
            <w:pPr>
              <w:pStyle w:val="Header"/>
              <w:keepLines/>
              <w:numPr>
                <w:ilvl w:val="0"/>
                <w:numId w:val="41"/>
              </w:numPr>
              <w:pBdr>
                <w:bottom w:val="none" w:sz="0" w:space="0" w:color="auto"/>
              </w:pBdr>
              <w:suppressAutoHyphens w:val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A7681">
              <w:rPr>
                <w:rFonts w:asciiTheme="minorHAnsi" w:hAnsiTheme="minorHAnsi"/>
                <w:b w:val="0"/>
                <w:sz w:val="16"/>
                <w:szCs w:val="16"/>
              </w:rPr>
              <w:t>In case of definitive cessation of production of approved products</w:t>
            </w:r>
          </w:p>
          <w:p w:rsidR="000231C4" w:rsidRPr="000231C4" w:rsidRDefault="000231C4" w:rsidP="000231C4">
            <w:pPr>
              <w:pStyle w:val="Header"/>
              <w:keepLines/>
              <w:numPr>
                <w:ilvl w:val="0"/>
                <w:numId w:val="42"/>
              </w:numPr>
              <w:pBdr>
                <w:bottom w:val="none" w:sz="0" w:space="0" w:color="auto"/>
              </w:pBdr>
              <w:suppressAutoHyphens w:val="0"/>
              <w:rPr>
                <w:rFonts w:asciiTheme="minorHAnsi" w:hAnsiTheme="minorHAnsi"/>
                <w:sz w:val="16"/>
                <w:szCs w:val="16"/>
              </w:rPr>
            </w:pPr>
            <w:r w:rsidRPr="007A7681">
              <w:rPr>
                <w:rFonts w:asciiTheme="minorHAnsi" w:hAnsiTheme="minorHAnsi"/>
                <w:b w:val="0"/>
                <w:sz w:val="16"/>
                <w:szCs w:val="16"/>
              </w:rPr>
              <w:t>In case of safety or environment relevant defects</w:t>
            </w:r>
            <w:r w:rsidRPr="000231C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0231C4" w:rsidRPr="000231C4" w:rsidTr="00A924B5">
        <w:trPr>
          <w:trHeight w:val="1824"/>
        </w:trPr>
        <w:tc>
          <w:tcPr>
            <w:tcW w:w="477" w:type="dxa"/>
            <w:tcBorders>
              <w:top w:val="single" w:sz="4" w:space="0" w:color="auto"/>
              <w:right w:val="single" w:sz="2" w:space="0" w:color="auto"/>
            </w:tcBorders>
          </w:tcPr>
          <w:p w:rsidR="000231C4" w:rsidRPr="00965563" w:rsidRDefault="000231C4" w:rsidP="00965563">
            <w:pPr>
              <w:spacing w:before="120"/>
              <w:rPr>
                <w:rFonts w:asciiTheme="minorHAnsi" w:hAnsiTheme="minorHAnsi"/>
              </w:rPr>
            </w:pPr>
            <w:r w:rsidRPr="00965563">
              <w:rPr>
                <w:rFonts w:asciiTheme="minorHAnsi" w:hAnsiTheme="minorHAnsi"/>
              </w:rPr>
              <w:t>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2" w:space="0" w:color="auto"/>
            </w:tcBorders>
          </w:tcPr>
          <w:p w:rsidR="000231C4" w:rsidRPr="000231C4" w:rsidRDefault="000231C4" w:rsidP="00A924B5">
            <w:pPr>
              <w:pStyle w:val="Header"/>
              <w:keepLines/>
              <w:spacing w:before="80" w:after="80"/>
              <w:rPr>
                <w:rFonts w:asciiTheme="minorHAnsi" w:hAnsiTheme="minorHAnsi"/>
              </w:rPr>
            </w:pPr>
            <w:proofErr w:type="spellStart"/>
            <w:r w:rsidRPr="000231C4">
              <w:rPr>
                <w:rFonts w:asciiTheme="minorHAnsi" w:hAnsiTheme="minorHAnsi"/>
              </w:rPr>
              <w:t>CoP</w:t>
            </w:r>
            <w:proofErr w:type="spellEnd"/>
            <w:r w:rsidRPr="000231C4">
              <w:rPr>
                <w:rFonts w:asciiTheme="minorHAnsi" w:hAnsiTheme="minorHAnsi"/>
              </w:rPr>
              <w:t xml:space="preserve"> Tests and test records acc. ECE R90, Chapter 5, </w:t>
            </w:r>
            <w:proofErr w:type="gramStart"/>
            <w:r w:rsidRPr="000231C4">
              <w:rPr>
                <w:rFonts w:asciiTheme="minorHAnsi" w:hAnsiTheme="minorHAnsi"/>
              </w:rPr>
              <w:t>item</w:t>
            </w:r>
            <w:proofErr w:type="gramEnd"/>
            <w:r w:rsidRPr="000231C4">
              <w:rPr>
                <w:rFonts w:asciiTheme="minorHAnsi" w:hAnsiTheme="minorHAnsi"/>
              </w:rPr>
              <w:t xml:space="preserve"> 5.2.2. and Annex 9</w:t>
            </w:r>
          </w:p>
          <w:p w:rsidR="000231C4" w:rsidRPr="000231C4" w:rsidRDefault="000231C4" w:rsidP="000231C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</w:rPr>
            </w:pPr>
            <w:r w:rsidRPr="000231C4">
              <w:rPr>
                <w:rFonts w:asciiTheme="minorHAnsi" w:hAnsiTheme="minorHAnsi"/>
                <w:sz w:val="16"/>
                <w:szCs w:val="16"/>
              </w:rPr>
              <w:t xml:space="preserve">Testing personnel is defined; competence is guaranteed </w:t>
            </w:r>
          </w:p>
          <w:p w:rsidR="000231C4" w:rsidRPr="000231C4" w:rsidRDefault="000231C4" w:rsidP="000231C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</w:rPr>
            </w:pPr>
            <w:r w:rsidRPr="000231C4">
              <w:rPr>
                <w:rFonts w:asciiTheme="minorHAnsi" w:hAnsiTheme="minorHAnsi"/>
                <w:sz w:val="16"/>
                <w:szCs w:val="16"/>
              </w:rPr>
              <w:t>Suitable test environment</w:t>
            </w:r>
          </w:p>
          <w:p w:rsidR="000231C4" w:rsidRPr="000231C4" w:rsidRDefault="000231C4" w:rsidP="000231C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</w:rPr>
            </w:pPr>
            <w:r w:rsidRPr="000231C4">
              <w:rPr>
                <w:rFonts w:asciiTheme="minorHAnsi" w:hAnsiTheme="minorHAnsi"/>
                <w:sz w:val="16"/>
                <w:szCs w:val="16"/>
              </w:rPr>
              <w:t xml:space="preserve">Test equipment is suitable and in good condition (shear test machine, </w:t>
            </w:r>
            <w:proofErr w:type="spellStart"/>
            <w:r w:rsidRPr="000231C4">
              <w:rPr>
                <w:rFonts w:asciiTheme="minorHAnsi" w:hAnsiTheme="minorHAnsi"/>
                <w:sz w:val="16"/>
                <w:szCs w:val="16"/>
              </w:rPr>
              <w:t>compresibility</w:t>
            </w:r>
            <w:proofErr w:type="spellEnd"/>
            <w:r w:rsidRPr="000231C4">
              <w:rPr>
                <w:rFonts w:asciiTheme="minorHAnsi" w:hAnsiTheme="minorHAnsi"/>
                <w:sz w:val="16"/>
                <w:szCs w:val="16"/>
              </w:rPr>
              <w:t xml:space="preserve"> test machine and friction tester)</w:t>
            </w:r>
          </w:p>
          <w:p w:rsidR="000231C4" w:rsidRPr="000231C4" w:rsidRDefault="000231C4" w:rsidP="000231C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</w:rPr>
            </w:pPr>
            <w:r w:rsidRPr="000231C4">
              <w:rPr>
                <w:rFonts w:asciiTheme="minorHAnsi" w:hAnsiTheme="minorHAnsi"/>
                <w:sz w:val="16"/>
                <w:szCs w:val="16"/>
              </w:rPr>
              <w:t xml:space="preserve">Test requirements according ISO 6310, ISO 6312, ISO 2039-2 and ECE R90 Annex 9 are fulfilled </w:t>
            </w:r>
          </w:p>
          <w:p w:rsidR="000231C4" w:rsidRPr="000231C4" w:rsidRDefault="000231C4" w:rsidP="000231C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</w:rPr>
            </w:pPr>
            <w:r w:rsidRPr="000231C4">
              <w:rPr>
                <w:rFonts w:asciiTheme="minorHAnsi" w:hAnsiTheme="minorHAnsi"/>
                <w:sz w:val="16"/>
                <w:szCs w:val="16"/>
              </w:rPr>
              <w:t xml:space="preserve">Appropriate data retention period; further analysis is guaranteed </w:t>
            </w:r>
          </w:p>
          <w:p w:rsidR="000231C4" w:rsidRPr="000231C4" w:rsidRDefault="000231C4" w:rsidP="000231C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</w:rPr>
            </w:pPr>
            <w:r w:rsidRPr="000231C4">
              <w:rPr>
                <w:rFonts w:asciiTheme="minorHAnsi" w:hAnsiTheme="minorHAnsi"/>
                <w:sz w:val="16"/>
                <w:szCs w:val="16"/>
              </w:rPr>
              <w:t>Adequate data storage conditions</w:t>
            </w:r>
          </w:p>
        </w:tc>
      </w:tr>
      <w:tr w:rsidR="000231C4" w:rsidRPr="000231C4" w:rsidTr="00A924B5">
        <w:trPr>
          <w:trHeight w:val="1423"/>
        </w:trPr>
        <w:tc>
          <w:tcPr>
            <w:tcW w:w="477" w:type="dxa"/>
            <w:tcBorders>
              <w:right w:val="single" w:sz="2" w:space="0" w:color="auto"/>
            </w:tcBorders>
          </w:tcPr>
          <w:p w:rsidR="000231C4" w:rsidRPr="000231C4" w:rsidRDefault="000231C4" w:rsidP="00A924B5">
            <w:pPr>
              <w:pStyle w:val="FlieText"/>
              <w:keepLines/>
              <w:spacing w:before="120" w:after="120"/>
              <w:ind w:left="0"/>
              <w:rPr>
                <w:rFonts w:asciiTheme="minorHAnsi" w:hAnsiTheme="minorHAnsi"/>
                <w:sz w:val="20"/>
              </w:rPr>
            </w:pPr>
            <w:r w:rsidRPr="000231C4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9185" w:type="dxa"/>
            <w:tcBorders>
              <w:left w:val="single" w:sz="2" w:space="0" w:color="auto"/>
            </w:tcBorders>
          </w:tcPr>
          <w:p w:rsidR="000231C4" w:rsidRPr="000231C4" w:rsidRDefault="000231C4" w:rsidP="00A924B5">
            <w:pPr>
              <w:pStyle w:val="Header"/>
              <w:keepLines/>
              <w:spacing w:before="80" w:after="80"/>
              <w:rPr>
                <w:rFonts w:asciiTheme="minorHAnsi" w:hAnsiTheme="minorHAnsi"/>
                <w:b w:val="0"/>
              </w:rPr>
            </w:pPr>
            <w:proofErr w:type="spellStart"/>
            <w:r w:rsidRPr="000231C4">
              <w:rPr>
                <w:rFonts w:asciiTheme="minorHAnsi" w:hAnsiTheme="minorHAnsi"/>
              </w:rPr>
              <w:t>CoP</w:t>
            </w:r>
            <w:proofErr w:type="spellEnd"/>
            <w:r w:rsidRPr="000231C4">
              <w:rPr>
                <w:rFonts w:asciiTheme="minorHAnsi" w:hAnsiTheme="minorHAnsi"/>
              </w:rPr>
              <w:t xml:space="preserve"> arrangements to ensure product conformity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5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Procedures and responsibilities are defined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5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Test frequency and sample size are adequately defined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5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Procedures and arrangements are effective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5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Availability of test records for reporting to the Approval Authority is guaranteed</w:t>
            </w:r>
          </w:p>
        </w:tc>
      </w:tr>
      <w:tr w:rsidR="000231C4" w:rsidRPr="000231C4" w:rsidTr="00A924B5">
        <w:trPr>
          <w:trHeight w:val="1401"/>
        </w:trPr>
        <w:tc>
          <w:tcPr>
            <w:tcW w:w="477" w:type="dxa"/>
            <w:tcBorders>
              <w:right w:val="single" w:sz="2" w:space="0" w:color="auto"/>
            </w:tcBorders>
          </w:tcPr>
          <w:p w:rsidR="000231C4" w:rsidRPr="000231C4" w:rsidRDefault="000231C4" w:rsidP="00A924B5">
            <w:pPr>
              <w:pStyle w:val="FlieText"/>
              <w:keepLines/>
              <w:spacing w:before="120" w:after="120"/>
              <w:ind w:left="0"/>
              <w:rPr>
                <w:rFonts w:asciiTheme="minorHAnsi" w:hAnsiTheme="minorHAnsi"/>
                <w:sz w:val="20"/>
              </w:rPr>
            </w:pPr>
            <w:r w:rsidRPr="000231C4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9185" w:type="dxa"/>
            <w:tcBorders>
              <w:left w:val="single" w:sz="2" w:space="0" w:color="auto"/>
            </w:tcBorders>
          </w:tcPr>
          <w:p w:rsidR="000231C4" w:rsidRPr="000231C4" w:rsidRDefault="000231C4" w:rsidP="00A924B5">
            <w:pPr>
              <w:pStyle w:val="Header"/>
              <w:keepLines/>
              <w:spacing w:before="80" w:after="80"/>
              <w:rPr>
                <w:rFonts w:asciiTheme="minorHAnsi" w:hAnsiTheme="minorHAnsi"/>
              </w:rPr>
            </w:pPr>
            <w:proofErr w:type="spellStart"/>
            <w:r w:rsidRPr="000231C4">
              <w:rPr>
                <w:rFonts w:asciiTheme="minorHAnsi" w:hAnsiTheme="minorHAnsi"/>
              </w:rPr>
              <w:t>CoP</w:t>
            </w:r>
            <w:proofErr w:type="spellEnd"/>
            <w:r w:rsidRPr="000231C4">
              <w:rPr>
                <w:rFonts w:asciiTheme="minorHAnsi" w:hAnsiTheme="minorHAnsi"/>
              </w:rPr>
              <w:t xml:space="preserve"> Analysis of test results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6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Responsibilities are assigned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6"/>
              </w:numPr>
              <w:suppressAutoHyphens w:val="0"/>
              <w:rPr>
                <w:rFonts w:asciiTheme="minorHAnsi" w:hAnsiTheme="minorHAnsi"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Results within the accepted range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6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Adequate reaction on non-conformities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6"/>
              </w:numPr>
              <w:suppressAutoHyphens w:val="0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  <w:sz w:val="16"/>
              </w:rPr>
              <w:t>Testing is carried out on a statistically controlled basis</w:t>
            </w:r>
          </w:p>
        </w:tc>
      </w:tr>
      <w:tr w:rsidR="000231C4" w:rsidRPr="000231C4" w:rsidTr="00A924B5">
        <w:trPr>
          <w:trHeight w:val="1407"/>
        </w:trPr>
        <w:tc>
          <w:tcPr>
            <w:tcW w:w="477" w:type="dxa"/>
            <w:tcBorders>
              <w:right w:val="single" w:sz="2" w:space="0" w:color="auto"/>
            </w:tcBorders>
          </w:tcPr>
          <w:p w:rsidR="000231C4" w:rsidRPr="000231C4" w:rsidRDefault="000231C4" w:rsidP="00A924B5">
            <w:pPr>
              <w:pStyle w:val="FlieText"/>
              <w:keepLines/>
              <w:spacing w:before="120" w:after="120"/>
              <w:ind w:left="0"/>
              <w:rPr>
                <w:rFonts w:asciiTheme="minorHAnsi" w:hAnsiTheme="minorHAnsi"/>
                <w:sz w:val="20"/>
              </w:rPr>
            </w:pPr>
            <w:r w:rsidRPr="000231C4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9185" w:type="dxa"/>
            <w:tcBorders>
              <w:left w:val="single" w:sz="2" w:space="0" w:color="auto"/>
            </w:tcBorders>
          </w:tcPr>
          <w:p w:rsidR="000231C4" w:rsidRPr="000231C4" w:rsidRDefault="000231C4" w:rsidP="00A924B5">
            <w:pPr>
              <w:pStyle w:val="Header"/>
              <w:keepLines/>
              <w:spacing w:before="80" w:after="80"/>
              <w:rPr>
                <w:rFonts w:asciiTheme="minorHAnsi" w:hAnsiTheme="minorHAnsi"/>
              </w:rPr>
            </w:pPr>
            <w:proofErr w:type="spellStart"/>
            <w:r w:rsidRPr="000231C4">
              <w:rPr>
                <w:rFonts w:asciiTheme="minorHAnsi" w:hAnsiTheme="minorHAnsi"/>
              </w:rPr>
              <w:t>CoP</w:t>
            </w:r>
            <w:proofErr w:type="spellEnd"/>
            <w:r w:rsidRPr="000231C4">
              <w:rPr>
                <w:rFonts w:asciiTheme="minorHAnsi" w:hAnsiTheme="minorHAnsi"/>
              </w:rPr>
              <w:t xml:space="preserve"> Corrective action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7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Root cause analysis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7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Immediate and adequate implementation/ realisation is guaranteed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7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Preventive reaction in case of tendencies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7"/>
              </w:numPr>
              <w:suppressAutoHyphens w:val="0"/>
              <w:rPr>
                <w:rFonts w:asciiTheme="minorHAnsi" w:hAnsiTheme="minorHAnsi"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Effectiveness is analysed</w:t>
            </w:r>
          </w:p>
          <w:p w:rsidR="000231C4" w:rsidRPr="000231C4" w:rsidRDefault="000231C4" w:rsidP="00A924B5">
            <w:pPr>
              <w:rPr>
                <w:rFonts w:asciiTheme="minorHAnsi" w:hAnsiTheme="minorHAnsi"/>
              </w:rPr>
            </w:pPr>
          </w:p>
        </w:tc>
      </w:tr>
      <w:tr w:rsidR="000231C4" w:rsidRPr="000231C4" w:rsidTr="00A924B5">
        <w:trPr>
          <w:trHeight w:val="1247"/>
        </w:trPr>
        <w:tc>
          <w:tcPr>
            <w:tcW w:w="477" w:type="dxa"/>
            <w:tcBorders>
              <w:right w:val="single" w:sz="2" w:space="0" w:color="auto"/>
            </w:tcBorders>
          </w:tcPr>
          <w:p w:rsidR="000231C4" w:rsidRPr="000231C4" w:rsidRDefault="000231C4" w:rsidP="00A924B5">
            <w:pPr>
              <w:pStyle w:val="FlieText"/>
              <w:keepLines/>
              <w:spacing w:before="120" w:after="120"/>
              <w:ind w:left="0"/>
              <w:rPr>
                <w:rFonts w:asciiTheme="minorHAnsi" w:hAnsiTheme="minorHAnsi"/>
                <w:sz w:val="20"/>
              </w:rPr>
            </w:pPr>
            <w:r w:rsidRPr="000231C4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9185" w:type="dxa"/>
            <w:tcBorders>
              <w:left w:val="single" w:sz="2" w:space="0" w:color="auto"/>
            </w:tcBorders>
          </w:tcPr>
          <w:p w:rsidR="000231C4" w:rsidRPr="000231C4" w:rsidRDefault="000231C4" w:rsidP="00A924B5">
            <w:pPr>
              <w:pStyle w:val="Header"/>
              <w:keepLines/>
              <w:spacing w:before="80" w:after="80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t>Traceability of products according ECE R90, chapter 6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8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Marking in production (</w:t>
            </w:r>
            <w:proofErr w:type="spellStart"/>
            <w:r w:rsidRPr="000231C4">
              <w:rPr>
                <w:rFonts w:asciiTheme="minorHAnsi" w:hAnsiTheme="minorHAnsi"/>
                <w:sz w:val="16"/>
              </w:rPr>
              <w:t>e.g.date</w:t>
            </w:r>
            <w:proofErr w:type="spellEnd"/>
            <w:r w:rsidRPr="000231C4">
              <w:rPr>
                <w:rFonts w:asciiTheme="minorHAnsi" w:hAnsiTheme="minorHAnsi"/>
                <w:sz w:val="16"/>
              </w:rPr>
              <w:t xml:space="preserve">, batch number, source code) 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8"/>
              </w:numPr>
              <w:suppressAutoHyphens w:val="0"/>
              <w:rPr>
                <w:rFonts w:asciiTheme="minorHAnsi" w:hAnsiTheme="minorHAnsi"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Explicit recognisable and attributable</w:t>
            </w:r>
          </w:p>
          <w:p w:rsidR="000231C4" w:rsidRPr="000231C4" w:rsidRDefault="000231C4" w:rsidP="00A924B5">
            <w:pPr>
              <w:rPr>
                <w:rFonts w:asciiTheme="minorHAnsi" w:hAnsiTheme="minorHAnsi"/>
              </w:rPr>
            </w:pPr>
          </w:p>
        </w:tc>
      </w:tr>
      <w:tr w:rsidR="000231C4" w:rsidRPr="000231C4" w:rsidTr="00965563">
        <w:trPr>
          <w:trHeight w:val="1690"/>
        </w:trPr>
        <w:tc>
          <w:tcPr>
            <w:tcW w:w="477" w:type="dxa"/>
            <w:tcBorders>
              <w:bottom w:val="single" w:sz="4" w:space="0" w:color="auto"/>
              <w:right w:val="single" w:sz="2" w:space="0" w:color="auto"/>
            </w:tcBorders>
          </w:tcPr>
          <w:p w:rsidR="000231C4" w:rsidRPr="000231C4" w:rsidRDefault="000231C4" w:rsidP="00A924B5">
            <w:pPr>
              <w:pStyle w:val="FlieText"/>
              <w:keepLines/>
              <w:spacing w:before="120" w:after="120"/>
              <w:ind w:left="0"/>
              <w:rPr>
                <w:rFonts w:asciiTheme="minorHAnsi" w:hAnsiTheme="minorHAnsi"/>
                <w:sz w:val="20"/>
              </w:rPr>
            </w:pPr>
            <w:r w:rsidRPr="000231C4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9185" w:type="dxa"/>
            <w:tcBorders>
              <w:left w:val="single" w:sz="2" w:space="0" w:color="auto"/>
              <w:bottom w:val="single" w:sz="4" w:space="0" w:color="auto"/>
            </w:tcBorders>
          </w:tcPr>
          <w:p w:rsidR="000231C4" w:rsidRPr="000231C4" w:rsidRDefault="000231C4" w:rsidP="00A924B5">
            <w:pPr>
              <w:pStyle w:val="Header"/>
              <w:keepLines/>
              <w:spacing w:before="80" w:after="80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t xml:space="preserve">Approval compliant marking according ECE R90, chapter 6; </w:t>
            </w:r>
          </w:p>
          <w:p w:rsidR="000231C4" w:rsidRPr="000231C4" w:rsidRDefault="000231C4" w:rsidP="00A924B5">
            <w:pPr>
              <w:pStyle w:val="Header"/>
              <w:keepLines/>
              <w:spacing w:before="80" w:after="80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t>Marking of product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9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Complete in accordance with the type approval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9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Size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9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Readability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9"/>
              </w:numPr>
              <w:suppressAutoHyphens w:val="0"/>
              <w:rPr>
                <w:rFonts w:asciiTheme="minorHAnsi" w:hAnsiTheme="minorHAnsi"/>
                <w:b/>
              </w:rPr>
            </w:pPr>
            <w:r w:rsidRPr="000231C4">
              <w:rPr>
                <w:rFonts w:asciiTheme="minorHAnsi" w:hAnsiTheme="minorHAnsi"/>
                <w:sz w:val="16"/>
              </w:rPr>
              <w:t>Durability</w:t>
            </w:r>
          </w:p>
        </w:tc>
      </w:tr>
      <w:tr w:rsidR="000231C4" w:rsidRPr="000231C4" w:rsidTr="00965563">
        <w:trPr>
          <w:trHeight w:val="2023"/>
        </w:trPr>
        <w:tc>
          <w:tcPr>
            <w:tcW w:w="477" w:type="dxa"/>
            <w:tcBorders>
              <w:bottom w:val="single" w:sz="2" w:space="0" w:color="auto"/>
              <w:right w:val="single" w:sz="2" w:space="0" w:color="auto"/>
            </w:tcBorders>
          </w:tcPr>
          <w:p w:rsidR="000231C4" w:rsidRPr="000231C4" w:rsidRDefault="000231C4" w:rsidP="00A924B5">
            <w:pPr>
              <w:pStyle w:val="FlieText"/>
              <w:keepLines/>
              <w:spacing w:before="120" w:after="120"/>
              <w:ind w:left="0"/>
              <w:jc w:val="center"/>
              <w:rPr>
                <w:rFonts w:asciiTheme="minorHAnsi" w:hAnsiTheme="minorHAnsi"/>
                <w:sz w:val="20"/>
              </w:rPr>
            </w:pPr>
            <w:r w:rsidRPr="000231C4">
              <w:rPr>
                <w:rFonts w:asciiTheme="minorHAnsi" w:hAnsiTheme="minorHAnsi"/>
                <w:sz w:val="20"/>
              </w:rPr>
              <w:lastRenderedPageBreak/>
              <w:t>11</w:t>
            </w:r>
          </w:p>
        </w:tc>
        <w:tc>
          <w:tcPr>
            <w:tcW w:w="9185" w:type="dxa"/>
            <w:tcBorders>
              <w:left w:val="single" w:sz="2" w:space="0" w:color="auto"/>
              <w:bottom w:val="single" w:sz="2" w:space="0" w:color="auto"/>
            </w:tcBorders>
          </w:tcPr>
          <w:p w:rsidR="000231C4" w:rsidRPr="000231C4" w:rsidRDefault="000231C4" w:rsidP="00A924B5">
            <w:pPr>
              <w:pStyle w:val="Header"/>
              <w:keepLines/>
              <w:spacing w:before="80" w:after="80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t xml:space="preserve">Approval compliant marking according ECE R90, chapter 6; </w:t>
            </w:r>
          </w:p>
          <w:p w:rsidR="000231C4" w:rsidRPr="000231C4" w:rsidRDefault="000231C4" w:rsidP="00A924B5">
            <w:pPr>
              <w:pStyle w:val="Header"/>
              <w:keepLines/>
              <w:spacing w:before="80" w:after="80"/>
              <w:rPr>
                <w:rFonts w:asciiTheme="minorHAnsi" w:hAnsiTheme="minorHAnsi"/>
              </w:rPr>
            </w:pPr>
            <w:r w:rsidRPr="000231C4">
              <w:rPr>
                <w:rFonts w:asciiTheme="minorHAnsi" w:hAnsiTheme="minorHAnsi"/>
              </w:rPr>
              <w:t>Packaging of pad/shoe assemblies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9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Manufacturer or Brand in the box or label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9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R90 number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9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Seal label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9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Set package</w:t>
            </w:r>
          </w:p>
          <w:p w:rsidR="000231C4" w:rsidRPr="000231C4" w:rsidRDefault="000231C4" w:rsidP="000231C4">
            <w:pPr>
              <w:pStyle w:val="Heading1"/>
              <w:keepLines/>
              <w:numPr>
                <w:ilvl w:val="0"/>
                <w:numId w:val="39"/>
              </w:numPr>
              <w:suppressAutoHyphens w:val="0"/>
              <w:rPr>
                <w:rFonts w:asciiTheme="minorHAnsi" w:hAnsiTheme="minorHAnsi"/>
                <w:b/>
                <w:sz w:val="16"/>
              </w:rPr>
            </w:pPr>
            <w:r w:rsidRPr="000231C4">
              <w:rPr>
                <w:rFonts w:asciiTheme="minorHAnsi" w:hAnsiTheme="minorHAnsi"/>
                <w:sz w:val="16"/>
              </w:rPr>
              <w:t>Fitting instructions inside box</w:t>
            </w:r>
          </w:p>
        </w:tc>
      </w:tr>
    </w:tbl>
    <w:p w:rsidR="000231C4" w:rsidRPr="000231C4" w:rsidRDefault="00AF2E38" w:rsidP="000231C4">
      <w:pPr>
        <w:ind w:left="360" w:right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</w:p>
    <w:p w:rsidR="001000C0" w:rsidRPr="000231C4" w:rsidRDefault="001000C0" w:rsidP="007B61F1">
      <w:pPr>
        <w:ind w:left="1494"/>
        <w:jc w:val="both"/>
        <w:rPr>
          <w:rFonts w:asciiTheme="minorHAnsi" w:hAnsiTheme="minorHAnsi"/>
          <w:sz w:val="24"/>
          <w:szCs w:val="24"/>
        </w:rPr>
      </w:pPr>
    </w:p>
    <w:p w:rsidR="009C24DF" w:rsidRPr="000231C4" w:rsidRDefault="009C24DF" w:rsidP="007B61F1">
      <w:pPr>
        <w:ind w:left="1494"/>
        <w:jc w:val="both"/>
        <w:rPr>
          <w:rFonts w:asciiTheme="minorHAnsi" w:hAnsiTheme="minorHAnsi"/>
          <w:sz w:val="24"/>
          <w:szCs w:val="24"/>
        </w:rPr>
      </w:pPr>
    </w:p>
    <w:p w:rsidR="001000C0" w:rsidRPr="000231C4" w:rsidRDefault="001000C0" w:rsidP="001000C0">
      <w:pPr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0231C4">
        <w:rPr>
          <w:rFonts w:asciiTheme="minorHAnsi" w:hAnsiTheme="minorHAnsi"/>
          <w:b/>
          <w:sz w:val="24"/>
          <w:szCs w:val="24"/>
        </w:rPr>
        <w:t>Justification</w:t>
      </w:r>
    </w:p>
    <w:p w:rsidR="001000C0" w:rsidRPr="000231C4" w:rsidRDefault="001000C0" w:rsidP="000425C2">
      <w:pPr>
        <w:jc w:val="both"/>
        <w:rPr>
          <w:rFonts w:asciiTheme="minorHAnsi" w:hAnsiTheme="minorHAnsi"/>
          <w:sz w:val="24"/>
          <w:szCs w:val="24"/>
        </w:rPr>
      </w:pPr>
    </w:p>
    <w:p w:rsidR="00AD742E" w:rsidRPr="000231C4" w:rsidRDefault="00A64D52" w:rsidP="000425C2">
      <w:pPr>
        <w:ind w:left="360" w:right="283"/>
        <w:jc w:val="both"/>
        <w:rPr>
          <w:rFonts w:asciiTheme="minorHAnsi" w:hAnsiTheme="minorHAnsi"/>
          <w:color w:val="1F497D"/>
          <w:sz w:val="24"/>
          <w:szCs w:val="24"/>
        </w:rPr>
      </w:pPr>
      <w:r w:rsidRPr="000231C4">
        <w:rPr>
          <w:rFonts w:asciiTheme="minorHAnsi" w:hAnsiTheme="minorHAnsi"/>
          <w:sz w:val="24"/>
          <w:szCs w:val="24"/>
        </w:rPr>
        <w:t xml:space="preserve">In friction </w:t>
      </w:r>
      <w:r w:rsidR="006420EF" w:rsidRPr="000231C4">
        <w:rPr>
          <w:rFonts w:asciiTheme="minorHAnsi" w:hAnsiTheme="minorHAnsi"/>
          <w:sz w:val="24"/>
          <w:szCs w:val="24"/>
        </w:rPr>
        <w:t>m</w:t>
      </w:r>
      <w:r w:rsidRPr="000231C4">
        <w:rPr>
          <w:rFonts w:asciiTheme="minorHAnsi" w:hAnsiTheme="minorHAnsi"/>
          <w:sz w:val="24"/>
          <w:szCs w:val="24"/>
        </w:rPr>
        <w:t xml:space="preserve">aterial </w:t>
      </w:r>
      <w:r w:rsidR="006420EF" w:rsidRPr="000231C4">
        <w:rPr>
          <w:rFonts w:asciiTheme="minorHAnsi" w:hAnsiTheme="minorHAnsi"/>
          <w:sz w:val="24"/>
          <w:szCs w:val="24"/>
        </w:rPr>
        <w:t>i</w:t>
      </w:r>
      <w:r w:rsidRPr="000231C4">
        <w:rPr>
          <w:rFonts w:asciiTheme="minorHAnsi" w:hAnsiTheme="minorHAnsi"/>
          <w:sz w:val="24"/>
          <w:szCs w:val="24"/>
        </w:rPr>
        <w:t>ndustry it is state of the art t</w:t>
      </w:r>
      <w:r w:rsidR="001000C0" w:rsidRPr="000231C4">
        <w:rPr>
          <w:rFonts w:asciiTheme="minorHAnsi" w:hAnsiTheme="minorHAnsi"/>
          <w:sz w:val="24"/>
          <w:szCs w:val="24"/>
        </w:rPr>
        <w:t xml:space="preserve">o </w:t>
      </w:r>
      <w:r w:rsidR="006420EF" w:rsidRPr="000231C4">
        <w:rPr>
          <w:rFonts w:asciiTheme="minorHAnsi" w:hAnsiTheme="minorHAnsi"/>
          <w:sz w:val="24"/>
          <w:szCs w:val="24"/>
        </w:rPr>
        <w:t>execute</w:t>
      </w:r>
      <w:r w:rsidRPr="000231C4">
        <w:rPr>
          <w:rFonts w:asciiTheme="minorHAnsi" w:hAnsiTheme="minorHAnsi"/>
          <w:sz w:val="24"/>
          <w:szCs w:val="24"/>
        </w:rPr>
        <w:t xml:space="preserve"> annually audits on management systems and production processes to </w:t>
      </w:r>
      <w:r w:rsidR="001000C0" w:rsidRPr="000231C4">
        <w:rPr>
          <w:rFonts w:asciiTheme="minorHAnsi" w:hAnsiTheme="minorHAnsi"/>
          <w:sz w:val="24"/>
          <w:szCs w:val="24"/>
        </w:rPr>
        <w:t xml:space="preserve">maintain the </w:t>
      </w:r>
      <w:r w:rsidR="007D4264" w:rsidRPr="000231C4">
        <w:rPr>
          <w:rFonts w:asciiTheme="minorHAnsi" w:hAnsiTheme="minorHAnsi"/>
          <w:sz w:val="24"/>
          <w:szCs w:val="24"/>
        </w:rPr>
        <w:t xml:space="preserve">QMS </w:t>
      </w:r>
      <w:r w:rsidRPr="000231C4">
        <w:rPr>
          <w:rFonts w:asciiTheme="minorHAnsi" w:hAnsiTheme="minorHAnsi"/>
          <w:sz w:val="24"/>
          <w:szCs w:val="24"/>
        </w:rPr>
        <w:t>Certification</w:t>
      </w:r>
      <w:r w:rsidR="00DB213C">
        <w:rPr>
          <w:rFonts w:asciiTheme="minorHAnsi" w:hAnsiTheme="minorHAnsi"/>
          <w:sz w:val="24"/>
          <w:szCs w:val="24"/>
        </w:rPr>
        <w:t xml:space="preserve"> according to ISO 9001 or ISO/TS 16949</w:t>
      </w:r>
      <w:r w:rsidRPr="000231C4">
        <w:rPr>
          <w:rFonts w:asciiTheme="minorHAnsi" w:hAnsiTheme="minorHAnsi"/>
          <w:sz w:val="24"/>
          <w:szCs w:val="24"/>
        </w:rPr>
        <w:t>.</w:t>
      </w:r>
      <w:r w:rsidR="001000C0" w:rsidRPr="000231C4">
        <w:rPr>
          <w:rFonts w:asciiTheme="minorHAnsi" w:hAnsiTheme="minorHAnsi"/>
          <w:sz w:val="24"/>
          <w:szCs w:val="24"/>
        </w:rPr>
        <w:t xml:space="preserve"> </w:t>
      </w:r>
      <w:r w:rsidR="00DD35BA" w:rsidRPr="000231C4">
        <w:rPr>
          <w:rFonts w:asciiTheme="minorHAnsi" w:hAnsiTheme="minorHAnsi"/>
          <w:sz w:val="24"/>
          <w:szCs w:val="24"/>
        </w:rPr>
        <w:t xml:space="preserve">Through </w:t>
      </w:r>
      <w:r w:rsidR="00E46CAA" w:rsidRPr="000231C4">
        <w:rPr>
          <w:rFonts w:asciiTheme="minorHAnsi" w:hAnsiTheme="minorHAnsi"/>
          <w:sz w:val="24"/>
          <w:szCs w:val="24"/>
        </w:rPr>
        <w:t>the</w:t>
      </w:r>
      <w:r w:rsidRPr="000231C4">
        <w:rPr>
          <w:rFonts w:asciiTheme="minorHAnsi" w:hAnsiTheme="minorHAnsi"/>
          <w:sz w:val="24"/>
          <w:szCs w:val="24"/>
        </w:rPr>
        <w:t xml:space="preserve"> incorporation of </w:t>
      </w:r>
      <w:r w:rsidR="007D4264" w:rsidRPr="000231C4">
        <w:rPr>
          <w:rFonts w:asciiTheme="minorHAnsi" w:hAnsiTheme="minorHAnsi"/>
          <w:sz w:val="24"/>
          <w:szCs w:val="24"/>
        </w:rPr>
        <w:t>an ECE R90</w:t>
      </w:r>
      <w:r w:rsidRPr="000231C4">
        <w:rPr>
          <w:rFonts w:asciiTheme="minorHAnsi" w:hAnsiTheme="minorHAnsi"/>
          <w:sz w:val="24"/>
          <w:szCs w:val="24"/>
        </w:rPr>
        <w:t xml:space="preserve"> </w:t>
      </w:r>
      <w:r w:rsidR="007D4264" w:rsidRPr="000231C4">
        <w:rPr>
          <w:rFonts w:asciiTheme="minorHAnsi" w:hAnsiTheme="minorHAnsi"/>
          <w:sz w:val="24"/>
          <w:szCs w:val="24"/>
        </w:rPr>
        <w:t>S</w:t>
      </w:r>
      <w:r w:rsidR="007A7681">
        <w:rPr>
          <w:rFonts w:asciiTheme="minorHAnsi" w:hAnsiTheme="minorHAnsi"/>
          <w:sz w:val="24"/>
          <w:szCs w:val="24"/>
        </w:rPr>
        <w:t xml:space="preserve">tandardized </w:t>
      </w:r>
      <w:proofErr w:type="spellStart"/>
      <w:r w:rsidR="007A7681">
        <w:rPr>
          <w:rFonts w:asciiTheme="minorHAnsi" w:hAnsiTheme="minorHAnsi"/>
          <w:sz w:val="24"/>
          <w:szCs w:val="24"/>
        </w:rPr>
        <w:t>Co</w:t>
      </w:r>
      <w:r w:rsidRPr="000231C4">
        <w:rPr>
          <w:rFonts w:asciiTheme="minorHAnsi" w:hAnsiTheme="minorHAnsi"/>
          <w:sz w:val="24"/>
          <w:szCs w:val="24"/>
        </w:rPr>
        <w:t>P</w:t>
      </w:r>
      <w:proofErr w:type="spellEnd"/>
      <w:r w:rsidRPr="000231C4">
        <w:rPr>
          <w:rFonts w:asciiTheme="minorHAnsi" w:hAnsiTheme="minorHAnsi"/>
          <w:sz w:val="24"/>
          <w:szCs w:val="24"/>
        </w:rPr>
        <w:t xml:space="preserve"> Inspection </w:t>
      </w:r>
      <w:r w:rsidR="007D4264" w:rsidRPr="000231C4">
        <w:rPr>
          <w:rFonts w:asciiTheme="minorHAnsi" w:hAnsiTheme="minorHAnsi"/>
          <w:sz w:val="24"/>
          <w:szCs w:val="24"/>
        </w:rPr>
        <w:t>Questionnaire into</w:t>
      </w:r>
      <w:r w:rsidRPr="000231C4">
        <w:rPr>
          <w:rFonts w:asciiTheme="minorHAnsi" w:hAnsiTheme="minorHAnsi"/>
          <w:sz w:val="24"/>
          <w:szCs w:val="24"/>
        </w:rPr>
        <w:t xml:space="preserve"> </w:t>
      </w:r>
      <w:r w:rsidR="007D4264" w:rsidRPr="000231C4">
        <w:rPr>
          <w:rFonts w:asciiTheme="minorHAnsi" w:hAnsiTheme="minorHAnsi"/>
          <w:sz w:val="24"/>
          <w:szCs w:val="24"/>
        </w:rPr>
        <w:t xml:space="preserve">regular QMS audits and its </w:t>
      </w:r>
      <w:r w:rsidR="00DD35BA" w:rsidRPr="000231C4">
        <w:rPr>
          <w:rFonts w:asciiTheme="minorHAnsi" w:hAnsiTheme="minorHAnsi"/>
          <w:sz w:val="24"/>
          <w:szCs w:val="24"/>
        </w:rPr>
        <w:t>reciprocal acceptance</w:t>
      </w:r>
      <w:r w:rsidR="006420EF" w:rsidRPr="000231C4">
        <w:rPr>
          <w:rFonts w:asciiTheme="minorHAnsi" w:hAnsiTheme="minorHAnsi"/>
          <w:sz w:val="24"/>
          <w:szCs w:val="24"/>
        </w:rPr>
        <w:t>,</w:t>
      </w:r>
      <w:r w:rsidR="007D4264" w:rsidRPr="000231C4">
        <w:rPr>
          <w:rFonts w:asciiTheme="minorHAnsi" w:hAnsiTheme="minorHAnsi"/>
          <w:sz w:val="24"/>
          <w:szCs w:val="24"/>
        </w:rPr>
        <w:t xml:space="preserve"> the replications of audits can be avoid</w:t>
      </w:r>
      <w:r w:rsidR="007A7681">
        <w:rPr>
          <w:rFonts w:asciiTheme="minorHAnsi" w:hAnsiTheme="minorHAnsi"/>
          <w:sz w:val="24"/>
          <w:szCs w:val="24"/>
        </w:rPr>
        <w:t>ed</w:t>
      </w:r>
      <w:r w:rsidR="007D4264" w:rsidRPr="000231C4">
        <w:rPr>
          <w:rFonts w:asciiTheme="minorHAnsi" w:hAnsiTheme="minorHAnsi"/>
          <w:sz w:val="24"/>
          <w:szCs w:val="24"/>
        </w:rPr>
        <w:t xml:space="preserve"> and an </w:t>
      </w:r>
      <w:r w:rsidR="00C44A4B" w:rsidRPr="000231C4">
        <w:rPr>
          <w:rFonts w:asciiTheme="minorHAnsi" w:hAnsiTheme="minorHAnsi"/>
          <w:sz w:val="24"/>
          <w:szCs w:val="24"/>
        </w:rPr>
        <w:t xml:space="preserve">important amount of </w:t>
      </w:r>
      <w:r w:rsidR="007A7681">
        <w:rPr>
          <w:rFonts w:asciiTheme="minorHAnsi" w:hAnsiTheme="minorHAnsi"/>
          <w:sz w:val="24"/>
          <w:szCs w:val="24"/>
        </w:rPr>
        <w:t xml:space="preserve">time and </w:t>
      </w:r>
      <w:r w:rsidR="00C44A4B" w:rsidRPr="000231C4">
        <w:rPr>
          <w:rFonts w:asciiTheme="minorHAnsi" w:hAnsiTheme="minorHAnsi"/>
          <w:sz w:val="24"/>
          <w:szCs w:val="24"/>
        </w:rPr>
        <w:t>resources</w:t>
      </w:r>
      <w:r w:rsidR="00DD35BA" w:rsidRPr="000231C4">
        <w:rPr>
          <w:rFonts w:asciiTheme="minorHAnsi" w:hAnsiTheme="minorHAnsi"/>
          <w:sz w:val="24"/>
          <w:szCs w:val="24"/>
        </w:rPr>
        <w:t xml:space="preserve"> </w:t>
      </w:r>
      <w:r w:rsidR="007D4264" w:rsidRPr="000231C4">
        <w:rPr>
          <w:rFonts w:asciiTheme="minorHAnsi" w:hAnsiTheme="minorHAnsi"/>
          <w:sz w:val="24"/>
          <w:szCs w:val="24"/>
        </w:rPr>
        <w:t>can</w:t>
      </w:r>
      <w:r w:rsidR="00C44A4B" w:rsidRPr="000231C4">
        <w:rPr>
          <w:rFonts w:asciiTheme="minorHAnsi" w:hAnsiTheme="minorHAnsi"/>
          <w:sz w:val="24"/>
          <w:szCs w:val="24"/>
        </w:rPr>
        <w:t xml:space="preserve"> be saved for</w:t>
      </w:r>
      <w:r w:rsidR="00DD35BA" w:rsidRPr="000231C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D35BA" w:rsidRPr="000231C4">
        <w:rPr>
          <w:rFonts w:asciiTheme="minorHAnsi" w:hAnsiTheme="minorHAnsi"/>
          <w:sz w:val="24"/>
          <w:szCs w:val="24"/>
        </w:rPr>
        <w:t>both parties</w:t>
      </w:r>
      <w:proofErr w:type="gramEnd"/>
      <w:r w:rsidR="00DD35BA" w:rsidRPr="000231C4">
        <w:rPr>
          <w:rFonts w:asciiTheme="minorHAnsi" w:hAnsiTheme="minorHAnsi"/>
          <w:sz w:val="24"/>
          <w:szCs w:val="24"/>
        </w:rPr>
        <w:t xml:space="preserve">, </w:t>
      </w:r>
      <w:r w:rsidR="00BC3A06" w:rsidRPr="000231C4">
        <w:rPr>
          <w:rFonts w:asciiTheme="minorHAnsi" w:hAnsiTheme="minorHAnsi"/>
          <w:sz w:val="24"/>
          <w:szCs w:val="24"/>
        </w:rPr>
        <w:t xml:space="preserve">the Competent </w:t>
      </w:r>
      <w:r w:rsidR="00BC3A06" w:rsidRPr="007A7681">
        <w:rPr>
          <w:rFonts w:asciiTheme="minorHAnsi" w:hAnsiTheme="minorHAnsi"/>
          <w:sz w:val="24"/>
          <w:szCs w:val="24"/>
        </w:rPr>
        <w:t>Authorities</w:t>
      </w:r>
      <w:r w:rsidR="00DD35BA" w:rsidRPr="007A7681">
        <w:rPr>
          <w:rFonts w:asciiTheme="minorHAnsi" w:hAnsiTheme="minorHAnsi"/>
          <w:sz w:val="24"/>
          <w:szCs w:val="24"/>
        </w:rPr>
        <w:t xml:space="preserve"> as well as the friction </w:t>
      </w:r>
      <w:r w:rsidR="001627B0" w:rsidRPr="007A7681">
        <w:rPr>
          <w:rFonts w:asciiTheme="minorHAnsi" w:hAnsiTheme="minorHAnsi"/>
          <w:sz w:val="24"/>
          <w:szCs w:val="24"/>
        </w:rPr>
        <w:t xml:space="preserve">material </w:t>
      </w:r>
      <w:r w:rsidR="00DD35BA" w:rsidRPr="007A7681">
        <w:rPr>
          <w:rFonts w:asciiTheme="minorHAnsi" w:hAnsiTheme="minorHAnsi"/>
          <w:sz w:val="24"/>
          <w:szCs w:val="24"/>
        </w:rPr>
        <w:t>manufacturer</w:t>
      </w:r>
      <w:r w:rsidR="00E46CAA" w:rsidRPr="007A7681">
        <w:rPr>
          <w:rFonts w:asciiTheme="minorHAnsi" w:hAnsiTheme="minorHAnsi"/>
          <w:sz w:val="24"/>
          <w:szCs w:val="24"/>
        </w:rPr>
        <w:t>s</w:t>
      </w:r>
      <w:r w:rsidR="00C44A4B" w:rsidRPr="00630C98">
        <w:rPr>
          <w:rFonts w:asciiTheme="minorHAnsi" w:hAnsiTheme="minorHAnsi"/>
          <w:sz w:val="24"/>
          <w:szCs w:val="24"/>
        </w:rPr>
        <w:t>.</w:t>
      </w:r>
      <w:r w:rsidR="00DD35BA" w:rsidRPr="00630C98">
        <w:rPr>
          <w:rFonts w:asciiTheme="minorHAnsi" w:hAnsiTheme="minorHAnsi"/>
          <w:sz w:val="24"/>
          <w:szCs w:val="24"/>
        </w:rPr>
        <w:t xml:space="preserve"> </w:t>
      </w:r>
      <w:r w:rsidR="007A7681" w:rsidRPr="00630C98">
        <w:rPr>
          <w:rFonts w:asciiTheme="minorHAnsi" w:hAnsiTheme="minorHAnsi"/>
          <w:sz w:val="24"/>
          <w:szCs w:val="24"/>
        </w:rPr>
        <w:t xml:space="preserve">A standard questionnaire is appropriate to achieve a common quality standard </w:t>
      </w:r>
      <w:r w:rsidR="00630C98" w:rsidRPr="00630C98">
        <w:rPr>
          <w:rFonts w:asciiTheme="minorHAnsi" w:hAnsiTheme="minorHAnsi"/>
          <w:sz w:val="24"/>
          <w:szCs w:val="24"/>
        </w:rPr>
        <w:t>for the annual inspection.</w:t>
      </w:r>
    </w:p>
    <w:sectPr w:rsidR="00AD742E" w:rsidRPr="000231C4" w:rsidSect="00176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851" w:right="1134" w:bottom="397" w:left="1134" w:header="284" w:footer="10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6C" w:rsidRDefault="0035436C"/>
  </w:endnote>
  <w:endnote w:type="continuationSeparator" w:id="0">
    <w:p w:rsidR="0035436C" w:rsidRDefault="0035436C"/>
  </w:endnote>
  <w:endnote w:type="continuationNotice" w:id="1">
    <w:p w:rsidR="0035436C" w:rsidRDefault="00354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6C" w:rsidRPr="002B783E" w:rsidRDefault="0035436C" w:rsidP="00005EAF">
    <w:pPr>
      <w:pStyle w:val="Footer"/>
      <w:tabs>
        <w:tab w:val="left" w:pos="720"/>
        <w:tab w:val="right" w:pos="9638"/>
      </w:tabs>
      <w:rPr>
        <w:sz w:val="18"/>
      </w:rPr>
    </w:pPr>
    <w:r w:rsidRPr="002B783E">
      <w:rPr>
        <w:b/>
        <w:sz w:val="18"/>
      </w:rPr>
      <w:fldChar w:fldCharType="begin"/>
    </w:r>
    <w:r w:rsidRPr="002B783E">
      <w:rPr>
        <w:b/>
        <w:sz w:val="18"/>
      </w:rPr>
      <w:instrText xml:space="preserve"> PAGE  \* MERGEFORMAT </w:instrText>
    </w:r>
    <w:r w:rsidRPr="002B783E">
      <w:rPr>
        <w:b/>
        <w:sz w:val="18"/>
      </w:rPr>
      <w:fldChar w:fldCharType="separate"/>
    </w:r>
    <w:r w:rsidR="00F778B3">
      <w:rPr>
        <w:b/>
        <w:noProof/>
        <w:sz w:val="18"/>
      </w:rPr>
      <w:t>2</w:t>
    </w:r>
    <w:r w:rsidRPr="002B783E">
      <w:rPr>
        <w:b/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6C" w:rsidRPr="002B783E" w:rsidRDefault="0035436C" w:rsidP="002B783E">
    <w:pPr>
      <w:pStyle w:val="Footer"/>
      <w:tabs>
        <w:tab w:val="right" w:pos="9638"/>
      </w:tabs>
      <w:rPr>
        <w:b/>
        <w:sz w:val="18"/>
      </w:rPr>
    </w:pPr>
    <w:r>
      <w:tab/>
    </w:r>
    <w:r w:rsidRPr="002B783E">
      <w:rPr>
        <w:b/>
        <w:sz w:val="18"/>
      </w:rPr>
      <w:fldChar w:fldCharType="begin"/>
    </w:r>
    <w:r w:rsidRPr="002B783E">
      <w:rPr>
        <w:b/>
        <w:sz w:val="18"/>
      </w:rPr>
      <w:instrText xml:space="preserve"> PAGE  \* MERGEFORMAT </w:instrText>
    </w:r>
    <w:r w:rsidRPr="002B783E">
      <w:rPr>
        <w:b/>
        <w:sz w:val="18"/>
      </w:rPr>
      <w:fldChar w:fldCharType="separate"/>
    </w:r>
    <w:r w:rsidR="00F778B3">
      <w:rPr>
        <w:b/>
        <w:noProof/>
        <w:sz w:val="18"/>
      </w:rPr>
      <w:t>3</w:t>
    </w:r>
    <w:r w:rsidRPr="002B78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6C" w:rsidRPr="000B175B" w:rsidRDefault="003543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436C" w:rsidRPr="00FC68B7" w:rsidRDefault="003543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5436C" w:rsidRDefault="003543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6C" w:rsidRPr="002B783E" w:rsidRDefault="0035436C" w:rsidP="002A174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6C" w:rsidRPr="002B783E" w:rsidRDefault="0035436C" w:rsidP="002A1745">
    <w:pPr>
      <w:pStyle w:val="Header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Look w:val="0000" w:firstRow="0" w:lastRow="0" w:firstColumn="0" w:lastColumn="0" w:noHBand="0" w:noVBand="0"/>
    </w:tblPr>
    <w:tblGrid>
      <w:gridCol w:w="4394"/>
      <w:gridCol w:w="5103"/>
    </w:tblGrid>
    <w:tr w:rsidR="0035436C" w:rsidRPr="0054095E" w:rsidTr="00437D2E">
      <w:tc>
        <w:tcPr>
          <w:tcW w:w="4394" w:type="dxa"/>
          <w:vAlign w:val="center"/>
        </w:tcPr>
        <w:p w:rsidR="0035436C" w:rsidRPr="0054095E" w:rsidRDefault="00F778B3" w:rsidP="0017624C">
          <w:pPr>
            <w:tabs>
              <w:tab w:val="center" w:pos="4677"/>
              <w:tab w:val="right" w:pos="9355"/>
            </w:tabs>
            <w:spacing w:line="240" w:lineRule="auto"/>
            <w:ind w:hanging="108"/>
            <w:rPr>
              <w:color w:val="002060"/>
              <w:lang w:val="en-TT" w:eastAsia="ar-SA"/>
            </w:rPr>
          </w:pPr>
          <w:r>
            <w:rPr>
              <w:color w:val="002060"/>
              <w:lang w:val="en-US" w:eastAsia="ar-SA"/>
            </w:rPr>
            <w:t>Submitted</w:t>
          </w:r>
          <w:r w:rsidR="0035436C" w:rsidRPr="0054095E">
            <w:rPr>
              <w:color w:val="002060"/>
              <w:lang w:val="en-US" w:eastAsia="ar-SA"/>
            </w:rPr>
            <w:t xml:space="preserve"> by the expert from FEMFM</w:t>
          </w:r>
        </w:p>
      </w:tc>
      <w:tc>
        <w:tcPr>
          <w:tcW w:w="5103" w:type="dxa"/>
        </w:tcPr>
        <w:p w:rsidR="0035436C" w:rsidRDefault="0035436C" w:rsidP="0017624C">
          <w:pPr>
            <w:spacing w:line="240" w:lineRule="auto"/>
            <w:ind w:left="1735"/>
            <w:rPr>
              <w:color w:val="002060"/>
              <w:u w:val="single"/>
              <w:lang w:val="en-TT" w:eastAsia="ar-SA"/>
            </w:rPr>
          </w:pPr>
        </w:p>
        <w:p w:rsidR="0035436C" w:rsidRPr="0054095E" w:rsidRDefault="0035436C" w:rsidP="0017624C">
          <w:pPr>
            <w:spacing w:line="240" w:lineRule="auto"/>
            <w:ind w:left="1735"/>
            <w:rPr>
              <w:b/>
              <w:bCs/>
              <w:color w:val="002060"/>
              <w:lang w:val="en-TT" w:eastAsia="ar-SA"/>
            </w:rPr>
          </w:pPr>
          <w:r w:rsidRPr="0054095E">
            <w:rPr>
              <w:color w:val="002060"/>
              <w:u w:val="single"/>
              <w:lang w:val="en-TT" w:eastAsia="ar-SA"/>
            </w:rPr>
            <w:t>Informal document</w:t>
          </w:r>
          <w:r w:rsidRPr="0054095E">
            <w:rPr>
              <w:color w:val="002060"/>
              <w:lang w:val="en-TT" w:eastAsia="ar-SA"/>
            </w:rPr>
            <w:t xml:space="preserve"> </w:t>
          </w:r>
          <w:r w:rsidRPr="0054095E">
            <w:rPr>
              <w:b/>
              <w:bCs/>
              <w:color w:val="002060"/>
              <w:lang w:val="en-TT" w:eastAsia="ar-SA"/>
            </w:rPr>
            <w:t>GRRF-81-</w:t>
          </w:r>
          <w:r w:rsidR="00F778B3">
            <w:rPr>
              <w:b/>
              <w:bCs/>
              <w:color w:val="002060"/>
              <w:lang w:val="en-TT" w:eastAsia="ar-SA"/>
            </w:rPr>
            <w:t>03</w:t>
          </w:r>
        </w:p>
        <w:p w:rsidR="0035436C" w:rsidRPr="0054095E" w:rsidRDefault="0035436C" w:rsidP="0017624C">
          <w:pPr>
            <w:tabs>
              <w:tab w:val="center" w:pos="4677"/>
              <w:tab w:val="right" w:pos="9355"/>
            </w:tabs>
            <w:spacing w:line="240" w:lineRule="auto"/>
            <w:ind w:left="1735"/>
            <w:rPr>
              <w:color w:val="002060"/>
              <w:lang w:val="en-TT" w:eastAsia="ar-SA"/>
            </w:rPr>
          </w:pPr>
          <w:r w:rsidRPr="0054095E">
            <w:rPr>
              <w:color w:val="002060"/>
              <w:lang w:val="en-TT" w:eastAsia="ar-SA"/>
            </w:rPr>
            <w:t>81</w:t>
          </w:r>
          <w:r w:rsidRPr="00F778B3">
            <w:rPr>
              <w:color w:val="002060"/>
              <w:vertAlign w:val="superscript"/>
              <w:lang w:val="en-TT" w:eastAsia="ar-SA"/>
            </w:rPr>
            <w:t>st</w:t>
          </w:r>
          <w:r w:rsidRPr="0054095E">
            <w:rPr>
              <w:color w:val="002060"/>
              <w:lang w:val="en-TT" w:eastAsia="ar-SA"/>
            </w:rPr>
            <w:t xml:space="preserve"> GRRF, 1-5 February 2016</w:t>
          </w:r>
        </w:p>
        <w:p w:rsidR="0035436C" w:rsidRPr="0054095E" w:rsidRDefault="00F778B3" w:rsidP="007231CD">
          <w:pPr>
            <w:tabs>
              <w:tab w:val="center" w:pos="4677"/>
              <w:tab w:val="right" w:pos="9355"/>
            </w:tabs>
            <w:spacing w:line="240" w:lineRule="auto"/>
            <w:ind w:left="1735"/>
            <w:rPr>
              <w:color w:val="002060"/>
              <w:lang w:val="en-TT" w:eastAsia="ar-SA"/>
            </w:rPr>
          </w:pPr>
          <w:r>
            <w:rPr>
              <w:color w:val="002060"/>
              <w:lang w:val="en-TT" w:eastAsia="ar-SA"/>
            </w:rPr>
            <w:t>A</w:t>
          </w:r>
          <w:r w:rsidR="0035436C" w:rsidRPr="0054095E">
            <w:rPr>
              <w:color w:val="002060"/>
              <w:lang w:val="en-TT" w:eastAsia="ar-SA"/>
            </w:rPr>
            <w:t xml:space="preserve">genda item </w:t>
          </w:r>
          <w:r>
            <w:rPr>
              <w:color w:val="002060"/>
              <w:lang w:val="en-TT" w:eastAsia="ar-SA"/>
            </w:rPr>
            <w:t>6</w:t>
          </w:r>
        </w:p>
      </w:tc>
    </w:tr>
  </w:tbl>
  <w:p w:rsidR="0035436C" w:rsidRDefault="0035436C" w:rsidP="0017624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E336564"/>
    <w:multiLevelType w:val="hybridMultilevel"/>
    <w:tmpl w:val="93C46D6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A1862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EE5DB5"/>
    <w:multiLevelType w:val="hybridMultilevel"/>
    <w:tmpl w:val="47E0AF32"/>
    <w:lvl w:ilvl="0" w:tplc="AD3095A4">
      <w:start w:val="1"/>
      <w:numFmt w:val="decimal"/>
      <w:lvlText w:val="%1."/>
      <w:lvlJc w:val="left"/>
      <w:pPr>
        <w:tabs>
          <w:tab w:val="num" w:pos="1445"/>
        </w:tabs>
        <w:ind w:left="1445" w:hanging="6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EC2F05"/>
    <w:multiLevelType w:val="hybridMultilevel"/>
    <w:tmpl w:val="5802CF54"/>
    <w:lvl w:ilvl="0" w:tplc="7B9A429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641EB5"/>
    <w:multiLevelType w:val="hybridMultilevel"/>
    <w:tmpl w:val="8FB6DE64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762B6"/>
    <w:multiLevelType w:val="hybridMultilevel"/>
    <w:tmpl w:val="ECDC72E8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BC609FC"/>
    <w:multiLevelType w:val="hybridMultilevel"/>
    <w:tmpl w:val="81EC9A7C"/>
    <w:lvl w:ilvl="0" w:tplc="7DC4289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3B77B2"/>
    <w:multiLevelType w:val="hybridMultilevel"/>
    <w:tmpl w:val="49EEB774"/>
    <w:lvl w:ilvl="0" w:tplc="86B434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FA1215"/>
    <w:multiLevelType w:val="hybridMultilevel"/>
    <w:tmpl w:val="BFC8E872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2">
    <w:nsid w:val="42A62427"/>
    <w:multiLevelType w:val="hybridMultilevel"/>
    <w:tmpl w:val="AB9AC4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E7D8E"/>
    <w:multiLevelType w:val="hybridMultilevel"/>
    <w:tmpl w:val="A000CCEA"/>
    <w:lvl w:ilvl="0" w:tplc="C47C71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376BE3"/>
    <w:multiLevelType w:val="hybridMultilevel"/>
    <w:tmpl w:val="AB764BDE"/>
    <w:lvl w:ilvl="0" w:tplc="672C5CC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88613C"/>
    <w:multiLevelType w:val="hybridMultilevel"/>
    <w:tmpl w:val="AF84CC58"/>
    <w:lvl w:ilvl="0" w:tplc="64C8A26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EF2769"/>
    <w:multiLevelType w:val="hybridMultilevel"/>
    <w:tmpl w:val="5172DA3A"/>
    <w:lvl w:ilvl="0" w:tplc="99B41D02">
      <w:start w:val="1"/>
      <w:numFmt w:val="bullet"/>
      <w:lvlText w:val="­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F17C63"/>
    <w:multiLevelType w:val="hybridMultilevel"/>
    <w:tmpl w:val="4C1085FE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8">
    <w:nsid w:val="5BF7507E"/>
    <w:multiLevelType w:val="hybridMultilevel"/>
    <w:tmpl w:val="02000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F9B05E2"/>
    <w:multiLevelType w:val="hybridMultilevel"/>
    <w:tmpl w:val="BDA4BD20"/>
    <w:lvl w:ilvl="0" w:tplc="1BE44B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54564C0"/>
    <w:multiLevelType w:val="hybridMultilevel"/>
    <w:tmpl w:val="D3CE1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D1964"/>
    <w:multiLevelType w:val="hybridMultilevel"/>
    <w:tmpl w:val="0678AB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DB78E0"/>
    <w:multiLevelType w:val="hybridMultilevel"/>
    <w:tmpl w:val="E2CEA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E59F9"/>
    <w:multiLevelType w:val="hybridMultilevel"/>
    <w:tmpl w:val="BC3E47A8"/>
    <w:lvl w:ilvl="0" w:tplc="51082A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243D08"/>
    <w:multiLevelType w:val="hybridMultilevel"/>
    <w:tmpl w:val="3F946534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38">
    <w:nsid w:val="75B8661B"/>
    <w:multiLevelType w:val="hybridMultilevel"/>
    <w:tmpl w:val="E4A05AF2"/>
    <w:lvl w:ilvl="0" w:tplc="672A149C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6B78D4"/>
    <w:multiLevelType w:val="hybridMultilevel"/>
    <w:tmpl w:val="E89AE424"/>
    <w:lvl w:ilvl="0" w:tplc="99B41D02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04E64"/>
    <w:multiLevelType w:val="hybridMultilevel"/>
    <w:tmpl w:val="24BA5ABE"/>
    <w:lvl w:ilvl="0" w:tplc="AA38C6D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4"/>
  </w:num>
  <w:num w:numId="13">
    <w:abstractNumId w:val="11"/>
  </w:num>
  <w:num w:numId="14">
    <w:abstractNumId w:val="33"/>
  </w:num>
  <w:num w:numId="15">
    <w:abstractNumId w:val="39"/>
  </w:num>
  <w:num w:numId="16">
    <w:abstractNumId w:val="10"/>
  </w:num>
  <w:num w:numId="17">
    <w:abstractNumId w:val="16"/>
  </w:num>
  <w:num w:numId="18">
    <w:abstractNumId w:val="29"/>
  </w:num>
  <w:num w:numId="19">
    <w:abstractNumId w:val="35"/>
  </w:num>
  <w:num w:numId="20">
    <w:abstractNumId w:val="38"/>
  </w:num>
  <w:num w:numId="21">
    <w:abstractNumId w:val="28"/>
  </w:num>
  <w:num w:numId="22">
    <w:abstractNumId w:val="32"/>
  </w:num>
  <w:num w:numId="23">
    <w:abstractNumId w:val="24"/>
  </w:num>
  <w:num w:numId="24">
    <w:abstractNumId w:val="34"/>
  </w:num>
  <w:num w:numId="25">
    <w:abstractNumId w:val="22"/>
  </w:num>
  <w:num w:numId="26">
    <w:abstractNumId w:val="30"/>
  </w:num>
  <w:num w:numId="27">
    <w:abstractNumId w:val="25"/>
  </w:num>
  <w:num w:numId="28">
    <w:abstractNumId w:val="13"/>
  </w:num>
  <w:num w:numId="29">
    <w:abstractNumId w:val="18"/>
  </w:num>
  <w:num w:numId="30">
    <w:abstractNumId w:val="36"/>
  </w:num>
  <w:num w:numId="31">
    <w:abstractNumId w:val="26"/>
  </w:num>
  <w:num w:numId="32">
    <w:abstractNumId w:val="12"/>
  </w:num>
  <w:num w:numId="33">
    <w:abstractNumId w:val="40"/>
  </w:num>
  <w:num w:numId="34">
    <w:abstractNumId w:val="41"/>
  </w:num>
  <w:num w:numId="35">
    <w:abstractNumId w:val="15"/>
  </w:num>
  <w:num w:numId="36">
    <w:abstractNumId w:val="20"/>
  </w:num>
  <w:num w:numId="37">
    <w:abstractNumId w:val="21"/>
  </w:num>
  <w:num w:numId="38">
    <w:abstractNumId w:val="27"/>
  </w:num>
  <w:num w:numId="39">
    <w:abstractNumId w:val="23"/>
  </w:num>
  <w:num w:numId="40">
    <w:abstractNumId w:val="37"/>
  </w:num>
  <w:num w:numId="41">
    <w:abstractNumId w:val="1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2B783E"/>
    <w:rsid w:val="00005EAF"/>
    <w:rsid w:val="00007017"/>
    <w:rsid w:val="0001139E"/>
    <w:rsid w:val="000157A4"/>
    <w:rsid w:val="0001612F"/>
    <w:rsid w:val="000231C4"/>
    <w:rsid w:val="00030779"/>
    <w:rsid w:val="000425C2"/>
    <w:rsid w:val="00044524"/>
    <w:rsid w:val="00046B1F"/>
    <w:rsid w:val="00050F6B"/>
    <w:rsid w:val="000516EF"/>
    <w:rsid w:val="00052635"/>
    <w:rsid w:val="0005666D"/>
    <w:rsid w:val="00057E97"/>
    <w:rsid w:val="00060B42"/>
    <w:rsid w:val="000646F4"/>
    <w:rsid w:val="00066282"/>
    <w:rsid w:val="00070B48"/>
    <w:rsid w:val="000714EF"/>
    <w:rsid w:val="00072C8C"/>
    <w:rsid w:val="00073087"/>
    <w:rsid w:val="000733B5"/>
    <w:rsid w:val="00073D7F"/>
    <w:rsid w:val="00076506"/>
    <w:rsid w:val="00081815"/>
    <w:rsid w:val="0008481A"/>
    <w:rsid w:val="000849DA"/>
    <w:rsid w:val="000931C0"/>
    <w:rsid w:val="000B0595"/>
    <w:rsid w:val="000B175B"/>
    <w:rsid w:val="000B2F02"/>
    <w:rsid w:val="000B3A0F"/>
    <w:rsid w:val="000B4062"/>
    <w:rsid w:val="000B4EF7"/>
    <w:rsid w:val="000B7DFD"/>
    <w:rsid w:val="000C2C03"/>
    <w:rsid w:val="000C2D2E"/>
    <w:rsid w:val="000D04C5"/>
    <w:rsid w:val="000E0415"/>
    <w:rsid w:val="000F0219"/>
    <w:rsid w:val="000F0FD5"/>
    <w:rsid w:val="000F1D8C"/>
    <w:rsid w:val="001000C0"/>
    <w:rsid w:val="001103AA"/>
    <w:rsid w:val="00111CC3"/>
    <w:rsid w:val="0011666B"/>
    <w:rsid w:val="001179ED"/>
    <w:rsid w:val="00123130"/>
    <w:rsid w:val="00126791"/>
    <w:rsid w:val="001341E2"/>
    <w:rsid w:val="00136DDF"/>
    <w:rsid w:val="001371F6"/>
    <w:rsid w:val="00141180"/>
    <w:rsid w:val="0014419B"/>
    <w:rsid w:val="00150D44"/>
    <w:rsid w:val="0015285B"/>
    <w:rsid w:val="00154A50"/>
    <w:rsid w:val="001627B0"/>
    <w:rsid w:val="0016521E"/>
    <w:rsid w:val="00165F3A"/>
    <w:rsid w:val="00172A14"/>
    <w:rsid w:val="0017624C"/>
    <w:rsid w:val="00176EB3"/>
    <w:rsid w:val="001815EC"/>
    <w:rsid w:val="00182290"/>
    <w:rsid w:val="001836A2"/>
    <w:rsid w:val="00185DAD"/>
    <w:rsid w:val="001A2861"/>
    <w:rsid w:val="001A2B17"/>
    <w:rsid w:val="001A3955"/>
    <w:rsid w:val="001B03B3"/>
    <w:rsid w:val="001B4B04"/>
    <w:rsid w:val="001C0D72"/>
    <w:rsid w:val="001C28B3"/>
    <w:rsid w:val="001C5C30"/>
    <w:rsid w:val="001C6663"/>
    <w:rsid w:val="001C6BBB"/>
    <w:rsid w:val="001C7895"/>
    <w:rsid w:val="001D0C8C"/>
    <w:rsid w:val="001D1419"/>
    <w:rsid w:val="001D26DF"/>
    <w:rsid w:val="001D3A03"/>
    <w:rsid w:val="001E17AF"/>
    <w:rsid w:val="001E4583"/>
    <w:rsid w:val="001E4BA1"/>
    <w:rsid w:val="001E7B67"/>
    <w:rsid w:val="001F5EF1"/>
    <w:rsid w:val="002002A5"/>
    <w:rsid w:val="00200D64"/>
    <w:rsid w:val="00202DA8"/>
    <w:rsid w:val="00202E26"/>
    <w:rsid w:val="002058B9"/>
    <w:rsid w:val="00206743"/>
    <w:rsid w:val="00211E0B"/>
    <w:rsid w:val="00212BCD"/>
    <w:rsid w:val="002141B9"/>
    <w:rsid w:val="00216198"/>
    <w:rsid w:val="00224D0A"/>
    <w:rsid w:val="002261BE"/>
    <w:rsid w:val="002328BE"/>
    <w:rsid w:val="00233E75"/>
    <w:rsid w:val="002432BA"/>
    <w:rsid w:val="00244753"/>
    <w:rsid w:val="0024772E"/>
    <w:rsid w:val="00256E66"/>
    <w:rsid w:val="00260585"/>
    <w:rsid w:val="00265039"/>
    <w:rsid w:val="00267F5F"/>
    <w:rsid w:val="00275E4B"/>
    <w:rsid w:val="00286029"/>
    <w:rsid w:val="002860B8"/>
    <w:rsid w:val="00286B4D"/>
    <w:rsid w:val="002903FE"/>
    <w:rsid w:val="00293B46"/>
    <w:rsid w:val="00297D5D"/>
    <w:rsid w:val="002A0D99"/>
    <w:rsid w:val="002A1745"/>
    <w:rsid w:val="002A1DE3"/>
    <w:rsid w:val="002B685B"/>
    <w:rsid w:val="002B783E"/>
    <w:rsid w:val="002C45A0"/>
    <w:rsid w:val="002D2D8F"/>
    <w:rsid w:val="002D4643"/>
    <w:rsid w:val="002E11E6"/>
    <w:rsid w:val="002E5278"/>
    <w:rsid w:val="002F175C"/>
    <w:rsid w:val="002F5FE4"/>
    <w:rsid w:val="002F77A4"/>
    <w:rsid w:val="002F7B50"/>
    <w:rsid w:val="002F7DE0"/>
    <w:rsid w:val="00302E18"/>
    <w:rsid w:val="00307E91"/>
    <w:rsid w:val="003179D0"/>
    <w:rsid w:val="003229D8"/>
    <w:rsid w:val="003235F7"/>
    <w:rsid w:val="00331AA8"/>
    <w:rsid w:val="00350591"/>
    <w:rsid w:val="00352709"/>
    <w:rsid w:val="00353E93"/>
    <w:rsid w:val="0035436C"/>
    <w:rsid w:val="00356A8D"/>
    <w:rsid w:val="00357098"/>
    <w:rsid w:val="003619B5"/>
    <w:rsid w:val="00361AC3"/>
    <w:rsid w:val="00364D33"/>
    <w:rsid w:val="00365763"/>
    <w:rsid w:val="00367CE7"/>
    <w:rsid w:val="00371178"/>
    <w:rsid w:val="00375503"/>
    <w:rsid w:val="0037657E"/>
    <w:rsid w:val="003768BD"/>
    <w:rsid w:val="003808F1"/>
    <w:rsid w:val="003864E8"/>
    <w:rsid w:val="00392E47"/>
    <w:rsid w:val="003A6810"/>
    <w:rsid w:val="003B521D"/>
    <w:rsid w:val="003B589F"/>
    <w:rsid w:val="003B5CE0"/>
    <w:rsid w:val="003C2CC4"/>
    <w:rsid w:val="003C534D"/>
    <w:rsid w:val="003D1360"/>
    <w:rsid w:val="003D49C0"/>
    <w:rsid w:val="003D4B23"/>
    <w:rsid w:val="003E130E"/>
    <w:rsid w:val="003E567A"/>
    <w:rsid w:val="003E57B9"/>
    <w:rsid w:val="003E6497"/>
    <w:rsid w:val="003F5419"/>
    <w:rsid w:val="004030C3"/>
    <w:rsid w:val="0040499D"/>
    <w:rsid w:val="004105D8"/>
    <w:rsid w:val="00410C89"/>
    <w:rsid w:val="004139CD"/>
    <w:rsid w:val="004206F9"/>
    <w:rsid w:val="00422E03"/>
    <w:rsid w:val="00426B9B"/>
    <w:rsid w:val="0042765A"/>
    <w:rsid w:val="00430C81"/>
    <w:rsid w:val="00431696"/>
    <w:rsid w:val="004325CB"/>
    <w:rsid w:val="004355B4"/>
    <w:rsid w:val="00435C0E"/>
    <w:rsid w:val="00437D2E"/>
    <w:rsid w:val="00442A83"/>
    <w:rsid w:val="00443A06"/>
    <w:rsid w:val="00445721"/>
    <w:rsid w:val="00445BE6"/>
    <w:rsid w:val="00452654"/>
    <w:rsid w:val="0045495B"/>
    <w:rsid w:val="00455100"/>
    <w:rsid w:val="004561E5"/>
    <w:rsid w:val="00466688"/>
    <w:rsid w:val="00471177"/>
    <w:rsid w:val="004752D9"/>
    <w:rsid w:val="00477F2D"/>
    <w:rsid w:val="0048397A"/>
    <w:rsid w:val="00485CBB"/>
    <w:rsid w:val="004866B7"/>
    <w:rsid w:val="004A0E8C"/>
    <w:rsid w:val="004A2337"/>
    <w:rsid w:val="004A3FE0"/>
    <w:rsid w:val="004A54C0"/>
    <w:rsid w:val="004C2461"/>
    <w:rsid w:val="004C6300"/>
    <w:rsid w:val="004C7462"/>
    <w:rsid w:val="004D15BF"/>
    <w:rsid w:val="004D1F54"/>
    <w:rsid w:val="004D3460"/>
    <w:rsid w:val="004E32F2"/>
    <w:rsid w:val="004E6657"/>
    <w:rsid w:val="004E77B2"/>
    <w:rsid w:val="004F2C10"/>
    <w:rsid w:val="00504B2D"/>
    <w:rsid w:val="0052136D"/>
    <w:rsid w:val="0052669A"/>
    <w:rsid w:val="0052775E"/>
    <w:rsid w:val="0054095E"/>
    <w:rsid w:val="005420F2"/>
    <w:rsid w:val="005457E2"/>
    <w:rsid w:val="005564B4"/>
    <w:rsid w:val="0056209A"/>
    <w:rsid w:val="005628B6"/>
    <w:rsid w:val="00567B72"/>
    <w:rsid w:val="00572C59"/>
    <w:rsid w:val="005941EC"/>
    <w:rsid w:val="0059724D"/>
    <w:rsid w:val="005976CF"/>
    <w:rsid w:val="005A08DB"/>
    <w:rsid w:val="005A1A03"/>
    <w:rsid w:val="005A3C84"/>
    <w:rsid w:val="005A47CF"/>
    <w:rsid w:val="005A56AB"/>
    <w:rsid w:val="005B1261"/>
    <w:rsid w:val="005B1F4D"/>
    <w:rsid w:val="005B320C"/>
    <w:rsid w:val="005B3458"/>
    <w:rsid w:val="005B3DB3"/>
    <w:rsid w:val="005B4E13"/>
    <w:rsid w:val="005B5AC4"/>
    <w:rsid w:val="005B6315"/>
    <w:rsid w:val="005C1A63"/>
    <w:rsid w:val="005C342F"/>
    <w:rsid w:val="005C5A44"/>
    <w:rsid w:val="005C7D1E"/>
    <w:rsid w:val="005D0150"/>
    <w:rsid w:val="005D3A0A"/>
    <w:rsid w:val="005D586C"/>
    <w:rsid w:val="005F0064"/>
    <w:rsid w:val="005F270D"/>
    <w:rsid w:val="005F2B8B"/>
    <w:rsid w:val="005F40F1"/>
    <w:rsid w:val="005F519C"/>
    <w:rsid w:val="005F5732"/>
    <w:rsid w:val="005F7B75"/>
    <w:rsid w:val="006001EE"/>
    <w:rsid w:val="006033AD"/>
    <w:rsid w:val="0060383B"/>
    <w:rsid w:val="00605042"/>
    <w:rsid w:val="00611F5F"/>
    <w:rsid w:val="00611FC4"/>
    <w:rsid w:val="00612CA8"/>
    <w:rsid w:val="00616C68"/>
    <w:rsid w:val="006176FB"/>
    <w:rsid w:val="00622851"/>
    <w:rsid w:val="00630C98"/>
    <w:rsid w:val="00632E77"/>
    <w:rsid w:val="00635656"/>
    <w:rsid w:val="00640B26"/>
    <w:rsid w:val="006420EF"/>
    <w:rsid w:val="0064493B"/>
    <w:rsid w:val="00645602"/>
    <w:rsid w:val="00650F17"/>
    <w:rsid w:val="00652D0A"/>
    <w:rsid w:val="006551FB"/>
    <w:rsid w:val="00662BB6"/>
    <w:rsid w:val="00671B51"/>
    <w:rsid w:val="0067362F"/>
    <w:rsid w:val="00674447"/>
    <w:rsid w:val="00674483"/>
    <w:rsid w:val="00674EE7"/>
    <w:rsid w:val="00676606"/>
    <w:rsid w:val="00684C21"/>
    <w:rsid w:val="00687C2B"/>
    <w:rsid w:val="00693BC8"/>
    <w:rsid w:val="00694A5C"/>
    <w:rsid w:val="0069742F"/>
    <w:rsid w:val="006A2530"/>
    <w:rsid w:val="006B2ADD"/>
    <w:rsid w:val="006C3589"/>
    <w:rsid w:val="006C36F6"/>
    <w:rsid w:val="006D05DA"/>
    <w:rsid w:val="006D37AF"/>
    <w:rsid w:val="006D3FB1"/>
    <w:rsid w:val="006D51D0"/>
    <w:rsid w:val="006D5FB9"/>
    <w:rsid w:val="006D658E"/>
    <w:rsid w:val="006E162E"/>
    <w:rsid w:val="006E564B"/>
    <w:rsid w:val="006E60C8"/>
    <w:rsid w:val="006E7191"/>
    <w:rsid w:val="006F257C"/>
    <w:rsid w:val="007028A7"/>
    <w:rsid w:val="00703577"/>
    <w:rsid w:val="00704BBF"/>
    <w:rsid w:val="00705894"/>
    <w:rsid w:val="00720C5F"/>
    <w:rsid w:val="007231CD"/>
    <w:rsid w:val="00723AB4"/>
    <w:rsid w:val="0072632A"/>
    <w:rsid w:val="007327D5"/>
    <w:rsid w:val="0073381A"/>
    <w:rsid w:val="0073579E"/>
    <w:rsid w:val="00736CAD"/>
    <w:rsid w:val="0075694E"/>
    <w:rsid w:val="007629C8"/>
    <w:rsid w:val="0077047D"/>
    <w:rsid w:val="0078485B"/>
    <w:rsid w:val="00790131"/>
    <w:rsid w:val="00791AD8"/>
    <w:rsid w:val="00795470"/>
    <w:rsid w:val="007A0EEE"/>
    <w:rsid w:val="007A4DB6"/>
    <w:rsid w:val="007A7681"/>
    <w:rsid w:val="007B61F1"/>
    <w:rsid w:val="007B6BA5"/>
    <w:rsid w:val="007C3390"/>
    <w:rsid w:val="007C4F4B"/>
    <w:rsid w:val="007D3191"/>
    <w:rsid w:val="007D4264"/>
    <w:rsid w:val="007D5637"/>
    <w:rsid w:val="007E01E9"/>
    <w:rsid w:val="007E08B2"/>
    <w:rsid w:val="007E56C1"/>
    <w:rsid w:val="007E63F3"/>
    <w:rsid w:val="007F1A51"/>
    <w:rsid w:val="007F233A"/>
    <w:rsid w:val="007F55EF"/>
    <w:rsid w:val="007F6611"/>
    <w:rsid w:val="00804874"/>
    <w:rsid w:val="00806233"/>
    <w:rsid w:val="008106A0"/>
    <w:rsid w:val="00811920"/>
    <w:rsid w:val="00815AD0"/>
    <w:rsid w:val="00815EDB"/>
    <w:rsid w:val="00817234"/>
    <w:rsid w:val="00821939"/>
    <w:rsid w:val="008228AB"/>
    <w:rsid w:val="00823D5B"/>
    <w:rsid w:val="008242D7"/>
    <w:rsid w:val="008243BA"/>
    <w:rsid w:val="008257B1"/>
    <w:rsid w:val="00832334"/>
    <w:rsid w:val="00834925"/>
    <w:rsid w:val="0084029C"/>
    <w:rsid w:val="00843767"/>
    <w:rsid w:val="0084637D"/>
    <w:rsid w:val="008551F1"/>
    <w:rsid w:val="00862723"/>
    <w:rsid w:val="00863492"/>
    <w:rsid w:val="008675CD"/>
    <w:rsid w:val="008679D9"/>
    <w:rsid w:val="00880A5C"/>
    <w:rsid w:val="008815B4"/>
    <w:rsid w:val="00886676"/>
    <w:rsid w:val="008867A8"/>
    <w:rsid w:val="00886BF3"/>
    <w:rsid w:val="008878DE"/>
    <w:rsid w:val="008979B1"/>
    <w:rsid w:val="008A0F37"/>
    <w:rsid w:val="008A1ED5"/>
    <w:rsid w:val="008A22CA"/>
    <w:rsid w:val="008A4940"/>
    <w:rsid w:val="008A6B25"/>
    <w:rsid w:val="008A6C4F"/>
    <w:rsid w:val="008B0961"/>
    <w:rsid w:val="008B2335"/>
    <w:rsid w:val="008B2E36"/>
    <w:rsid w:val="008B5182"/>
    <w:rsid w:val="008C5712"/>
    <w:rsid w:val="008C5A1F"/>
    <w:rsid w:val="008C7271"/>
    <w:rsid w:val="008D1686"/>
    <w:rsid w:val="008D2B6B"/>
    <w:rsid w:val="008D3DB3"/>
    <w:rsid w:val="008D64C6"/>
    <w:rsid w:val="008E0678"/>
    <w:rsid w:val="008E2FB1"/>
    <w:rsid w:val="008E3C3D"/>
    <w:rsid w:val="008F031C"/>
    <w:rsid w:val="008F31D2"/>
    <w:rsid w:val="008F3FE7"/>
    <w:rsid w:val="00903AE9"/>
    <w:rsid w:val="00913124"/>
    <w:rsid w:val="00915EF6"/>
    <w:rsid w:val="00921E99"/>
    <w:rsid w:val="009223CA"/>
    <w:rsid w:val="00923468"/>
    <w:rsid w:val="00940F93"/>
    <w:rsid w:val="009416BB"/>
    <w:rsid w:val="00941BEE"/>
    <w:rsid w:val="009448C3"/>
    <w:rsid w:val="00947728"/>
    <w:rsid w:val="0096003A"/>
    <w:rsid w:val="00965563"/>
    <w:rsid w:val="00972BF5"/>
    <w:rsid w:val="009760F3"/>
    <w:rsid w:val="00976CFB"/>
    <w:rsid w:val="00981D7A"/>
    <w:rsid w:val="0098366E"/>
    <w:rsid w:val="00984B20"/>
    <w:rsid w:val="00994525"/>
    <w:rsid w:val="00997153"/>
    <w:rsid w:val="009A0830"/>
    <w:rsid w:val="009A0E8D"/>
    <w:rsid w:val="009A4EA9"/>
    <w:rsid w:val="009B26E7"/>
    <w:rsid w:val="009B52AD"/>
    <w:rsid w:val="009B64BB"/>
    <w:rsid w:val="009C24DF"/>
    <w:rsid w:val="009C3D0D"/>
    <w:rsid w:val="009D2B6C"/>
    <w:rsid w:val="009E22D7"/>
    <w:rsid w:val="009E35E6"/>
    <w:rsid w:val="009F4444"/>
    <w:rsid w:val="009F4B0C"/>
    <w:rsid w:val="00A00697"/>
    <w:rsid w:val="00A00A3F"/>
    <w:rsid w:val="00A01489"/>
    <w:rsid w:val="00A04B0E"/>
    <w:rsid w:val="00A05F60"/>
    <w:rsid w:val="00A3026E"/>
    <w:rsid w:val="00A338F1"/>
    <w:rsid w:val="00A3413C"/>
    <w:rsid w:val="00A35BE0"/>
    <w:rsid w:val="00A37DE9"/>
    <w:rsid w:val="00A45F2F"/>
    <w:rsid w:val="00A55B29"/>
    <w:rsid w:val="00A55E99"/>
    <w:rsid w:val="00A568E3"/>
    <w:rsid w:val="00A57197"/>
    <w:rsid w:val="00A57548"/>
    <w:rsid w:val="00A57945"/>
    <w:rsid w:val="00A6129C"/>
    <w:rsid w:val="00A64D52"/>
    <w:rsid w:val="00A72F22"/>
    <w:rsid w:val="00A7360F"/>
    <w:rsid w:val="00A748A6"/>
    <w:rsid w:val="00A757CE"/>
    <w:rsid w:val="00A769F4"/>
    <w:rsid w:val="00A776B4"/>
    <w:rsid w:val="00A824CD"/>
    <w:rsid w:val="00A84588"/>
    <w:rsid w:val="00A90F3E"/>
    <w:rsid w:val="00A91104"/>
    <w:rsid w:val="00A924B5"/>
    <w:rsid w:val="00A938AA"/>
    <w:rsid w:val="00A94361"/>
    <w:rsid w:val="00A94971"/>
    <w:rsid w:val="00A94F21"/>
    <w:rsid w:val="00A95485"/>
    <w:rsid w:val="00AA293C"/>
    <w:rsid w:val="00AA7D6A"/>
    <w:rsid w:val="00AB2DB4"/>
    <w:rsid w:val="00AB4F11"/>
    <w:rsid w:val="00AC05B6"/>
    <w:rsid w:val="00AD6627"/>
    <w:rsid w:val="00AD742E"/>
    <w:rsid w:val="00AF2E38"/>
    <w:rsid w:val="00AF2F08"/>
    <w:rsid w:val="00B12C04"/>
    <w:rsid w:val="00B2075D"/>
    <w:rsid w:val="00B30179"/>
    <w:rsid w:val="00B311E0"/>
    <w:rsid w:val="00B330B3"/>
    <w:rsid w:val="00B34E9F"/>
    <w:rsid w:val="00B3533C"/>
    <w:rsid w:val="00B37687"/>
    <w:rsid w:val="00B421C1"/>
    <w:rsid w:val="00B462A6"/>
    <w:rsid w:val="00B46380"/>
    <w:rsid w:val="00B53C21"/>
    <w:rsid w:val="00B54CB5"/>
    <w:rsid w:val="00B55C71"/>
    <w:rsid w:val="00B56E4A"/>
    <w:rsid w:val="00B56E9C"/>
    <w:rsid w:val="00B64B1F"/>
    <w:rsid w:val="00B6553F"/>
    <w:rsid w:val="00B754BC"/>
    <w:rsid w:val="00B77D05"/>
    <w:rsid w:val="00B81206"/>
    <w:rsid w:val="00B81DBC"/>
    <w:rsid w:val="00B81E12"/>
    <w:rsid w:val="00B8560E"/>
    <w:rsid w:val="00B87E71"/>
    <w:rsid w:val="00B9073D"/>
    <w:rsid w:val="00B96F4D"/>
    <w:rsid w:val="00B976B6"/>
    <w:rsid w:val="00BA30F7"/>
    <w:rsid w:val="00BA3E9C"/>
    <w:rsid w:val="00BA431D"/>
    <w:rsid w:val="00BB70F1"/>
    <w:rsid w:val="00BB7360"/>
    <w:rsid w:val="00BB762C"/>
    <w:rsid w:val="00BC0C86"/>
    <w:rsid w:val="00BC3A06"/>
    <w:rsid w:val="00BC3FA0"/>
    <w:rsid w:val="00BC74E9"/>
    <w:rsid w:val="00BD68B6"/>
    <w:rsid w:val="00BE52B8"/>
    <w:rsid w:val="00BF3467"/>
    <w:rsid w:val="00BF68A8"/>
    <w:rsid w:val="00C01D68"/>
    <w:rsid w:val="00C0237C"/>
    <w:rsid w:val="00C04B9B"/>
    <w:rsid w:val="00C11A03"/>
    <w:rsid w:val="00C17CB6"/>
    <w:rsid w:val="00C22C0C"/>
    <w:rsid w:val="00C22D46"/>
    <w:rsid w:val="00C25FA1"/>
    <w:rsid w:val="00C268B1"/>
    <w:rsid w:val="00C40E81"/>
    <w:rsid w:val="00C44A4B"/>
    <w:rsid w:val="00C4527F"/>
    <w:rsid w:val="00C45772"/>
    <w:rsid w:val="00C463DD"/>
    <w:rsid w:val="00C4724C"/>
    <w:rsid w:val="00C5267F"/>
    <w:rsid w:val="00C53BA0"/>
    <w:rsid w:val="00C629A0"/>
    <w:rsid w:val="00C6361E"/>
    <w:rsid w:val="00C644F4"/>
    <w:rsid w:val="00C64629"/>
    <w:rsid w:val="00C6729C"/>
    <w:rsid w:val="00C707D6"/>
    <w:rsid w:val="00C745C3"/>
    <w:rsid w:val="00C768DF"/>
    <w:rsid w:val="00C85DAB"/>
    <w:rsid w:val="00C96575"/>
    <w:rsid w:val="00C96DF2"/>
    <w:rsid w:val="00CB3E03"/>
    <w:rsid w:val="00CB5110"/>
    <w:rsid w:val="00CC24F7"/>
    <w:rsid w:val="00CC3436"/>
    <w:rsid w:val="00CC5E3B"/>
    <w:rsid w:val="00CD4AA6"/>
    <w:rsid w:val="00CE4096"/>
    <w:rsid w:val="00CE4A8F"/>
    <w:rsid w:val="00CE5A9D"/>
    <w:rsid w:val="00CF2136"/>
    <w:rsid w:val="00D06ABC"/>
    <w:rsid w:val="00D14F2C"/>
    <w:rsid w:val="00D15A18"/>
    <w:rsid w:val="00D15CEF"/>
    <w:rsid w:val="00D16128"/>
    <w:rsid w:val="00D2031B"/>
    <w:rsid w:val="00D21B33"/>
    <w:rsid w:val="00D248B6"/>
    <w:rsid w:val="00D25FE2"/>
    <w:rsid w:val="00D26E07"/>
    <w:rsid w:val="00D31778"/>
    <w:rsid w:val="00D3279E"/>
    <w:rsid w:val="00D4268D"/>
    <w:rsid w:val="00D43252"/>
    <w:rsid w:val="00D43915"/>
    <w:rsid w:val="00D47EEA"/>
    <w:rsid w:val="00D50B46"/>
    <w:rsid w:val="00D51F05"/>
    <w:rsid w:val="00D550BF"/>
    <w:rsid w:val="00D61DA7"/>
    <w:rsid w:val="00D756C4"/>
    <w:rsid w:val="00D773DF"/>
    <w:rsid w:val="00D82710"/>
    <w:rsid w:val="00D95303"/>
    <w:rsid w:val="00D95A43"/>
    <w:rsid w:val="00D966B4"/>
    <w:rsid w:val="00D96A21"/>
    <w:rsid w:val="00D978C6"/>
    <w:rsid w:val="00DA3C1C"/>
    <w:rsid w:val="00DB0136"/>
    <w:rsid w:val="00DB213C"/>
    <w:rsid w:val="00DB3352"/>
    <w:rsid w:val="00DB7679"/>
    <w:rsid w:val="00DC6D39"/>
    <w:rsid w:val="00DD35BA"/>
    <w:rsid w:val="00DD386B"/>
    <w:rsid w:val="00DD3AFD"/>
    <w:rsid w:val="00DD7E86"/>
    <w:rsid w:val="00DE270D"/>
    <w:rsid w:val="00DE3CD4"/>
    <w:rsid w:val="00DE7F03"/>
    <w:rsid w:val="00DF05B1"/>
    <w:rsid w:val="00DF401B"/>
    <w:rsid w:val="00DF575D"/>
    <w:rsid w:val="00E046DF"/>
    <w:rsid w:val="00E06E92"/>
    <w:rsid w:val="00E10704"/>
    <w:rsid w:val="00E10A95"/>
    <w:rsid w:val="00E1672C"/>
    <w:rsid w:val="00E22B0C"/>
    <w:rsid w:val="00E27346"/>
    <w:rsid w:val="00E276D9"/>
    <w:rsid w:val="00E34A2B"/>
    <w:rsid w:val="00E3574C"/>
    <w:rsid w:val="00E36574"/>
    <w:rsid w:val="00E377A5"/>
    <w:rsid w:val="00E40A45"/>
    <w:rsid w:val="00E46CAA"/>
    <w:rsid w:val="00E50653"/>
    <w:rsid w:val="00E5245C"/>
    <w:rsid w:val="00E560CA"/>
    <w:rsid w:val="00E71BC8"/>
    <w:rsid w:val="00E7260F"/>
    <w:rsid w:val="00E73F5D"/>
    <w:rsid w:val="00E77E4E"/>
    <w:rsid w:val="00E91489"/>
    <w:rsid w:val="00E96630"/>
    <w:rsid w:val="00EA2A77"/>
    <w:rsid w:val="00EB0D62"/>
    <w:rsid w:val="00EC13EA"/>
    <w:rsid w:val="00EC3122"/>
    <w:rsid w:val="00ED569B"/>
    <w:rsid w:val="00ED6217"/>
    <w:rsid w:val="00ED7A2A"/>
    <w:rsid w:val="00EF1D7F"/>
    <w:rsid w:val="00EF3340"/>
    <w:rsid w:val="00EF371B"/>
    <w:rsid w:val="00F03D3A"/>
    <w:rsid w:val="00F128FB"/>
    <w:rsid w:val="00F143A1"/>
    <w:rsid w:val="00F1657D"/>
    <w:rsid w:val="00F227CF"/>
    <w:rsid w:val="00F2408D"/>
    <w:rsid w:val="00F30048"/>
    <w:rsid w:val="00F31E5F"/>
    <w:rsid w:val="00F323E3"/>
    <w:rsid w:val="00F54131"/>
    <w:rsid w:val="00F5554F"/>
    <w:rsid w:val="00F60463"/>
    <w:rsid w:val="00F6100A"/>
    <w:rsid w:val="00F661AD"/>
    <w:rsid w:val="00F72D39"/>
    <w:rsid w:val="00F778B3"/>
    <w:rsid w:val="00F77B87"/>
    <w:rsid w:val="00F90EE8"/>
    <w:rsid w:val="00F93781"/>
    <w:rsid w:val="00F9637E"/>
    <w:rsid w:val="00FA0E43"/>
    <w:rsid w:val="00FB58D5"/>
    <w:rsid w:val="00FB613B"/>
    <w:rsid w:val="00FC68B7"/>
    <w:rsid w:val="00FD3F98"/>
    <w:rsid w:val="00FE106A"/>
    <w:rsid w:val="00FE2048"/>
    <w:rsid w:val="00FE226E"/>
    <w:rsid w:val="00FE7450"/>
    <w:rsid w:val="00FF145D"/>
    <w:rsid w:val="00FF4187"/>
    <w:rsid w:val="00FF65A0"/>
    <w:rsid w:val="00FF6E8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D61DA7"/>
    <w:rPr>
      <w:rFonts w:cs="Courier New"/>
    </w:rPr>
  </w:style>
  <w:style w:type="paragraph" w:styleId="BodyText">
    <w:name w:val="Body Text"/>
    <w:basedOn w:val="Normal"/>
    <w:next w:val="Normal"/>
    <w:semiHidden/>
    <w:rsid w:val="00D61DA7"/>
  </w:style>
  <w:style w:type="paragraph" w:styleId="BodyTextIndent">
    <w:name w:val="Body Text Indent"/>
    <w:basedOn w:val="Normal"/>
    <w:semiHidden/>
    <w:rsid w:val="00D61DA7"/>
    <w:pPr>
      <w:spacing w:after="120"/>
      <w:ind w:left="283"/>
    </w:pPr>
  </w:style>
  <w:style w:type="paragraph" w:styleId="BlockText">
    <w:name w:val="Block Text"/>
    <w:basedOn w:val="Normal"/>
    <w:semiHidden/>
    <w:rsid w:val="00D61DA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D61DA7"/>
    <w:rPr>
      <w:sz w:val="6"/>
    </w:rPr>
  </w:style>
  <w:style w:type="paragraph" w:styleId="CommentText">
    <w:name w:val="annotation text"/>
    <w:basedOn w:val="Normal"/>
    <w:semiHidden/>
    <w:rsid w:val="00D61DA7"/>
  </w:style>
  <w:style w:type="character" w:styleId="LineNumber">
    <w:name w:val="line number"/>
    <w:semiHidden/>
    <w:rsid w:val="00D61DA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semiHidden/>
    <w:rsid w:val="004D3460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22851"/>
    <w:rPr>
      <w:b/>
      <w:bCs/>
    </w:rPr>
  </w:style>
  <w:style w:type="paragraph" w:styleId="BalloonText">
    <w:name w:val="Balloon Text"/>
    <w:basedOn w:val="Normal"/>
    <w:semiHidden/>
    <w:rsid w:val="00622851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uiPriority w:val="99"/>
    <w:rsid w:val="004206F9"/>
    <w:rPr>
      <w:b/>
      <w:sz w:val="18"/>
      <w:lang w:val="en-GB" w:eastAsia="en-US" w:bidi="ar-SA"/>
    </w:rPr>
  </w:style>
  <w:style w:type="character" w:customStyle="1" w:styleId="WW-">
    <w:name w:val="WW-Основной шрифт абзаца"/>
    <w:rsid w:val="00C707D6"/>
  </w:style>
  <w:style w:type="paragraph" w:customStyle="1" w:styleId="Textbody">
    <w:name w:val="Text body"/>
    <w:basedOn w:val="Normal"/>
    <w:rsid w:val="00B311E0"/>
    <w:pPr>
      <w:widowControl w:val="0"/>
      <w:autoSpaceDN w:val="0"/>
      <w:spacing w:after="120" w:line="240" w:lineRule="auto"/>
      <w:textAlignment w:val="baseline"/>
    </w:pPr>
    <w:rPr>
      <w:rFonts w:eastAsia="SimSun" w:cs="Tahoma"/>
      <w:kern w:val="3"/>
      <w:sz w:val="24"/>
      <w:szCs w:val="24"/>
      <w:lang w:val="sv-SE" w:eastAsia="zh-CN" w:bidi="hi-IN"/>
    </w:rPr>
  </w:style>
  <w:style w:type="character" w:customStyle="1" w:styleId="ng-binding">
    <w:name w:val="ng-binding"/>
    <w:rsid w:val="008E3C3D"/>
    <w:rPr>
      <w:sz w:val="24"/>
      <w:szCs w:val="24"/>
      <w:bdr w:val="none" w:sz="0" w:space="0" w:color="auto" w:frame="1"/>
      <w:vertAlign w:val="baseline"/>
    </w:rPr>
  </w:style>
  <w:style w:type="paragraph" w:customStyle="1" w:styleId="FlieText">
    <w:name w:val="FließText"/>
    <w:basedOn w:val="Normal"/>
    <w:link w:val="FlieTextZchn"/>
    <w:uiPriority w:val="99"/>
    <w:rsid w:val="000231C4"/>
    <w:pPr>
      <w:suppressAutoHyphens w:val="0"/>
      <w:spacing w:line="240" w:lineRule="auto"/>
      <w:ind w:left="851"/>
    </w:pPr>
    <w:rPr>
      <w:rFonts w:ascii="Arial" w:hAnsi="Arial" w:cs="Arial"/>
      <w:sz w:val="22"/>
      <w:szCs w:val="22"/>
      <w:lang w:val="de-DE" w:eastAsia="de-DE"/>
    </w:rPr>
  </w:style>
  <w:style w:type="character" w:customStyle="1" w:styleId="FlieTextZchn">
    <w:name w:val="FließText Zchn"/>
    <w:basedOn w:val="DefaultParagraphFont"/>
    <w:link w:val="FlieText"/>
    <w:uiPriority w:val="99"/>
    <w:locked/>
    <w:rsid w:val="000231C4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231C4"/>
    <w:pPr>
      <w:suppressAutoHyphens w:val="0"/>
      <w:spacing w:line="240" w:lineRule="auto"/>
      <w:ind w:left="720"/>
      <w:contextualSpacing/>
    </w:pPr>
    <w:rPr>
      <w:rFonts w:ascii="Arial" w:hAnsi="Arial" w:cs="Arial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D61DA7"/>
    <w:rPr>
      <w:rFonts w:cs="Courier New"/>
    </w:rPr>
  </w:style>
  <w:style w:type="paragraph" w:styleId="BodyText">
    <w:name w:val="Body Text"/>
    <w:basedOn w:val="Normal"/>
    <w:next w:val="Normal"/>
    <w:semiHidden/>
    <w:rsid w:val="00D61DA7"/>
  </w:style>
  <w:style w:type="paragraph" w:styleId="BodyTextIndent">
    <w:name w:val="Body Text Indent"/>
    <w:basedOn w:val="Normal"/>
    <w:semiHidden/>
    <w:rsid w:val="00D61DA7"/>
    <w:pPr>
      <w:spacing w:after="120"/>
      <w:ind w:left="283"/>
    </w:pPr>
  </w:style>
  <w:style w:type="paragraph" w:styleId="BlockText">
    <w:name w:val="Block Text"/>
    <w:basedOn w:val="Normal"/>
    <w:semiHidden/>
    <w:rsid w:val="00D61DA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D61DA7"/>
    <w:rPr>
      <w:sz w:val="6"/>
    </w:rPr>
  </w:style>
  <w:style w:type="paragraph" w:styleId="CommentText">
    <w:name w:val="annotation text"/>
    <w:basedOn w:val="Normal"/>
    <w:semiHidden/>
    <w:rsid w:val="00D61DA7"/>
  </w:style>
  <w:style w:type="character" w:styleId="LineNumber">
    <w:name w:val="line number"/>
    <w:semiHidden/>
    <w:rsid w:val="00D61DA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semiHidden/>
    <w:rsid w:val="004D3460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22851"/>
    <w:rPr>
      <w:b/>
      <w:bCs/>
    </w:rPr>
  </w:style>
  <w:style w:type="paragraph" w:styleId="BalloonText">
    <w:name w:val="Balloon Text"/>
    <w:basedOn w:val="Normal"/>
    <w:semiHidden/>
    <w:rsid w:val="00622851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uiPriority w:val="99"/>
    <w:rsid w:val="004206F9"/>
    <w:rPr>
      <w:b/>
      <w:sz w:val="18"/>
      <w:lang w:val="en-GB" w:eastAsia="en-US" w:bidi="ar-SA"/>
    </w:rPr>
  </w:style>
  <w:style w:type="character" w:customStyle="1" w:styleId="WW-">
    <w:name w:val="WW-Основной шрифт абзаца"/>
    <w:rsid w:val="00C707D6"/>
  </w:style>
  <w:style w:type="paragraph" w:customStyle="1" w:styleId="Textbody">
    <w:name w:val="Text body"/>
    <w:basedOn w:val="Normal"/>
    <w:rsid w:val="00B311E0"/>
    <w:pPr>
      <w:widowControl w:val="0"/>
      <w:autoSpaceDN w:val="0"/>
      <w:spacing w:after="120" w:line="240" w:lineRule="auto"/>
      <w:textAlignment w:val="baseline"/>
    </w:pPr>
    <w:rPr>
      <w:rFonts w:eastAsia="SimSun" w:cs="Tahoma"/>
      <w:kern w:val="3"/>
      <w:sz w:val="24"/>
      <w:szCs w:val="24"/>
      <w:lang w:val="sv-SE" w:eastAsia="zh-CN" w:bidi="hi-IN"/>
    </w:rPr>
  </w:style>
  <w:style w:type="character" w:customStyle="1" w:styleId="ng-binding">
    <w:name w:val="ng-binding"/>
    <w:rsid w:val="008E3C3D"/>
    <w:rPr>
      <w:sz w:val="24"/>
      <w:szCs w:val="24"/>
      <w:bdr w:val="none" w:sz="0" w:space="0" w:color="auto" w:frame="1"/>
      <w:vertAlign w:val="baseline"/>
    </w:rPr>
  </w:style>
  <w:style w:type="paragraph" w:customStyle="1" w:styleId="FlieText">
    <w:name w:val="FließText"/>
    <w:basedOn w:val="Normal"/>
    <w:link w:val="FlieTextZchn"/>
    <w:uiPriority w:val="99"/>
    <w:rsid w:val="000231C4"/>
    <w:pPr>
      <w:suppressAutoHyphens w:val="0"/>
      <w:spacing w:line="240" w:lineRule="auto"/>
      <w:ind w:left="851"/>
    </w:pPr>
    <w:rPr>
      <w:rFonts w:ascii="Arial" w:hAnsi="Arial" w:cs="Arial"/>
      <w:sz w:val="22"/>
      <w:szCs w:val="22"/>
      <w:lang w:val="de-DE" w:eastAsia="de-DE"/>
    </w:rPr>
  </w:style>
  <w:style w:type="character" w:customStyle="1" w:styleId="FlieTextZchn">
    <w:name w:val="FließText Zchn"/>
    <w:basedOn w:val="DefaultParagraphFont"/>
    <w:link w:val="FlieText"/>
    <w:uiPriority w:val="99"/>
    <w:locked/>
    <w:rsid w:val="000231C4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231C4"/>
    <w:pPr>
      <w:suppressAutoHyphens w:val="0"/>
      <w:spacing w:line="240" w:lineRule="auto"/>
      <w:ind w:left="720"/>
      <w:contextualSpacing/>
    </w:pPr>
    <w:rPr>
      <w:rFonts w:ascii="Arial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dependent_bod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Transmitted by the representatives of OICA and IMMA</vt:lpstr>
      <vt:lpstr>Transmitted by the representatives of OICA and IMMA</vt:lpstr>
    </vt:vector>
  </TitlesOfParts>
  <LinksUpToDate>false</LinksUpToDate>
  <CharactersWithSpaces>5029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https://en.wikipedia.org/wiki/Independent_body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Transmitted by the representatives of OICA and IMMA</dc:title>
  <dc:creator/>
  <cp:lastModifiedBy/>
  <cp:revision>1</cp:revision>
  <cp:lastPrinted>2010-12-23T15:06:00Z</cp:lastPrinted>
  <dcterms:created xsi:type="dcterms:W3CDTF">2016-01-08T11:06:00Z</dcterms:created>
  <dcterms:modified xsi:type="dcterms:W3CDTF">2016-01-08T11:06:00Z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