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A6690">
              <w:fldChar w:fldCharType="begin"/>
            </w:r>
            <w:r w:rsidR="007A6690">
              <w:instrText xml:space="preserve"> FILLIN  "Введите символ после ЕCE/"  \* MERGEFORMAT </w:instrText>
            </w:r>
            <w:r w:rsidR="007A6690">
              <w:fldChar w:fldCharType="separate"/>
            </w:r>
            <w:r w:rsidR="00AB54E8">
              <w:t>TRANS/WP.29/GRRF/2016/32</w:t>
            </w:r>
            <w:r w:rsidR="007A6690">
              <w:fldChar w:fldCharType="end"/>
            </w:r>
            <w:r w:rsidR="00AB54E8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A669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B54E8">
                <w:t>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A669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54E8" w:rsidRPr="00AB54E8" w:rsidRDefault="00AB54E8" w:rsidP="00AB54E8">
      <w:pPr>
        <w:spacing w:before="120" w:after="120" w:line="240" w:lineRule="auto"/>
        <w:rPr>
          <w:sz w:val="28"/>
          <w:szCs w:val="28"/>
        </w:rPr>
      </w:pPr>
      <w:r w:rsidRPr="00AB54E8">
        <w:rPr>
          <w:sz w:val="28"/>
          <w:szCs w:val="28"/>
        </w:rPr>
        <w:t>Комитет по внутреннему транспорту</w:t>
      </w:r>
    </w:p>
    <w:p w:rsidR="00AB54E8" w:rsidRPr="00AB54E8" w:rsidRDefault="00AB54E8" w:rsidP="00AB54E8">
      <w:pPr>
        <w:spacing w:before="120" w:after="120" w:line="240" w:lineRule="auto"/>
        <w:rPr>
          <w:b/>
          <w:bCs/>
          <w:sz w:val="24"/>
          <w:szCs w:val="24"/>
        </w:rPr>
      </w:pPr>
      <w:r w:rsidRPr="00AB54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B54E8">
        <w:rPr>
          <w:b/>
          <w:bCs/>
          <w:sz w:val="24"/>
          <w:szCs w:val="24"/>
        </w:rPr>
        <w:br/>
        <w:t>в области транспортных средств</w:t>
      </w:r>
    </w:p>
    <w:p w:rsidR="00AB54E8" w:rsidRPr="00AB54E8" w:rsidRDefault="00AB54E8" w:rsidP="00041025">
      <w:pPr>
        <w:spacing w:before="120" w:after="120" w:line="240" w:lineRule="auto"/>
        <w:rPr>
          <w:b/>
          <w:bCs/>
        </w:rPr>
      </w:pPr>
      <w:r w:rsidRPr="00AB54E8">
        <w:rPr>
          <w:b/>
          <w:bCs/>
        </w:rPr>
        <w:t xml:space="preserve">Рабочая группа по вопросам торможения </w:t>
      </w:r>
      <w:r w:rsidR="00041025" w:rsidRPr="00041025">
        <w:rPr>
          <w:b/>
          <w:bCs/>
        </w:rPr>
        <w:br/>
      </w:r>
      <w:r w:rsidRPr="00AB54E8">
        <w:rPr>
          <w:b/>
          <w:bCs/>
        </w:rPr>
        <w:t>и ходовой части</w:t>
      </w:r>
    </w:p>
    <w:p w:rsidR="00AB54E8" w:rsidRPr="00AB54E8" w:rsidRDefault="00AB54E8" w:rsidP="00AB54E8">
      <w:pPr>
        <w:spacing w:line="240" w:lineRule="auto"/>
        <w:rPr>
          <w:b/>
        </w:rPr>
      </w:pPr>
      <w:r w:rsidRPr="00AB54E8">
        <w:rPr>
          <w:b/>
          <w:bCs/>
        </w:rPr>
        <w:t>Восемьдесят вторая сессия</w:t>
      </w:r>
    </w:p>
    <w:p w:rsidR="00AB54E8" w:rsidRPr="00AB54E8" w:rsidRDefault="00AB54E8" w:rsidP="00AB54E8">
      <w:pPr>
        <w:spacing w:line="240" w:lineRule="auto"/>
      </w:pPr>
      <w:r w:rsidRPr="00AB54E8">
        <w:t>Женева, 20−23 сентября 2016 года</w:t>
      </w:r>
    </w:p>
    <w:p w:rsidR="00AB54E8" w:rsidRPr="00AB54E8" w:rsidRDefault="00AB54E8" w:rsidP="00AB54E8">
      <w:pPr>
        <w:spacing w:line="240" w:lineRule="auto"/>
      </w:pPr>
      <w:r w:rsidRPr="00AB54E8">
        <w:t>Пункт 4 предварительной повестки дня</w:t>
      </w:r>
    </w:p>
    <w:p w:rsidR="00A658DB" w:rsidRPr="00AB54E8" w:rsidRDefault="00AB54E8" w:rsidP="00AB54E8">
      <w:pPr>
        <w:spacing w:line="240" w:lineRule="auto"/>
      </w:pPr>
      <w:r w:rsidRPr="00AB54E8">
        <w:rPr>
          <w:b/>
        </w:rPr>
        <w:t>Правила № 55</w:t>
      </w:r>
    </w:p>
    <w:p w:rsidR="00AB54E8" w:rsidRPr="00AB54E8" w:rsidRDefault="00AB54E8" w:rsidP="00AB54E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B54E8">
        <w:t>Предложение по поправкам к Правилам № 55</w:t>
      </w:r>
      <w:r w:rsidRPr="00AB54E8">
        <w:br/>
        <w:t>(механические сцепные устройства)</w:t>
      </w:r>
    </w:p>
    <w:p w:rsidR="00AB54E8" w:rsidRPr="00AB54E8" w:rsidRDefault="00AB54E8" w:rsidP="00AB54E8">
      <w:pPr>
        <w:pStyle w:val="H1GR"/>
        <w:rPr>
          <w:vertAlign w:val="superscript"/>
        </w:rPr>
      </w:pPr>
      <w:r w:rsidRPr="00AB54E8">
        <w:tab/>
      </w:r>
      <w:r w:rsidRPr="00AB54E8">
        <w:tab/>
        <w:t>Представлено экспертом от Польши</w:t>
      </w:r>
      <w:r w:rsidRPr="00AB54E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B54E8" w:rsidRDefault="00AB54E8" w:rsidP="00AB54E8">
      <w:pPr>
        <w:pStyle w:val="SingleTxtGR"/>
        <w:rPr>
          <w:lang w:val="en-US"/>
        </w:rPr>
      </w:pPr>
      <w:r w:rsidRPr="00AB54E8">
        <w:tab/>
        <w:t>Воспроизведенный ниже текст был подготовлен экспертом от Польши и имеет целью включение в Правила поправки, вводящей в действие новое огр</w:t>
      </w:r>
      <w:r w:rsidRPr="00AB54E8">
        <w:t>а</w:t>
      </w:r>
      <w:r w:rsidRPr="00AB54E8">
        <w:t>ничение, предусматривающее предоставление официального утверждения типа компонента механических сцепных устройств, предназначенных для тран</w:t>
      </w:r>
      <w:r w:rsidRPr="00AB54E8">
        <w:t>с</w:t>
      </w:r>
      <w:r w:rsidRPr="00AB54E8">
        <w:t>портных средств категории М</w:t>
      </w:r>
      <w:r w:rsidRPr="00AB54E8">
        <w:rPr>
          <w:vertAlign w:val="subscript"/>
        </w:rPr>
        <w:t>1</w:t>
      </w:r>
      <w:r w:rsidRPr="00AB54E8">
        <w:t>, только в том случае, если они предназначены для буксировки прицепов. Изменения к нынешнему тексту Правил № 55 выд</w:t>
      </w:r>
      <w:r w:rsidRPr="00AB54E8">
        <w:t>е</w:t>
      </w:r>
      <w:r w:rsidRPr="00AB54E8">
        <w:t>лены жирным шрифтом.</w:t>
      </w:r>
    </w:p>
    <w:p w:rsidR="00AB54E8" w:rsidRDefault="00AB54E8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AB54E8" w:rsidRDefault="00AB54E8" w:rsidP="00AB54E8">
      <w:pPr>
        <w:pStyle w:val="HChGR"/>
      </w:pPr>
      <w:r>
        <w:rPr>
          <w:lang w:val="en-GB"/>
        </w:rPr>
        <w:lastRenderedPageBreak/>
        <w:tab/>
      </w:r>
      <w:r w:rsidRPr="00AB54E8">
        <w:rPr>
          <w:lang w:val="en-GB"/>
        </w:rPr>
        <w:t>I</w:t>
      </w:r>
      <w:r w:rsidRPr="00AB54E8">
        <w:t>.</w:t>
      </w:r>
      <w:r w:rsidRPr="00AB54E8">
        <w:tab/>
        <w:t>Предложение</w:t>
      </w:r>
    </w:p>
    <w:p w:rsidR="00AB54E8" w:rsidRPr="00AB54E8" w:rsidRDefault="00AB54E8" w:rsidP="00AB54E8">
      <w:pPr>
        <w:pStyle w:val="SingleTxtGR"/>
      </w:pPr>
      <w:r w:rsidRPr="006C2A4D">
        <w:rPr>
          <w:i/>
        </w:rPr>
        <w:t>Включить новый пункт 8.2</w:t>
      </w:r>
      <w:r w:rsidRPr="00AB54E8">
        <w:rPr>
          <w:iCs/>
        </w:rPr>
        <w:t xml:space="preserve"> следующего содержания</w:t>
      </w:r>
      <w:r w:rsidRPr="00AB54E8">
        <w:t>:</w:t>
      </w:r>
    </w:p>
    <w:p w:rsidR="00AB54E8" w:rsidRPr="00AB54E8" w:rsidRDefault="00AB54E8" w:rsidP="006C2A4D">
      <w:pPr>
        <w:pStyle w:val="SingleTxtGR"/>
        <w:ind w:left="2268" w:hanging="1134"/>
      </w:pPr>
      <w:r w:rsidRPr="00AB54E8">
        <w:t>«</w:t>
      </w:r>
      <w:r w:rsidRPr="006C2A4D">
        <w:rPr>
          <w:b/>
        </w:rPr>
        <w:t>8.2</w:t>
      </w:r>
      <w:r w:rsidRPr="006C2A4D">
        <w:rPr>
          <w:b/>
        </w:rPr>
        <w:tab/>
      </w:r>
      <w:r w:rsidRPr="006C2A4D">
        <w:rPr>
          <w:b/>
        </w:rPr>
        <w:tab/>
        <w:t>До выдачи официального утверждения типа компонента мех</w:t>
      </w:r>
      <w:r w:rsidRPr="006C2A4D">
        <w:rPr>
          <w:b/>
        </w:rPr>
        <w:t>а</w:t>
      </w:r>
      <w:r w:rsidRPr="006C2A4D">
        <w:rPr>
          <w:b/>
        </w:rPr>
        <w:t>нических сцепных устройств, предназначенных для определе</w:t>
      </w:r>
      <w:r w:rsidRPr="006C2A4D">
        <w:rPr>
          <w:b/>
        </w:rPr>
        <w:t>н</w:t>
      </w:r>
      <w:r w:rsidRPr="006C2A4D">
        <w:rPr>
          <w:b/>
        </w:rPr>
        <w:t>ного типа транспортного средства категории М</w:t>
      </w:r>
      <w:r w:rsidRPr="006C2A4D">
        <w:rPr>
          <w:b/>
          <w:vertAlign w:val="subscript"/>
        </w:rPr>
        <w:t>1</w:t>
      </w:r>
      <w:r w:rsidRPr="006C2A4D">
        <w:rPr>
          <w:b/>
        </w:rPr>
        <w:t>, орган по оф</w:t>
      </w:r>
      <w:r w:rsidRPr="006C2A4D">
        <w:rPr>
          <w:b/>
        </w:rPr>
        <w:t>и</w:t>
      </w:r>
      <w:r w:rsidRPr="006C2A4D">
        <w:rPr>
          <w:b/>
        </w:rPr>
        <w:t>циальному утверждению выясняет, предназначен ли данный конкретный тип транспортного средства для буксировки пр</w:t>
      </w:r>
      <w:r w:rsidRPr="006C2A4D">
        <w:rPr>
          <w:b/>
        </w:rPr>
        <w:t>и</w:t>
      </w:r>
      <w:r w:rsidRPr="006C2A4D">
        <w:rPr>
          <w:b/>
        </w:rPr>
        <w:t>цепа, путем проверки документации об официальном утве</w:t>
      </w:r>
      <w:r w:rsidRPr="006C2A4D">
        <w:rPr>
          <w:b/>
        </w:rPr>
        <w:t>р</w:t>
      </w:r>
      <w:r w:rsidRPr="006C2A4D">
        <w:rPr>
          <w:b/>
        </w:rPr>
        <w:t>ждении типа транспортного средства с целью установить, с</w:t>
      </w:r>
      <w:r w:rsidRPr="006C2A4D">
        <w:rPr>
          <w:b/>
        </w:rPr>
        <w:t>о</w:t>
      </w:r>
      <w:r w:rsidRPr="006C2A4D">
        <w:rPr>
          <w:b/>
        </w:rPr>
        <w:t>ставляет ли максимально допустимая статическая вертикал</w:t>
      </w:r>
      <w:r w:rsidRPr="006C2A4D">
        <w:rPr>
          <w:b/>
        </w:rPr>
        <w:t>ь</w:t>
      </w:r>
      <w:r w:rsidRPr="006C2A4D">
        <w:rPr>
          <w:b/>
        </w:rPr>
        <w:t>ная нагрузка на шаровой наконечник больше нуля. Если эта величина равна нулю, то в официальном утверждении отказ</w:t>
      </w:r>
      <w:r w:rsidRPr="006C2A4D">
        <w:rPr>
          <w:b/>
        </w:rPr>
        <w:t>ы</w:t>
      </w:r>
      <w:r w:rsidRPr="006C2A4D">
        <w:rPr>
          <w:b/>
        </w:rPr>
        <w:t>вают</w:t>
      </w:r>
      <w:r w:rsidRPr="00AB54E8">
        <w:t>».</w:t>
      </w:r>
    </w:p>
    <w:p w:rsidR="00AB54E8" w:rsidRDefault="00AB54E8" w:rsidP="006C2A4D">
      <w:pPr>
        <w:pStyle w:val="SingleTxtGR"/>
      </w:pPr>
      <w:r w:rsidRPr="00AB54E8">
        <w:rPr>
          <w:i/>
        </w:rPr>
        <w:t>Пункт</w:t>
      </w:r>
      <w:r w:rsidR="00931306">
        <w:rPr>
          <w:i/>
        </w:rPr>
        <w:t>ы</w:t>
      </w:r>
      <w:r w:rsidRPr="00AB54E8">
        <w:rPr>
          <w:i/>
        </w:rPr>
        <w:t xml:space="preserve"> 8.2–8.5 (прежние), </w:t>
      </w:r>
      <w:r w:rsidRPr="00AB54E8">
        <w:t>изменить нумерацию на 8.3–8.6.</w:t>
      </w:r>
    </w:p>
    <w:p w:rsidR="00AB54E8" w:rsidRDefault="00AB54E8" w:rsidP="006C2A4D">
      <w:pPr>
        <w:pStyle w:val="HChGR"/>
      </w:pPr>
      <w:r w:rsidRPr="00AB54E8">
        <w:tab/>
      </w:r>
      <w:r w:rsidRPr="00AB54E8">
        <w:rPr>
          <w:lang w:val="en-GB"/>
        </w:rPr>
        <w:t>II</w:t>
      </w:r>
      <w:r w:rsidRPr="00AB54E8">
        <w:t>.</w:t>
      </w:r>
      <w:r w:rsidRPr="00AB54E8">
        <w:tab/>
        <w:t>Обоснование</w:t>
      </w:r>
    </w:p>
    <w:p w:rsidR="00AB54E8" w:rsidRPr="00AB54E8" w:rsidRDefault="00AB54E8" w:rsidP="006C2A4D">
      <w:pPr>
        <w:pStyle w:val="SingleTxtGR"/>
      </w:pPr>
      <w:r w:rsidRPr="00AB54E8">
        <w:t>1.</w:t>
      </w:r>
      <w:r w:rsidRPr="00AB54E8">
        <w:tab/>
        <w:t>В ходе недавнего совещания органов Европейского союза по официал</w:t>
      </w:r>
      <w:r w:rsidRPr="00AB54E8">
        <w:t>ь</w:t>
      </w:r>
      <w:r w:rsidRPr="00AB54E8">
        <w:t>ному утверждению типа (СООУ), состоявшегося в Исландии в 2015 году, эк</w:t>
      </w:r>
      <w:r w:rsidRPr="00AB54E8">
        <w:t>с</w:t>
      </w:r>
      <w:r w:rsidRPr="00AB54E8">
        <w:t>перт от Польши поднял проблему выдачи свидетельств официального утве</w:t>
      </w:r>
      <w:r w:rsidRPr="00AB54E8">
        <w:t>р</w:t>
      </w:r>
      <w:r w:rsidRPr="00AB54E8">
        <w:t>ждения ООН на устройства, предназначенные для транспортных средств, кот</w:t>
      </w:r>
      <w:r w:rsidRPr="00AB54E8">
        <w:t>о</w:t>
      </w:r>
      <w:r w:rsidRPr="00AB54E8">
        <w:t>рые вообще не должны использоваться для буксировки прицепа (выдержку из протокола совещания СООУ см. в приложении ниже).</w:t>
      </w:r>
    </w:p>
    <w:p w:rsidR="00AB54E8" w:rsidRDefault="00AB54E8" w:rsidP="00AB54E8">
      <w:pPr>
        <w:pStyle w:val="SingleTxtGR"/>
      </w:pPr>
      <w:r w:rsidRPr="00AB54E8">
        <w:t>2.</w:t>
      </w:r>
      <w:r w:rsidRPr="00AB54E8">
        <w:tab/>
        <w:t>Исходя из этого, в настоящем документе предлагается ввести в действие новое общее ограничение, предусматривающее предоставление официального утверждения типа компонентов механических сцепных устройств только в том случае, если данный тип транспортного средства предназначен для буксировки прицепа.</w:t>
      </w:r>
    </w:p>
    <w:p w:rsidR="006C2A4D" w:rsidRDefault="006C2A4D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AB54E8" w:rsidRPr="006C2A4D" w:rsidRDefault="006C2A4D" w:rsidP="006C2A4D">
      <w:pPr>
        <w:pStyle w:val="HChGR"/>
        <w:tabs>
          <w:tab w:val="right" w:pos="8505"/>
        </w:tabs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6C2A4D">
        <w:t xml:space="preserve">Приложение </w:t>
      </w:r>
      <w:r w:rsidRPr="006C2A4D">
        <w:tab/>
        <w:t>[только на английском языке]</w:t>
      </w:r>
    </w:p>
    <w:p w:rsidR="006C2A4D" w:rsidRDefault="006C2A4D" w:rsidP="00AB54E8">
      <w:pPr>
        <w:pStyle w:val="SingleTxtG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D2C8A20" wp14:editId="10BBE4FD">
            <wp:extent cx="4807585" cy="6855460"/>
            <wp:effectExtent l="19050" t="19050" r="12065" b="2159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6855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2A4D" w:rsidRPr="006C2A4D" w:rsidRDefault="006C2A4D" w:rsidP="006C2A4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C2A4D" w:rsidRPr="006C2A4D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E8" w:rsidRDefault="00AB54E8" w:rsidP="00B471C5">
      <w:r>
        <w:separator/>
      </w:r>
    </w:p>
  </w:endnote>
  <w:endnote w:type="continuationSeparator" w:id="0">
    <w:p w:rsidR="00AB54E8" w:rsidRDefault="00AB54E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A669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D0319">
      <w:rPr>
        <w:lang w:val="en-US"/>
      </w:rPr>
      <w:t>11499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D0319">
      <w:rPr>
        <w:lang w:val="en-US"/>
      </w:rPr>
      <w:t>11499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A669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67542">
            <w:rPr>
              <w:lang w:val="en-US"/>
            </w:rPr>
            <w:t xml:space="preserve">11499 </w:t>
          </w:r>
          <w:r w:rsidRPr="001C3ABC">
            <w:rPr>
              <w:lang w:val="en-US"/>
            </w:rPr>
            <w:t xml:space="preserve"> (R)</w:t>
          </w:r>
          <w:r w:rsidR="00967542">
            <w:rPr>
              <w:lang w:val="en-US"/>
            </w:rPr>
            <w:t xml:space="preserve">  250716  250716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44C5CF2" wp14:editId="309695D1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6754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GRRF/2016/3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67542" w:rsidRDefault="0096754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75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E8" w:rsidRPr="009141DC" w:rsidRDefault="00AB54E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B54E8" w:rsidRPr="00D1261C" w:rsidRDefault="00AB54E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B54E8" w:rsidRPr="00AB54E8" w:rsidRDefault="00AB54E8">
      <w:pPr>
        <w:pStyle w:val="FootnoteText"/>
        <w:rPr>
          <w:sz w:val="20"/>
          <w:lang w:val="en-US"/>
        </w:rPr>
      </w:pPr>
      <w:r>
        <w:tab/>
      </w:r>
      <w:r w:rsidRPr="00AB54E8">
        <w:rPr>
          <w:rStyle w:val="FootnoteReference"/>
          <w:sz w:val="20"/>
          <w:vertAlign w:val="baseline"/>
          <w:lang w:val="ru-RU"/>
        </w:rPr>
        <w:t>*</w:t>
      </w:r>
      <w:r w:rsidRPr="00AB54E8">
        <w:rPr>
          <w:sz w:val="20"/>
          <w:lang w:val="ru-RU"/>
        </w:rPr>
        <w:t xml:space="preserve"> </w:t>
      </w:r>
      <w:r w:rsidRPr="00AB54E8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B54E8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 w:rsidRPr="00AB54E8">
        <w:rPr>
          <w:lang w:val="en-US"/>
        </w:rPr>
        <w:t> </w:t>
      </w:r>
      <w:r w:rsidRPr="00AB54E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67542" w:rsidRPr="00967542">
      <w:rPr>
        <w:lang w:val="en-US"/>
      </w:rPr>
      <w:t>TRANS/WP.29/GRRF/2016/32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D0319" w:rsidRPr="00BD0319">
      <w:rPr>
        <w:lang w:val="en-US"/>
      </w:rPr>
      <w:t>TRANS/WP.29/GRRF/2016/32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E8"/>
    <w:rsid w:val="00041025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2A4D"/>
    <w:rsid w:val="006F49F1"/>
    <w:rsid w:val="007005EE"/>
    <w:rsid w:val="00705394"/>
    <w:rsid w:val="00743F62"/>
    <w:rsid w:val="00760D3A"/>
    <w:rsid w:val="00773BA8"/>
    <w:rsid w:val="007A1F42"/>
    <w:rsid w:val="007A6690"/>
    <w:rsid w:val="007D76DD"/>
    <w:rsid w:val="008717E8"/>
    <w:rsid w:val="008D01AE"/>
    <w:rsid w:val="008E0423"/>
    <w:rsid w:val="009141DC"/>
    <w:rsid w:val="009174A1"/>
    <w:rsid w:val="00931306"/>
    <w:rsid w:val="00967542"/>
    <w:rsid w:val="0098674D"/>
    <w:rsid w:val="00997ACA"/>
    <w:rsid w:val="00A03FB7"/>
    <w:rsid w:val="00A55C56"/>
    <w:rsid w:val="00A658DB"/>
    <w:rsid w:val="00A75A11"/>
    <w:rsid w:val="00A9606E"/>
    <w:rsid w:val="00AB54E8"/>
    <w:rsid w:val="00AD7EAD"/>
    <w:rsid w:val="00B35A32"/>
    <w:rsid w:val="00B432C6"/>
    <w:rsid w:val="00B471C5"/>
    <w:rsid w:val="00B6474A"/>
    <w:rsid w:val="00BD0319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9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9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AE32-BEB0-427D-92C1-BA9F8B86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2016-07-25T08:13:00Z</cp:lastPrinted>
  <dcterms:created xsi:type="dcterms:W3CDTF">2016-08-05T12:45:00Z</dcterms:created>
  <dcterms:modified xsi:type="dcterms:W3CDTF">2016-08-05T12:45:00Z</dcterms:modified>
</cp:coreProperties>
</file>