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15EA7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015EA7" w:rsidRDefault="00F35BAF" w:rsidP="00657FD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015EA7" w:rsidRDefault="00F35BAF" w:rsidP="00892A2F">
            <w:pPr>
              <w:spacing w:after="80" w:line="300" w:lineRule="exact"/>
              <w:rPr>
                <w:sz w:val="28"/>
              </w:rPr>
            </w:pPr>
            <w:r w:rsidRPr="00015EA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15EA7" w:rsidRDefault="00657FD0" w:rsidP="00657FD0">
            <w:pPr>
              <w:jc w:val="right"/>
            </w:pPr>
            <w:r w:rsidRPr="00015EA7">
              <w:rPr>
                <w:sz w:val="40"/>
              </w:rPr>
              <w:t>ECE</w:t>
            </w:r>
            <w:r w:rsidRPr="00015EA7">
              <w:t>/TRANS/WP.29/GRRF/2016/30</w:t>
            </w:r>
          </w:p>
        </w:tc>
      </w:tr>
      <w:tr w:rsidR="00F35BAF" w:rsidRPr="00015EA7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15EA7" w:rsidRDefault="00F35BAF" w:rsidP="00892A2F">
            <w:pPr>
              <w:spacing w:before="120"/>
              <w:jc w:val="center"/>
            </w:pPr>
            <w:r w:rsidRPr="00015EA7">
              <w:rPr>
                <w:noProof/>
                <w:lang w:val="en-GB" w:eastAsia="en-GB"/>
              </w:rPr>
              <w:drawing>
                <wp:inline distT="0" distB="0" distL="0" distR="0" wp14:anchorId="438F144F" wp14:editId="630B059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015EA7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15EA7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15EA7" w:rsidRDefault="00657FD0" w:rsidP="00892A2F">
            <w:pPr>
              <w:spacing w:before="240"/>
            </w:pPr>
            <w:r w:rsidRPr="00015EA7">
              <w:t>Distr. générale</w:t>
            </w:r>
          </w:p>
          <w:p w:rsidR="00657FD0" w:rsidRPr="00015EA7" w:rsidRDefault="00657FD0" w:rsidP="00657FD0">
            <w:pPr>
              <w:spacing w:line="240" w:lineRule="exact"/>
            </w:pPr>
            <w:r w:rsidRPr="00015EA7">
              <w:t>7 juillet 2016</w:t>
            </w:r>
          </w:p>
          <w:p w:rsidR="00657FD0" w:rsidRPr="00015EA7" w:rsidRDefault="00657FD0" w:rsidP="00657FD0">
            <w:pPr>
              <w:spacing w:line="240" w:lineRule="exact"/>
            </w:pPr>
            <w:r w:rsidRPr="00015EA7">
              <w:t>Français</w:t>
            </w:r>
          </w:p>
          <w:p w:rsidR="00657FD0" w:rsidRPr="00015EA7" w:rsidRDefault="00657FD0" w:rsidP="00657FD0">
            <w:pPr>
              <w:spacing w:line="240" w:lineRule="exact"/>
            </w:pPr>
            <w:r w:rsidRPr="00015EA7">
              <w:t>Original : anglais</w:t>
            </w:r>
          </w:p>
        </w:tc>
      </w:tr>
    </w:tbl>
    <w:p w:rsidR="007F20FA" w:rsidRPr="00015EA7" w:rsidRDefault="007F20FA" w:rsidP="007F20FA">
      <w:pPr>
        <w:spacing w:before="120"/>
        <w:rPr>
          <w:b/>
          <w:sz w:val="28"/>
          <w:szCs w:val="28"/>
        </w:rPr>
      </w:pPr>
      <w:r w:rsidRPr="00015EA7">
        <w:rPr>
          <w:b/>
          <w:sz w:val="28"/>
          <w:szCs w:val="28"/>
        </w:rPr>
        <w:t>Commission économique pour l</w:t>
      </w:r>
      <w:r w:rsidR="00753404">
        <w:rPr>
          <w:b/>
          <w:sz w:val="28"/>
          <w:szCs w:val="28"/>
        </w:rPr>
        <w:t>’</w:t>
      </w:r>
      <w:r w:rsidRPr="00015EA7">
        <w:rPr>
          <w:b/>
          <w:sz w:val="28"/>
          <w:szCs w:val="28"/>
        </w:rPr>
        <w:t>Europe</w:t>
      </w:r>
    </w:p>
    <w:p w:rsidR="007F20FA" w:rsidRPr="00015EA7" w:rsidRDefault="007F20FA" w:rsidP="007F20FA">
      <w:pPr>
        <w:spacing w:before="120"/>
        <w:rPr>
          <w:sz w:val="28"/>
          <w:szCs w:val="28"/>
        </w:rPr>
      </w:pPr>
      <w:r w:rsidRPr="00015EA7">
        <w:rPr>
          <w:sz w:val="28"/>
          <w:szCs w:val="28"/>
        </w:rPr>
        <w:t>Comité des transports intérieurs</w:t>
      </w:r>
    </w:p>
    <w:p w:rsidR="00657FD0" w:rsidRPr="00015EA7" w:rsidRDefault="00657FD0" w:rsidP="00657FD0">
      <w:pPr>
        <w:spacing w:before="120"/>
        <w:rPr>
          <w:b/>
          <w:sz w:val="24"/>
          <w:szCs w:val="24"/>
        </w:rPr>
      </w:pPr>
      <w:r w:rsidRPr="00015EA7">
        <w:rPr>
          <w:b/>
          <w:sz w:val="24"/>
          <w:szCs w:val="24"/>
        </w:rPr>
        <w:t>Forum mondial de l</w:t>
      </w:r>
      <w:r w:rsidR="00753404">
        <w:rPr>
          <w:b/>
          <w:sz w:val="24"/>
          <w:szCs w:val="24"/>
        </w:rPr>
        <w:t>’</w:t>
      </w:r>
      <w:r w:rsidRPr="00015EA7">
        <w:rPr>
          <w:b/>
          <w:sz w:val="24"/>
          <w:szCs w:val="24"/>
        </w:rPr>
        <w:t>harmonisation</w:t>
      </w:r>
      <w:r w:rsidRPr="00015EA7">
        <w:rPr>
          <w:b/>
          <w:sz w:val="24"/>
          <w:szCs w:val="24"/>
        </w:rPr>
        <w:br/>
        <w:t>des Règlements concernant les véhicules</w:t>
      </w:r>
    </w:p>
    <w:p w:rsidR="00657FD0" w:rsidRPr="00015EA7" w:rsidRDefault="00657FD0" w:rsidP="00657FD0">
      <w:pPr>
        <w:kinsoku/>
        <w:overflowPunct/>
        <w:autoSpaceDE/>
        <w:autoSpaceDN/>
        <w:adjustRightInd/>
        <w:snapToGrid/>
        <w:spacing w:before="120"/>
        <w:rPr>
          <w:b/>
          <w:szCs w:val="24"/>
        </w:rPr>
      </w:pPr>
      <w:r w:rsidRPr="00015EA7">
        <w:rPr>
          <w:b/>
          <w:szCs w:val="24"/>
        </w:rPr>
        <w:t>Groupe de travail en matière de roulement et de freinage</w:t>
      </w:r>
    </w:p>
    <w:p w:rsidR="00657FD0" w:rsidRPr="00015EA7" w:rsidRDefault="00657FD0" w:rsidP="00657FD0">
      <w:pPr>
        <w:spacing w:before="120" w:line="240" w:lineRule="exact"/>
        <w:rPr>
          <w:b/>
          <w:szCs w:val="24"/>
        </w:rPr>
      </w:pPr>
      <w:r w:rsidRPr="00015EA7">
        <w:rPr>
          <w:b/>
          <w:szCs w:val="24"/>
        </w:rPr>
        <w:t>Quatre-vingt-deuxième session</w:t>
      </w:r>
    </w:p>
    <w:p w:rsidR="00657FD0" w:rsidRPr="00015EA7" w:rsidRDefault="00657FD0" w:rsidP="00657FD0">
      <w:pPr>
        <w:kinsoku/>
        <w:overflowPunct/>
        <w:autoSpaceDE/>
        <w:autoSpaceDN/>
        <w:adjustRightInd/>
        <w:snapToGrid/>
        <w:jc w:val="both"/>
        <w:rPr>
          <w:szCs w:val="24"/>
        </w:rPr>
      </w:pPr>
      <w:r w:rsidRPr="00015EA7">
        <w:rPr>
          <w:szCs w:val="24"/>
        </w:rPr>
        <w:t>Genève, 20-23 septembre 201</w:t>
      </w:r>
      <w:r w:rsidRPr="00015EA7">
        <w:rPr>
          <w:szCs w:val="24"/>
          <w:lang w:eastAsia="ja-JP"/>
        </w:rPr>
        <w:t>6</w:t>
      </w:r>
    </w:p>
    <w:p w:rsidR="00657FD0" w:rsidRPr="00015EA7" w:rsidRDefault="00657FD0" w:rsidP="00657FD0">
      <w:pPr>
        <w:kinsoku/>
        <w:overflowPunct/>
        <w:autoSpaceDE/>
        <w:autoSpaceDN/>
        <w:adjustRightInd/>
        <w:snapToGrid/>
        <w:jc w:val="both"/>
        <w:rPr>
          <w:szCs w:val="24"/>
        </w:rPr>
      </w:pPr>
      <w:r w:rsidRPr="00015EA7">
        <w:rPr>
          <w:szCs w:val="24"/>
        </w:rPr>
        <w:t>Point 4 de l</w:t>
      </w:r>
      <w:r w:rsidR="00753404">
        <w:rPr>
          <w:szCs w:val="24"/>
        </w:rPr>
        <w:t>’</w:t>
      </w:r>
      <w:r w:rsidRPr="00015EA7">
        <w:rPr>
          <w:szCs w:val="24"/>
        </w:rPr>
        <w:t>ordre du jour provisoire</w:t>
      </w:r>
    </w:p>
    <w:p w:rsidR="00657FD0" w:rsidRPr="00015EA7" w:rsidRDefault="00657FD0" w:rsidP="00657FD0">
      <w:pPr>
        <w:kinsoku/>
        <w:overflowPunct/>
        <w:autoSpaceDE/>
        <w:autoSpaceDN/>
        <w:adjustRightInd/>
        <w:snapToGrid/>
        <w:rPr>
          <w:b/>
          <w:szCs w:val="24"/>
        </w:rPr>
      </w:pPr>
      <w:r w:rsidRPr="00015EA7">
        <w:rPr>
          <w:b/>
          <w:szCs w:val="24"/>
        </w:rPr>
        <w:t xml:space="preserve">Règlement </w:t>
      </w:r>
      <w:r w:rsidRPr="00015EA7">
        <w:rPr>
          <w:rFonts w:eastAsia="MS Mincho"/>
          <w:b/>
          <w:szCs w:val="24"/>
        </w:rPr>
        <w:t>n</w:t>
      </w:r>
      <w:r w:rsidRPr="00015EA7">
        <w:rPr>
          <w:rFonts w:eastAsia="MS Mincho"/>
          <w:b/>
          <w:szCs w:val="24"/>
          <w:vertAlign w:val="superscript"/>
        </w:rPr>
        <w:t>o</w:t>
      </w:r>
      <w:r w:rsidRPr="00015EA7">
        <w:rPr>
          <w:b/>
          <w:szCs w:val="24"/>
        </w:rPr>
        <w:t> 55</w:t>
      </w:r>
    </w:p>
    <w:p w:rsidR="00657FD0" w:rsidRPr="00015EA7" w:rsidRDefault="00657FD0" w:rsidP="00657FD0">
      <w:pPr>
        <w:pStyle w:val="HChG"/>
      </w:pPr>
      <w:r w:rsidRPr="00015EA7">
        <w:tab/>
      </w:r>
      <w:r w:rsidRPr="00015EA7">
        <w:tab/>
        <w:t>Proposition d</w:t>
      </w:r>
      <w:r w:rsidR="00753404">
        <w:t>’</w:t>
      </w:r>
      <w:r w:rsidRPr="00015EA7">
        <w:t xml:space="preserve">amendements au Règlement </w:t>
      </w:r>
      <w:r w:rsidRPr="00015EA7">
        <w:rPr>
          <w:rFonts w:eastAsia="MS Mincho"/>
        </w:rPr>
        <w:t>n</w:t>
      </w:r>
      <w:r w:rsidRPr="00015EA7">
        <w:rPr>
          <w:rFonts w:eastAsia="MS Mincho"/>
          <w:vertAlign w:val="superscript"/>
        </w:rPr>
        <w:t>o</w:t>
      </w:r>
      <w:r w:rsidRPr="00015EA7">
        <w:t xml:space="preserve"> 55 </w:t>
      </w:r>
      <w:r w:rsidRPr="00015EA7">
        <w:br/>
        <w:t>(Pièces mécaniques d</w:t>
      </w:r>
      <w:r w:rsidR="00753404">
        <w:t>’</w:t>
      </w:r>
      <w:r w:rsidRPr="00015EA7">
        <w:t xml:space="preserve">attelage) </w:t>
      </w:r>
    </w:p>
    <w:p w:rsidR="00657FD0" w:rsidRPr="00015EA7" w:rsidRDefault="00657FD0" w:rsidP="00657FD0">
      <w:pPr>
        <w:pStyle w:val="H23G"/>
      </w:pPr>
      <w:r w:rsidRPr="00015EA7">
        <w:tab/>
      </w:r>
      <w:r w:rsidRPr="00015EA7">
        <w:tab/>
        <w:t xml:space="preserve">Communication du Président du groupe informel du Règlement </w:t>
      </w:r>
      <w:r w:rsidRPr="00015EA7">
        <w:rPr>
          <w:rFonts w:eastAsia="MS Mincho"/>
        </w:rPr>
        <w:t>n</w:t>
      </w:r>
      <w:r w:rsidRPr="00015EA7">
        <w:rPr>
          <w:rFonts w:eastAsia="MS Mincho"/>
          <w:vertAlign w:val="superscript"/>
        </w:rPr>
        <w:t>o</w:t>
      </w:r>
      <w:r w:rsidRPr="00015EA7">
        <w:t> 55</w:t>
      </w:r>
      <w:r w:rsidRPr="00015EA7">
        <w:rPr>
          <w:b w:val="0"/>
          <w:bCs/>
        </w:rPr>
        <w:footnoteReference w:customMarkFollows="1" w:id="2"/>
        <w:t>*</w:t>
      </w:r>
    </w:p>
    <w:p w:rsidR="00657FD0" w:rsidRPr="00015EA7" w:rsidRDefault="00657FD0" w:rsidP="00657FD0">
      <w:pPr>
        <w:pStyle w:val="SingleTxtG"/>
        <w:ind w:firstLine="567"/>
      </w:pPr>
      <w:r w:rsidRPr="00015EA7">
        <w:t xml:space="preserve">Le texte reproduit ci-dessous, établi par les experts du groupe de travail informel du Règlement </w:t>
      </w:r>
      <w:r w:rsidRPr="00015EA7">
        <w:rPr>
          <w:rFonts w:eastAsia="MS Mincho"/>
        </w:rPr>
        <w:t>n</w:t>
      </w:r>
      <w:r w:rsidRPr="00015EA7">
        <w:rPr>
          <w:rFonts w:eastAsia="MS Mincho"/>
          <w:vertAlign w:val="superscript"/>
        </w:rPr>
        <w:t>o</w:t>
      </w:r>
      <w:r w:rsidRPr="00015EA7">
        <w:t> 55, propose une procédure permettant de déterminer les combinaisons autorisées des valeurs fonctionnelles D</w:t>
      </w:r>
      <w:r w:rsidRPr="00015EA7">
        <w:rPr>
          <w:vertAlign w:val="subscript"/>
        </w:rPr>
        <w:t>C</w:t>
      </w:r>
      <w:r w:rsidRPr="00015EA7">
        <w:t xml:space="preserve"> et V pour l</w:t>
      </w:r>
      <w:r w:rsidR="00753404">
        <w:t>’</w:t>
      </w:r>
      <w:r w:rsidRPr="00015EA7">
        <w:t>équipement des chapes d</w:t>
      </w:r>
      <w:r w:rsidR="00753404">
        <w:t>’</w:t>
      </w:r>
      <w:r w:rsidRPr="00015EA7">
        <w:t>attelage. Les modifications qu</w:t>
      </w:r>
      <w:r w:rsidR="00753404">
        <w:t>’</w:t>
      </w:r>
      <w:r w:rsidRPr="00015EA7">
        <w:t>il est proposé d</w:t>
      </w:r>
      <w:r w:rsidR="00753404">
        <w:t>’</w:t>
      </w:r>
      <w:r w:rsidRPr="00015EA7">
        <w:t>apporter au texte actuel du Règlement sont signalées en caractères gras pour les ajouts ou en caractères biffés pour suppressions.</w:t>
      </w:r>
    </w:p>
    <w:p w:rsidR="00657FD0" w:rsidRPr="00015EA7" w:rsidRDefault="00657FD0" w:rsidP="00657FD0">
      <w:pPr>
        <w:pStyle w:val="HChG"/>
      </w:pPr>
      <w:r w:rsidRPr="00015EA7">
        <w:br w:type="page"/>
      </w:r>
      <w:r w:rsidRPr="00015EA7">
        <w:lastRenderedPageBreak/>
        <w:tab/>
        <w:t>I.</w:t>
      </w:r>
      <w:r w:rsidRPr="00015EA7">
        <w:tab/>
        <w:t>Proposition</w:t>
      </w:r>
    </w:p>
    <w:p w:rsidR="00657FD0" w:rsidRPr="00015EA7" w:rsidRDefault="00657FD0" w:rsidP="00657FD0">
      <w:pPr>
        <w:pStyle w:val="SingleTxtG"/>
      </w:pPr>
      <w:r w:rsidRPr="00015EA7">
        <w:rPr>
          <w:i/>
          <w:iCs/>
        </w:rPr>
        <w:t>Ajouter un nouveau paragraphe 5.3.5.2</w:t>
      </w:r>
      <w:r w:rsidRPr="00015EA7">
        <w:t>, ainsi conçu :</w:t>
      </w:r>
    </w:p>
    <w:p w:rsidR="00657FD0" w:rsidRPr="00015EA7" w:rsidRDefault="00657FD0" w:rsidP="00657FD0">
      <w:pPr>
        <w:pStyle w:val="SingleTxtG"/>
        <w:ind w:left="2268" w:hanging="1134"/>
      </w:pPr>
      <w:r w:rsidRPr="00015EA7">
        <w:t>« </w:t>
      </w:r>
      <w:r w:rsidRPr="00015EA7">
        <w:rPr>
          <w:b/>
          <w:bCs/>
        </w:rPr>
        <w:t>5.3.5.2</w:t>
      </w:r>
      <w:r w:rsidRPr="00015EA7">
        <w:rPr>
          <w:b/>
          <w:bCs/>
        </w:rPr>
        <w:tab/>
        <w:t>Dans les conditions indiquées au paragraphe 4.1.1 de l</w:t>
      </w:r>
      <w:r w:rsidR="00753404">
        <w:rPr>
          <w:b/>
          <w:bCs/>
        </w:rPr>
        <w:t>’</w:t>
      </w:r>
      <w:r w:rsidRPr="00015EA7">
        <w:rPr>
          <w:b/>
          <w:bCs/>
        </w:rPr>
        <w:t>annexe 8, les prescriptions fonctionnelles calculées s</w:t>
      </w:r>
      <w:r w:rsidR="00753404">
        <w:rPr>
          <w:b/>
          <w:bCs/>
        </w:rPr>
        <w:t>’</w:t>
      </w:r>
      <w:r w:rsidRPr="00015EA7">
        <w:rPr>
          <w:b/>
          <w:bCs/>
        </w:rPr>
        <w:t>écartant des conditions du paragraphe 5.3.5.1 ci-dessus</w:t>
      </w:r>
      <w:r w:rsidR="004E224B">
        <w:rPr>
          <w:b/>
          <w:bCs/>
        </w:rPr>
        <w:t xml:space="preserve"> </w:t>
      </w:r>
      <w:r w:rsidRPr="00015EA7">
        <w:rPr>
          <w:b/>
          <w:bCs/>
        </w:rPr>
        <w:t>peuvent être traitées.</w:t>
      </w:r>
      <w:r w:rsidRPr="00015EA7">
        <w:t> ».</w:t>
      </w:r>
    </w:p>
    <w:p w:rsidR="00657FD0" w:rsidRPr="00015EA7" w:rsidRDefault="00657FD0" w:rsidP="00657FD0">
      <w:pPr>
        <w:pStyle w:val="SingleTxtG"/>
        <w:rPr>
          <w:i/>
          <w:iCs/>
          <w:szCs w:val="24"/>
        </w:rPr>
      </w:pPr>
      <w:r w:rsidRPr="00015EA7">
        <w:rPr>
          <w:i/>
          <w:iCs/>
          <w:szCs w:val="24"/>
        </w:rPr>
        <w:t>Annexe 8</w:t>
      </w:r>
      <w:r w:rsidRPr="00015EA7">
        <w:rPr>
          <w:szCs w:val="24"/>
        </w:rPr>
        <w:t>,</w:t>
      </w:r>
    </w:p>
    <w:p w:rsidR="00657FD0" w:rsidRPr="00015EA7" w:rsidRDefault="00657FD0" w:rsidP="00657FD0">
      <w:pPr>
        <w:pStyle w:val="SingleTxtG"/>
        <w:rPr>
          <w:szCs w:val="24"/>
        </w:rPr>
      </w:pPr>
      <w:r w:rsidRPr="00015EA7">
        <w:rPr>
          <w:i/>
          <w:iCs/>
          <w:szCs w:val="24"/>
        </w:rPr>
        <w:t>Ajouter un nouveau paragraphe 4</w:t>
      </w:r>
      <w:r w:rsidRPr="00015EA7">
        <w:rPr>
          <w:iCs/>
          <w:szCs w:val="24"/>
        </w:rPr>
        <w:t>, ainsi conçu </w:t>
      </w:r>
      <w:r w:rsidRPr="00015EA7">
        <w:rPr>
          <w:szCs w:val="24"/>
        </w:rPr>
        <w:t>:</w:t>
      </w:r>
    </w:p>
    <w:p w:rsidR="00657FD0" w:rsidRPr="00015EA7" w:rsidRDefault="00657FD0" w:rsidP="009365C0">
      <w:pPr>
        <w:pStyle w:val="SingleTxtG"/>
        <w:ind w:left="2268" w:hanging="1134"/>
        <w:rPr>
          <w:b/>
          <w:szCs w:val="24"/>
          <w:lang w:eastAsia="fr-FR"/>
        </w:rPr>
      </w:pPr>
      <w:r w:rsidRPr="00015EA7">
        <w:rPr>
          <w:szCs w:val="24"/>
          <w:lang w:eastAsia="fr-FR"/>
        </w:rPr>
        <w:t>«</w:t>
      </w:r>
      <w:r w:rsidRPr="00015EA7">
        <w:rPr>
          <w:b/>
          <w:bCs/>
          <w:szCs w:val="24"/>
          <w:lang w:eastAsia="fr-FR"/>
        </w:rPr>
        <w:t> </w:t>
      </w:r>
      <w:r w:rsidRPr="00015EA7">
        <w:rPr>
          <w:b/>
          <w:szCs w:val="24"/>
          <w:lang w:eastAsia="fr-FR"/>
        </w:rPr>
        <w:t>4.</w:t>
      </w:r>
      <w:r w:rsidRPr="00015EA7">
        <w:rPr>
          <w:b/>
          <w:szCs w:val="24"/>
          <w:lang w:eastAsia="fr-FR"/>
        </w:rPr>
        <w:tab/>
        <w:t xml:space="preserve">Fonctionnement </w:t>
      </w:r>
      <w:r w:rsidRPr="00015EA7">
        <w:rPr>
          <w:b/>
          <w:bCs/>
        </w:rPr>
        <w:t>particulier</w:t>
      </w:r>
    </w:p>
    <w:p w:rsidR="00657FD0" w:rsidRPr="00015EA7" w:rsidRDefault="00657FD0" w:rsidP="00657FD0">
      <w:pPr>
        <w:pStyle w:val="SingleTxtG"/>
        <w:ind w:left="2268"/>
        <w:rPr>
          <w:b/>
          <w:bCs/>
        </w:rPr>
      </w:pPr>
      <w:r w:rsidRPr="00015EA7">
        <w:rPr>
          <w:b/>
          <w:bCs/>
        </w:rPr>
        <w:t>Le paragraphe 5.3.5.1 contient les prescriptions générales relatives aux valeurs de performance caractéristiques.</w:t>
      </w:r>
    </w:p>
    <w:p w:rsidR="00657FD0" w:rsidRPr="00015EA7" w:rsidRDefault="00657FD0" w:rsidP="00753404">
      <w:pPr>
        <w:pStyle w:val="SingleTxtG"/>
        <w:ind w:left="2268"/>
        <w:rPr>
          <w:b/>
          <w:szCs w:val="24"/>
        </w:rPr>
      </w:pPr>
      <w:r w:rsidRPr="00015EA7">
        <w:rPr>
          <w:b/>
          <w:szCs w:val="24"/>
        </w:rPr>
        <w:t>Les désignations D</w:t>
      </w:r>
      <w:r w:rsidRPr="00015EA7">
        <w:rPr>
          <w:b/>
          <w:szCs w:val="24"/>
          <w:vertAlign w:val="subscript"/>
        </w:rPr>
        <w:t>cert</w:t>
      </w:r>
      <w:r w:rsidRPr="00015EA7">
        <w:rPr>
          <w:b/>
          <w:szCs w:val="24"/>
        </w:rPr>
        <w:t>, D</w:t>
      </w:r>
      <w:r w:rsidR="00753404">
        <w:rPr>
          <w:b/>
          <w:szCs w:val="24"/>
          <w:vertAlign w:val="subscript"/>
        </w:rPr>
        <w:t>c</w:t>
      </w:r>
      <w:r w:rsidRPr="00015EA7">
        <w:rPr>
          <w:b/>
          <w:szCs w:val="24"/>
          <w:vertAlign w:val="subscript"/>
        </w:rPr>
        <w:t>-cert</w:t>
      </w:r>
      <w:r w:rsidRPr="00015EA7">
        <w:rPr>
          <w:b/>
          <w:szCs w:val="24"/>
        </w:rPr>
        <w:t>, V</w:t>
      </w:r>
      <w:r w:rsidRPr="00015EA7">
        <w:rPr>
          <w:b/>
          <w:szCs w:val="24"/>
          <w:vertAlign w:val="subscript"/>
        </w:rPr>
        <w:t>cert</w:t>
      </w:r>
      <w:r w:rsidRPr="00015EA7">
        <w:rPr>
          <w:b/>
          <w:szCs w:val="24"/>
        </w:rPr>
        <w:t xml:space="preserve"> et S</w:t>
      </w:r>
      <w:r w:rsidRPr="00015EA7">
        <w:rPr>
          <w:b/>
          <w:szCs w:val="24"/>
          <w:vertAlign w:val="subscript"/>
        </w:rPr>
        <w:t>cert</w:t>
      </w:r>
      <w:r w:rsidRPr="00015EA7">
        <w:rPr>
          <w:b/>
          <w:szCs w:val="24"/>
        </w:rPr>
        <w:t xml:space="preserve"> utilisées ci-</w:t>
      </w:r>
      <w:r w:rsidRPr="00015EA7">
        <w:rPr>
          <w:b/>
          <w:bCs/>
        </w:rPr>
        <w:t>après</w:t>
      </w:r>
      <w:r w:rsidRPr="00015EA7">
        <w:rPr>
          <w:b/>
          <w:szCs w:val="24"/>
        </w:rPr>
        <w:t xml:space="preserve"> indiquent la capacité de performance certifiée d</w:t>
      </w:r>
      <w:r w:rsidR="00753404">
        <w:rPr>
          <w:b/>
          <w:szCs w:val="24"/>
        </w:rPr>
        <w:t>’</w:t>
      </w:r>
      <w:r w:rsidRPr="00015EA7">
        <w:rPr>
          <w:b/>
          <w:szCs w:val="24"/>
        </w:rPr>
        <w:t>une pièce d</w:t>
      </w:r>
      <w:r w:rsidR="00753404">
        <w:rPr>
          <w:b/>
          <w:szCs w:val="24"/>
        </w:rPr>
        <w:t>’</w:t>
      </w:r>
      <w:r w:rsidRPr="00015EA7">
        <w:rPr>
          <w:b/>
          <w:szCs w:val="24"/>
        </w:rPr>
        <w:t>attelage donnée. Les valeurs D</w:t>
      </w:r>
      <w:r w:rsidR="00753404">
        <w:rPr>
          <w:b/>
          <w:szCs w:val="24"/>
          <w:vertAlign w:val="subscript"/>
        </w:rPr>
        <w:t>C</w:t>
      </w:r>
      <w:r w:rsidRPr="00015EA7">
        <w:rPr>
          <w:b/>
          <w:szCs w:val="24"/>
          <w:vertAlign w:val="subscript"/>
        </w:rPr>
        <w:t>req</w:t>
      </w:r>
      <w:r w:rsidRPr="00015EA7">
        <w:rPr>
          <w:b/>
          <w:szCs w:val="24"/>
        </w:rPr>
        <w:t>, V</w:t>
      </w:r>
      <w:r w:rsidRPr="00015EA7">
        <w:rPr>
          <w:b/>
          <w:szCs w:val="24"/>
          <w:vertAlign w:val="subscript"/>
        </w:rPr>
        <w:t>req</w:t>
      </w:r>
      <w:r w:rsidRPr="00015EA7">
        <w:rPr>
          <w:b/>
          <w:szCs w:val="24"/>
        </w:rPr>
        <w:t xml:space="preserve"> et S</w:t>
      </w:r>
      <w:r w:rsidRPr="00015EA7">
        <w:rPr>
          <w:b/>
          <w:szCs w:val="24"/>
          <w:vertAlign w:val="subscript"/>
        </w:rPr>
        <w:t>req</w:t>
      </w:r>
      <w:r w:rsidRPr="00015EA7">
        <w:rPr>
          <w:b/>
          <w:szCs w:val="24"/>
        </w:rPr>
        <w:t xml:space="preserve"> désignent les prescriptions fonctionnelles de la combinaison de véhicules calculées conformément aux règles énoncées dans la présente annexe. Elles doivent être évaluées en regard des capacités de performance certifiées.</w:t>
      </w:r>
      <w:r w:rsidRPr="00015EA7">
        <w:rPr>
          <w:bCs/>
          <w:szCs w:val="24"/>
        </w:rPr>
        <w:t> ».</w:t>
      </w:r>
    </w:p>
    <w:p w:rsidR="00657FD0" w:rsidRPr="00015EA7" w:rsidRDefault="00657FD0" w:rsidP="00657FD0">
      <w:pPr>
        <w:kinsoku/>
        <w:overflowPunct/>
        <w:autoSpaceDE/>
        <w:autoSpaceDN/>
        <w:adjustRightInd/>
        <w:snapToGrid/>
        <w:spacing w:after="120" w:line="240" w:lineRule="auto"/>
        <w:ind w:left="1134" w:right="1134"/>
        <w:jc w:val="both"/>
        <w:rPr>
          <w:szCs w:val="24"/>
        </w:rPr>
      </w:pPr>
      <w:r w:rsidRPr="00015EA7">
        <w:rPr>
          <w:i/>
          <w:iCs/>
          <w:szCs w:val="24"/>
        </w:rPr>
        <w:t>Ajouter de nouveaux paragraphes 4.1 et 4.1.1</w:t>
      </w:r>
      <w:r w:rsidRPr="00015EA7">
        <w:rPr>
          <w:iCs/>
          <w:szCs w:val="24"/>
        </w:rPr>
        <w:t>, ainsi conçus </w:t>
      </w:r>
      <w:r w:rsidRPr="00015EA7">
        <w:rPr>
          <w:szCs w:val="24"/>
        </w:rPr>
        <w:t>:</w:t>
      </w:r>
    </w:p>
    <w:p w:rsidR="00657FD0" w:rsidRPr="00015EA7" w:rsidRDefault="00015EA7" w:rsidP="00657FD0">
      <w:pPr>
        <w:pStyle w:val="SingleTxtG"/>
        <w:ind w:left="2268" w:hanging="1134"/>
        <w:rPr>
          <w:b/>
          <w:szCs w:val="24"/>
          <w:lang w:eastAsia="fr-FR"/>
        </w:rPr>
      </w:pPr>
      <w:r w:rsidRPr="00015EA7">
        <w:rPr>
          <w:bCs/>
          <w:szCs w:val="24"/>
          <w:lang w:eastAsia="fr-FR"/>
        </w:rPr>
        <w:t>« </w:t>
      </w:r>
      <w:r w:rsidR="00657FD0" w:rsidRPr="00015EA7">
        <w:rPr>
          <w:b/>
          <w:szCs w:val="24"/>
          <w:lang w:eastAsia="fr-FR"/>
        </w:rPr>
        <w:t>4.1</w:t>
      </w:r>
      <w:r w:rsidR="00657FD0" w:rsidRPr="00015EA7">
        <w:rPr>
          <w:b/>
          <w:szCs w:val="24"/>
          <w:lang w:eastAsia="fr-FR"/>
        </w:rPr>
        <w:tab/>
        <w:t>Systèmes d</w:t>
      </w:r>
      <w:r w:rsidR="00753404">
        <w:rPr>
          <w:b/>
          <w:szCs w:val="24"/>
          <w:lang w:eastAsia="fr-FR"/>
        </w:rPr>
        <w:t>’</w:t>
      </w:r>
      <w:r w:rsidR="00657FD0" w:rsidRPr="00015EA7">
        <w:rPr>
          <w:b/>
          <w:szCs w:val="24"/>
          <w:lang w:eastAsia="fr-FR"/>
        </w:rPr>
        <w:t>attelage à chape avec barres d</w:t>
      </w:r>
      <w:r w:rsidR="00753404">
        <w:rPr>
          <w:b/>
          <w:szCs w:val="24"/>
          <w:lang w:eastAsia="fr-FR"/>
        </w:rPr>
        <w:t>’</w:t>
      </w:r>
      <w:r w:rsidR="00657FD0" w:rsidRPr="00015EA7">
        <w:rPr>
          <w:b/>
          <w:szCs w:val="24"/>
          <w:lang w:eastAsia="fr-FR"/>
        </w:rPr>
        <w:t>attelage et anneaux de timon</w:t>
      </w:r>
    </w:p>
    <w:p w:rsidR="00657FD0" w:rsidRPr="00015EA7" w:rsidRDefault="00657FD0" w:rsidP="00657FD0">
      <w:pPr>
        <w:pStyle w:val="SingleTxtG"/>
        <w:ind w:left="2268"/>
        <w:rPr>
          <w:b/>
          <w:szCs w:val="24"/>
          <w:lang w:eastAsia="fr-FR"/>
        </w:rPr>
      </w:pPr>
      <w:r w:rsidRPr="00015EA7">
        <w:rPr>
          <w:b/>
          <w:szCs w:val="24"/>
          <w:lang w:eastAsia="fr-FR"/>
        </w:rPr>
        <w:t xml:space="preserve">Pour chaque combinaison de valeurs de capacité </w:t>
      </w:r>
      <w:r w:rsidRPr="00015EA7">
        <w:rPr>
          <w:b/>
          <w:bCs/>
        </w:rPr>
        <w:t>de</w:t>
      </w:r>
      <w:r w:rsidRPr="00015EA7">
        <w:rPr>
          <w:b/>
          <w:szCs w:val="24"/>
          <w:lang w:eastAsia="fr-FR"/>
        </w:rPr>
        <w:t xml:space="preserve"> performance on peut établir un diagramme de la manière indiquée à la figure 28 et l</w:t>
      </w:r>
      <w:r w:rsidR="00753404">
        <w:rPr>
          <w:b/>
          <w:szCs w:val="24"/>
          <w:lang w:eastAsia="fr-FR"/>
        </w:rPr>
        <w:t>’</w:t>
      </w:r>
      <w:r w:rsidRPr="00015EA7">
        <w:rPr>
          <w:b/>
          <w:szCs w:val="24"/>
          <w:lang w:eastAsia="fr-FR"/>
        </w:rPr>
        <w:t>inclure dans le manuel d</w:t>
      </w:r>
      <w:r w:rsidR="00753404">
        <w:rPr>
          <w:b/>
          <w:szCs w:val="24"/>
          <w:lang w:eastAsia="fr-FR"/>
        </w:rPr>
        <w:t>’</w:t>
      </w:r>
      <w:r w:rsidRPr="00015EA7">
        <w:rPr>
          <w:b/>
          <w:szCs w:val="24"/>
          <w:lang w:eastAsia="fr-FR"/>
        </w:rPr>
        <w:t>utilisation. Les prescriptions fonctionnelles D</w:t>
      </w:r>
      <w:r w:rsidRPr="00015EA7">
        <w:rPr>
          <w:b/>
          <w:szCs w:val="24"/>
          <w:vertAlign w:val="subscript"/>
          <w:lang w:eastAsia="fr-FR"/>
        </w:rPr>
        <w:t>C-req</w:t>
      </w:r>
      <w:r w:rsidRPr="00015EA7">
        <w:rPr>
          <w:b/>
          <w:szCs w:val="24"/>
          <w:lang w:eastAsia="fr-FR"/>
        </w:rPr>
        <w:t xml:space="preserve"> et V</w:t>
      </w:r>
      <w:r w:rsidRPr="00015EA7">
        <w:rPr>
          <w:b/>
          <w:szCs w:val="24"/>
          <w:vertAlign w:val="subscript"/>
          <w:lang w:eastAsia="fr-FR"/>
        </w:rPr>
        <w:t>req</w:t>
      </w:r>
      <w:r w:rsidRPr="00015EA7">
        <w:rPr>
          <w:b/>
          <w:szCs w:val="24"/>
          <w:lang w:eastAsia="fr-FR"/>
        </w:rPr>
        <w:t xml:space="preserve"> tombant dans la zone hachurée du diagramme permettent une utilisation dans le contexte de la circulation routière</w:t>
      </w:r>
      <w:r w:rsidR="009365C0">
        <w:rPr>
          <w:b/>
          <w:szCs w:val="24"/>
          <w:lang w:eastAsia="fr-FR"/>
        </w:rPr>
        <w:t>.</w:t>
      </w:r>
    </w:p>
    <w:p w:rsidR="00657FD0" w:rsidRPr="00015EA7" w:rsidRDefault="00657FD0" w:rsidP="00657FD0">
      <w:pPr>
        <w:pStyle w:val="SingleTxtG"/>
        <w:ind w:left="2268"/>
        <w:rPr>
          <w:b/>
          <w:szCs w:val="24"/>
          <w:lang w:eastAsia="fr-FR"/>
        </w:rPr>
      </w:pPr>
      <w:r w:rsidRPr="00015EA7">
        <w:rPr>
          <w:b/>
          <w:szCs w:val="24"/>
          <w:lang w:eastAsia="fr-FR"/>
        </w:rPr>
        <w:t>S</w:t>
      </w:r>
      <w:r w:rsidRPr="00015EA7">
        <w:rPr>
          <w:b/>
          <w:szCs w:val="24"/>
          <w:vertAlign w:val="subscript"/>
          <w:lang w:eastAsia="fr-FR"/>
        </w:rPr>
        <w:t>req</w:t>
      </w:r>
      <w:r w:rsidRPr="00015EA7">
        <w:rPr>
          <w:b/>
          <w:szCs w:val="24"/>
          <w:lang w:eastAsia="fr-FR"/>
        </w:rPr>
        <w:t xml:space="preserve"> doit toujours être inférieur ou égal à 1 000 kg.</w:t>
      </w:r>
    </w:p>
    <w:p w:rsidR="00657FD0" w:rsidRPr="00015EA7" w:rsidRDefault="00657FD0" w:rsidP="002E7B6E">
      <w:pPr>
        <w:pStyle w:val="SingleTxtG"/>
        <w:ind w:left="2268" w:hanging="1134"/>
        <w:rPr>
          <w:bCs/>
          <w:szCs w:val="24"/>
        </w:rPr>
      </w:pPr>
      <w:r w:rsidRPr="00015EA7">
        <w:rPr>
          <w:b/>
          <w:szCs w:val="24"/>
        </w:rPr>
        <w:t>4.1.1</w:t>
      </w:r>
      <w:r w:rsidRPr="00015EA7">
        <w:rPr>
          <w:b/>
          <w:szCs w:val="24"/>
        </w:rPr>
        <w:tab/>
        <w:t xml:space="preserve">Si des </w:t>
      </w:r>
      <w:r w:rsidRPr="00015EA7">
        <w:rPr>
          <w:b/>
          <w:bCs/>
        </w:rPr>
        <w:t>diagrammes</w:t>
      </w:r>
      <w:r w:rsidRPr="00015EA7">
        <w:rPr>
          <w:b/>
          <w:szCs w:val="24"/>
        </w:rPr>
        <w:t xml:space="preserve"> tels que celui qui est décrit au paragraphe 4.1 de la présente annexe font partie de la documentation soumise en vue de l</w:t>
      </w:r>
      <w:r w:rsidR="00753404">
        <w:rPr>
          <w:b/>
          <w:szCs w:val="24"/>
        </w:rPr>
        <w:t>’</w:t>
      </w:r>
      <w:r w:rsidRPr="00015EA7">
        <w:rPr>
          <w:b/>
          <w:szCs w:val="24"/>
        </w:rPr>
        <w:t>homologation de type, le fabricant de la pièce qui détient le certificat d</w:t>
      </w:r>
      <w:r w:rsidR="00753404">
        <w:rPr>
          <w:b/>
          <w:szCs w:val="24"/>
        </w:rPr>
        <w:t>’</w:t>
      </w:r>
      <w:r w:rsidRPr="00015EA7">
        <w:rPr>
          <w:b/>
          <w:szCs w:val="24"/>
        </w:rPr>
        <w:t>homologation de type pour ce produit est habilité à émettre un certificat de fabrication attestant qu</w:t>
      </w:r>
      <w:r w:rsidR="00753404">
        <w:rPr>
          <w:b/>
          <w:szCs w:val="24"/>
        </w:rPr>
        <w:t>’</w:t>
      </w:r>
      <w:r w:rsidRPr="00015EA7">
        <w:rPr>
          <w:b/>
          <w:szCs w:val="24"/>
        </w:rPr>
        <w:t>une demande a été faite pour une combinaison dans laquelle D</w:t>
      </w:r>
      <w:r w:rsidR="00753404">
        <w:rPr>
          <w:b/>
          <w:szCs w:val="24"/>
          <w:vertAlign w:val="subscript"/>
        </w:rPr>
        <w:t>C</w:t>
      </w:r>
      <w:r w:rsidRPr="00015EA7">
        <w:rPr>
          <w:b/>
          <w:szCs w:val="24"/>
          <w:vertAlign w:val="subscript"/>
        </w:rPr>
        <w:t>req</w:t>
      </w:r>
      <w:r w:rsidRPr="00015EA7">
        <w:rPr>
          <w:b/>
          <w:szCs w:val="24"/>
        </w:rPr>
        <w:t xml:space="preserve"> et V</w:t>
      </w:r>
      <w:r w:rsidRPr="00015EA7">
        <w:rPr>
          <w:b/>
          <w:szCs w:val="24"/>
          <w:vertAlign w:val="subscript"/>
        </w:rPr>
        <w:t>req</w:t>
      </w:r>
      <w:r w:rsidRPr="00015EA7">
        <w:rPr>
          <w:b/>
          <w:szCs w:val="24"/>
        </w:rPr>
        <w:t xml:space="preserve"> tombent dans la zone hachurée. Un tel certificat de fabrication doit toujours accompagner la combinaison de véhicules concernée.</w:t>
      </w:r>
    </w:p>
    <w:p w:rsidR="00657FD0" w:rsidRPr="00015EA7" w:rsidRDefault="00657FD0" w:rsidP="002E7B6E">
      <w:pPr>
        <w:pStyle w:val="Heading1"/>
        <w:rPr>
          <w:b/>
          <w:bCs/>
        </w:rPr>
      </w:pPr>
      <w:r w:rsidRPr="00015EA7">
        <w:rPr>
          <w:b/>
          <w:bCs/>
        </w:rPr>
        <w:t>Figure 28</w:t>
      </w:r>
    </w:p>
    <w:p w:rsidR="00657FD0" w:rsidRPr="00015EA7" w:rsidRDefault="00657FD0" w:rsidP="00E23A61">
      <w:pPr>
        <w:pStyle w:val="SingleTxtG"/>
        <w:spacing w:after="0" w:line="240" w:lineRule="auto"/>
      </w:pPr>
      <w:r w:rsidRPr="00015EA7">
        <w:rPr>
          <w:noProof/>
          <w:lang w:val="en-GB" w:eastAsia="en-GB"/>
        </w:rPr>
        <w:drawing>
          <wp:inline distT="0" distB="0" distL="0" distR="0" wp14:anchorId="261EED28" wp14:editId="0B7CDA85">
            <wp:extent cx="2830983" cy="1797239"/>
            <wp:effectExtent l="0" t="0" r="7620" b="0"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56" cy="18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B6E">
        <w:t> ».</w:t>
      </w:r>
    </w:p>
    <w:p w:rsidR="00657FD0" w:rsidRPr="00015EA7" w:rsidRDefault="00657FD0" w:rsidP="00657FD0">
      <w:pPr>
        <w:pStyle w:val="HChG"/>
      </w:pPr>
      <w:r w:rsidRPr="00015EA7">
        <w:lastRenderedPageBreak/>
        <w:tab/>
        <w:t>II.</w:t>
      </w:r>
      <w:r w:rsidRPr="00015EA7">
        <w:tab/>
        <w:t>Justification</w:t>
      </w:r>
    </w:p>
    <w:p w:rsidR="00657FD0" w:rsidRPr="004E224B" w:rsidRDefault="00657FD0" w:rsidP="00753404">
      <w:pPr>
        <w:pStyle w:val="ParNoG"/>
        <w:tabs>
          <w:tab w:val="clear" w:pos="1701"/>
        </w:tabs>
      </w:pPr>
      <w:r w:rsidRPr="004E224B">
        <w:t>Il n</w:t>
      </w:r>
      <w:r w:rsidR="00753404" w:rsidRPr="004E224B">
        <w:t>’</w:t>
      </w:r>
      <w:r w:rsidRPr="004E224B">
        <w:t>est pas possible actuellement de mettre en œuvre du matériel d</w:t>
      </w:r>
      <w:r w:rsidR="00753404" w:rsidRPr="004E224B">
        <w:t>’</w:t>
      </w:r>
      <w:r w:rsidRPr="004E224B">
        <w:t>attelage lorsque les valeurs des prescriptions fonctionnelles D</w:t>
      </w:r>
      <w:r w:rsidR="00753404" w:rsidRPr="004E224B">
        <w:rPr>
          <w:vertAlign w:val="subscript"/>
        </w:rPr>
        <w:t>C</w:t>
      </w:r>
      <w:r w:rsidRPr="004E224B">
        <w:rPr>
          <w:vertAlign w:val="subscript"/>
        </w:rPr>
        <w:t>req</w:t>
      </w:r>
      <w:r w:rsidRPr="004E224B">
        <w:t>, V</w:t>
      </w:r>
      <w:r w:rsidRPr="004E224B">
        <w:rPr>
          <w:vertAlign w:val="subscript"/>
        </w:rPr>
        <w:t>req</w:t>
      </w:r>
      <w:r w:rsidRPr="004E224B">
        <w:t xml:space="preserve"> et S</w:t>
      </w:r>
      <w:r w:rsidRPr="004E224B">
        <w:rPr>
          <w:vertAlign w:val="subscript"/>
        </w:rPr>
        <w:t>req</w:t>
      </w:r>
      <w:r w:rsidRPr="004E224B">
        <w:t xml:space="preserve"> calculées tombent dans la zone hachurée de la </w:t>
      </w:r>
      <w:r w:rsidR="00015EA7" w:rsidRPr="004E224B">
        <w:t>figure </w:t>
      </w:r>
      <w:r w:rsidRPr="004E224B">
        <w:t>28. Ce qui revient à dire qu</w:t>
      </w:r>
      <w:r w:rsidR="00753404" w:rsidRPr="004E224B">
        <w:t>’</w:t>
      </w:r>
      <w:r w:rsidRPr="004E224B">
        <w:t>aucune application dans laquelle D</w:t>
      </w:r>
      <w:r w:rsidRPr="004E224B">
        <w:rPr>
          <w:vertAlign w:val="subscript"/>
        </w:rPr>
        <w:t>Creq</w:t>
      </w:r>
      <w:r w:rsidRPr="004E224B">
        <w:t xml:space="preserve"> est supérieur à D</w:t>
      </w:r>
      <w:r w:rsidRPr="004E224B">
        <w:rPr>
          <w:vertAlign w:val="subscript"/>
        </w:rPr>
        <w:t>Ccert</w:t>
      </w:r>
      <w:r w:rsidRPr="004E224B">
        <w:t xml:space="preserve"> et V</w:t>
      </w:r>
      <w:r w:rsidRPr="004E224B">
        <w:rPr>
          <w:vertAlign w:val="subscript"/>
        </w:rPr>
        <w:t>req</w:t>
      </w:r>
      <w:r w:rsidRPr="004E224B">
        <w:t xml:space="preserve"> supérieur à zéro n</w:t>
      </w:r>
      <w:r w:rsidR="00753404" w:rsidRPr="004E224B">
        <w:t>’</w:t>
      </w:r>
      <w:r w:rsidRPr="004E224B">
        <w:t xml:space="preserve">est autorisée. </w:t>
      </w:r>
    </w:p>
    <w:p w:rsidR="00657FD0" w:rsidRPr="004E224B" w:rsidRDefault="00657FD0" w:rsidP="00657FD0">
      <w:pPr>
        <w:pStyle w:val="ParNoG"/>
        <w:tabs>
          <w:tab w:val="clear" w:pos="1701"/>
        </w:tabs>
      </w:pPr>
      <w:r w:rsidRPr="004E224B">
        <w:t>Il est possible de soumettre ces produits à une nouvelle homologation concernant les points d</w:t>
      </w:r>
      <w:r w:rsidR="00753404" w:rsidRPr="004E224B">
        <w:t>’</w:t>
      </w:r>
      <w:r w:rsidRPr="004E224B">
        <w:t>application dans la zone hachurée. Cela se fait également à l</w:t>
      </w:r>
      <w:r w:rsidR="00753404" w:rsidRPr="004E224B">
        <w:t>’</w:t>
      </w:r>
      <w:r w:rsidRPr="004E224B">
        <w:t>occasion. Cette procédure a toutefois pour effet de modifier un certain nombre de valeurs de performance, dont certaines figurent sur la plaque signalétique. En vertu de la présente proposition, une nouvelle demande d</w:t>
      </w:r>
      <w:r w:rsidR="00753404" w:rsidRPr="004E224B">
        <w:t>’</w:t>
      </w:r>
      <w:r w:rsidRPr="004E224B">
        <w:t>homologation ne s</w:t>
      </w:r>
      <w:r w:rsidR="00753404" w:rsidRPr="004E224B">
        <w:t>’</w:t>
      </w:r>
      <w:r w:rsidRPr="004E224B">
        <w:t>imposerait que pour une application au-dessus de la zone hachurée de la f</w:t>
      </w:r>
      <w:r w:rsidR="00015EA7" w:rsidRPr="004E224B">
        <w:t>igure </w:t>
      </w:r>
      <w:r w:rsidRPr="004E224B">
        <w:t>28.</w:t>
      </w:r>
    </w:p>
    <w:p w:rsidR="00657FD0" w:rsidRPr="004E224B" w:rsidRDefault="00657FD0" w:rsidP="00657FD0">
      <w:pPr>
        <w:pStyle w:val="ParNoG"/>
        <w:tabs>
          <w:tab w:val="clear" w:pos="1701"/>
        </w:tabs>
      </w:pPr>
      <w:r w:rsidRPr="004E224B">
        <w:t>Il a été procédé de cette manière à titre exceptionnel avec de bons résultats. La proposition a également été analysée d</w:t>
      </w:r>
      <w:r w:rsidR="00753404" w:rsidRPr="004E224B">
        <w:t>’</w:t>
      </w:r>
      <w:r w:rsidRPr="004E224B">
        <w:t>un point de vue théorique, en appliquant une analyse de fatigue basée sur le formalisme de Haig. Il en est ressorti que la charge statique devait être maintenue à la valeur certifiée de S</w:t>
      </w:r>
      <w:r w:rsidRPr="004E224B">
        <w:rPr>
          <w:vertAlign w:val="subscript"/>
        </w:rPr>
        <w:t>cert</w:t>
      </w:r>
      <w:r w:rsidRPr="004E224B">
        <w:t>. Une modification de S</w:t>
      </w:r>
      <w:r w:rsidRPr="004E224B">
        <w:rPr>
          <w:vertAlign w:val="subscript"/>
        </w:rPr>
        <w:t>req</w:t>
      </w:r>
      <w:r w:rsidRPr="004E224B">
        <w:t xml:space="preserve"> ne saurait être échangée contre une modification de la limite de la valeur</w:t>
      </w:r>
      <w:r w:rsidR="00015EA7" w:rsidRPr="004E224B">
        <w:t> </w:t>
      </w:r>
      <w:r w:rsidRPr="004E224B">
        <w:t>V. Il en résulte que de nouvelles combinaisons de la valeur S</w:t>
      </w:r>
      <w:r w:rsidRPr="004E224B">
        <w:rPr>
          <w:vertAlign w:val="subscript"/>
        </w:rPr>
        <w:t>cert</w:t>
      </w:r>
      <w:r w:rsidRPr="004E224B">
        <w:t xml:space="preserve"> nécessitent une nouvelle homologation.</w:t>
      </w:r>
    </w:p>
    <w:p w:rsidR="00657FD0" w:rsidRPr="004E224B" w:rsidRDefault="00657FD0" w:rsidP="00015EA7">
      <w:pPr>
        <w:pStyle w:val="ParNoG"/>
        <w:keepNext/>
      </w:pPr>
      <w:r w:rsidRPr="004E224B">
        <w:t>Quelques illustrations graphiques sont présentées ci-dessous :</w:t>
      </w:r>
    </w:p>
    <w:p w:rsidR="00657FD0" w:rsidRPr="004E224B" w:rsidRDefault="00657FD0" w:rsidP="00015EA7">
      <w:pPr>
        <w:pStyle w:val="SingleTxtG"/>
        <w:ind w:left="1701"/>
      </w:pPr>
      <w:r w:rsidRPr="004E224B">
        <w:rPr>
          <w:noProof/>
          <w:lang w:val="en-GB" w:eastAsia="en-GB"/>
        </w:rPr>
        <w:drawing>
          <wp:inline distT="0" distB="0" distL="0" distR="0" wp14:anchorId="08D67E83" wp14:editId="27C02CAD">
            <wp:extent cx="3960000" cy="1786304"/>
            <wp:effectExtent l="0" t="0" r="2540" b="4445"/>
            <wp:docPr id="5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840"/>
                    <a:stretch/>
                  </pic:blipFill>
                  <pic:spPr bwMode="auto">
                    <a:xfrm>
                      <a:off x="0" y="0"/>
                      <a:ext cx="3960000" cy="178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FD0" w:rsidRPr="004E224B" w:rsidRDefault="00657FD0" w:rsidP="00015EA7">
      <w:pPr>
        <w:pStyle w:val="Bullet1G"/>
        <w:rPr>
          <w:b/>
          <w:bCs/>
          <w:noProof/>
        </w:rPr>
      </w:pPr>
      <w:r w:rsidRPr="004E224B">
        <w:rPr>
          <w:b/>
          <w:bCs/>
          <w:noProof/>
        </w:rPr>
        <w:t xml:space="preserve">Si la prescription </w:t>
      </w:r>
      <w:r w:rsidRPr="004E224B">
        <w:rPr>
          <w:b/>
          <w:bCs/>
          <w:noProof/>
          <w:lang w:eastAsia="fr-FR"/>
        </w:rPr>
        <w:t>calculée</w:t>
      </w:r>
      <w:r w:rsidRPr="004E224B">
        <w:rPr>
          <w:b/>
          <w:bCs/>
          <w:noProof/>
        </w:rPr>
        <w:t xml:space="preserve"> D</w:t>
      </w:r>
      <w:r w:rsidRPr="004E224B">
        <w:rPr>
          <w:b/>
          <w:bCs/>
          <w:noProof/>
          <w:vertAlign w:val="subscript"/>
        </w:rPr>
        <w:t>Creq</w:t>
      </w:r>
      <w:r w:rsidRPr="004E224B">
        <w:rPr>
          <w:b/>
          <w:bCs/>
          <w:noProof/>
        </w:rPr>
        <w:t xml:space="preserve"> et V</w:t>
      </w:r>
      <w:r w:rsidRPr="004E224B">
        <w:rPr>
          <w:b/>
          <w:bCs/>
          <w:noProof/>
          <w:vertAlign w:val="subscript"/>
        </w:rPr>
        <w:t xml:space="preserve">req </w:t>
      </w:r>
      <w:r w:rsidRPr="004E224B">
        <w:rPr>
          <w:b/>
          <w:bCs/>
          <w:noProof/>
        </w:rPr>
        <w:t>tombe sur les lignes vertes ou à l</w:t>
      </w:r>
      <w:r w:rsidR="00753404" w:rsidRPr="004E224B">
        <w:rPr>
          <w:b/>
          <w:bCs/>
          <w:noProof/>
        </w:rPr>
        <w:t>’</w:t>
      </w:r>
      <w:r w:rsidRPr="004E224B">
        <w:rPr>
          <w:b/>
          <w:bCs/>
          <w:noProof/>
        </w:rPr>
        <w:t>intérieur de la zone grossièrement hachurée, l</w:t>
      </w:r>
      <w:r w:rsidR="00753404" w:rsidRPr="004E224B">
        <w:rPr>
          <w:b/>
          <w:bCs/>
          <w:noProof/>
        </w:rPr>
        <w:t>’</w:t>
      </w:r>
      <w:r w:rsidRPr="004E224B">
        <w:rPr>
          <w:b/>
          <w:bCs/>
          <w:noProof/>
        </w:rPr>
        <w:t xml:space="preserve">application correspondante est </w:t>
      </w:r>
      <w:r w:rsidRPr="004E224B">
        <w:rPr>
          <w:b/>
          <w:bCs/>
          <w:noProof/>
          <w:color w:val="00B050"/>
        </w:rPr>
        <w:t>acceptable</w:t>
      </w:r>
      <w:r w:rsidRPr="004E224B">
        <w:rPr>
          <w:b/>
          <w:bCs/>
          <w:noProof/>
        </w:rPr>
        <w:t xml:space="preserve"> en vertu du Règlement </w:t>
      </w:r>
      <w:r w:rsidR="00015EA7" w:rsidRPr="004E224B">
        <w:rPr>
          <w:rFonts w:eastAsia="MS Mincho"/>
          <w:b/>
          <w:bCs/>
          <w:noProof/>
        </w:rPr>
        <w:t>n</w:t>
      </w:r>
      <w:r w:rsidR="00015EA7" w:rsidRPr="004E224B">
        <w:rPr>
          <w:rFonts w:eastAsia="MS Mincho"/>
          <w:b/>
          <w:bCs/>
          <w:noProof/>
          <w:vertAlign w:val="superscript"/>
        </w:rPr>
        <w:t>o</w:t>
      </w:r>
      <w:r w:rsidR="00015EA7" w:rsidRPr="004E224B">
        <w:rPr>
          <w:b/>
          <w:bCs/>
          <w:noProof/>
        </w:rPr>
        <w:t> </w:t>
      </w:r>
      <w:r w:rsidRPr="004E224B">
        <w:rPr>
          <w:b/>
          <w:bCs/>
          <w:noProof/>
        </w:rPr>
        <w:t>55.</w:t>
      </w:r>
    </w:p>
    <w:p w:rsidR="00657FD0" w:rsidRPr="004E224B" w:rsidRDefault="00657FD0" w:rsidP="00657FD0">
      <w:pPr>
        <w:pStyle w:val="Bullet1G"/>
        <w:rPr>
          <w:noProof/>
        </w:rPr>
      </w:pPr>
      <w:r w:rsidRPr="004E224B">
        <w:rPr>
          <w:noProof/>
        </w:rPr>
        <w:t xml:space="preserve">On suppose que la charge </w:t>
      </w:r>
      <w:r w:rsidRPr="004E224B">
        <w:rPr>
          <w:noProof/>
          <w:lang w:eastAsia="fr-FR"/>
        </w:rPr>
        <w:t>supportée</w:t>
      </w:r>
      <w:r w:rsidRPr="004E224B">
        <w:rPr>
          <w:noProof/>
        </w:rPr>
        <w:t xml:space="preserve"> est inférieure à 1</w:t>
      </w:r>
      <w:r w:rsidR="00015EA7" w:rsidRPr="004E224B">
        <w:rPr>
          <w:noProof/>
        </w:rPr>
        <w:t> </w:t>
      </w:r>
      <w:r w:rsidRPr="004E224B">
        <w:rPr>
          <w:noProof/>
        </w:rPr>
        <w:t>000 kg.</w:t>
      </w:r>
    </w:p>
    <w:p w:rsidR="00657FD0" w:rsidRPr="004E224B" w:rsidRDefault="00657FD0" w:rsidP="004E224B">
      <w:pPr>
        <w:pStyle w:val="SingleTxtG"/>
        <w:ind w:left="1701"/>
      </w:pPr>
      <w:r w:rsidRPr="004E224B">
        <w:rPr>
          <w:noProof/>
          <w:lang w:val="en-GB" w:eastAsia="en-GB"/>
        </w:rPr>
        <w:drawing>
          <wp:inline distT="0" distB="0" distL="0" distR="0" wp14:anchorId="64E84B5F" wp14:editId="3EA07AD1">
            <wp:extent cx="3960000" cy="1857252"/>
            <wp:effectExtent l="0" t="0" r="2540" b="0"/>
            <wp:docPr id="6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006"/>
                    <a:stretch/>
                  </pic:blipFill>
                  <pic:spPr bwMode="auto">
                    <a:xfrm>
                      <a:off x="0" y="0"/>
                      <a:ext cx="3960000" cy="185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FD0" w:rsidRPr="004E224B" w:rsidRDefault="00657FD0" w:rsidP="00015EA7">
      <w:pPr>
        <w:pStyle w:val="Bullet1G"/>
        <w:rPr>
          <w:b/>
          <w:bCs/>
          <w:noProof/>
        </w:rPr>
      </w:pPr>
      <w:r w:rsidRPr="004E224B">
        <w:rPr>
          <w:b/>
          <w:bCs/>
          <w:noProof/>
        </w:rPr>
        <w:lastRenderedPageBreak/>
        <w:t>Si la prescription calculée D</w:t>
      </w:r>
      <w:r w:rsidRPr="004E224B">
        <w:rPr>
          <w:b/>
          <w:bCs/>
          <w:noProof/>
          <w:vertAlign w:val="subscript"/>
        </w:rPr>
        <w:t>Creq</w:t>
      </w:r>
      <w:r w:rsidRPr="004E224B">
        <w:rPr>
          <w:b/>
          <w:bCs/>
          <w:noProof/>
        </w:rPr>
        <w:t xml:space="preserve"> et V</w:t>
      </w:r>
      <w:r w:rsidRPr="004E224B">
        <w:rPr>
          <w:b/>
          <w:bCs/>
          <w:noProof/>
          <w:vertAlign w:val="subscript"/>
        </w:rPr>
        <w:t xml:space="preserve">req </w:t>
      </w:r>
      <w:r w:rsidRPr="004E224B">
        <w:rPr>
          <w:b/>
          <w:bCs/>
          <w:noProof/>
        </w:rPr>
        <w:t>tombe hors de la zone, comme il est</w:t>
      </w:r>
      <w:r w:rsidR="004E224B" w:rsidRPr="004E224B">
        <w:rPr>
          <w:b/>
          <w:bCs/>
          <w:noProof/>
        </w:rPr>
        <w:t xml:space="preserve"> </w:t>
      </w:r>
      <w:r w:rsidRPr="004E224B">
        <w:rPr>
          <w:b/>
          <w:bCs/>
          <w:noProof/>
        </w:rPr>
        <w:t>représenté ci-dessus l</w:t>
      </w:r>
      <w:r w:rsidR="00753404" w:rsidRPr="004E224B">
        <w:rPr>
          <w:b/>
          <w:bCs/>
          <w:noProof/>
        </w:rPr>
        <w:t>’</w:t>
      </w:r>
      <w:r w:rsidRPr="004E224B">
        <w:rPr>
          <w:b/>
          <w:bCs/>
          <w:noProof/>
        </w:rPr>
        <w:t xml:space="preserve">application correspondante est </w:t>
      </w:r>
      <w:r w:rsidRPr="004E224B">
        <w:rPr>
          <w:b/>
          <w:bCs/>
          <w:noProof/>
          <w:color w:val="FF0000"/>
        </w:rPr>
        <w:t>inacceptable</w:t>
      </w:r>
      <w:r w:rsidRPr="004E224B">
        <w:rPr>
          <w:b/>
          <w:bCs/>
          <w:noProof/>
        </w:rPr>
        <w:t xml:space="preserve"> en vertu du Règlement </w:t>
      </w:r>
      <w:r w:rsidR="00015EA7" w:rsidRPr="004E224B">
        <w:rPr>
          <w:rFonts w:eastAsia="MS Mincho"/>
          <w:b/>
          <w:bCs/>
          <w:noProof/>
        </w:rPr>
        <w:t>n</w:t>
      </w:r>
      <w:r w:rsidR="00015EA7" w:rsidRPr="004E224B">
        <w:rPr>
          <w:rFonts w:eastAsia="MS Mincho"/>
          <w:b/>
          <w:bCs/>
          <w:noProof/>
          <w:vertAlign w:val="superscript"/>
        </w:rPr>
        <w:t>o</w:t>
      </w:r>
      <w:r w:rsidR="00015EA7" w:rsidRPr="004E224B">
        <w:rPr>
          <w:b/>
          <w:bCs/>
          <w:noProof/>
        </w:rPr>
        <w:t> </w:t>
      </w:r>
      <w:r w:rsidRPr="004E224B">
        <w:rPr>
          <w:b/>
          <w:bCs/>
          <w:noProof/>
          <w:lang w:eastAsia="fr-FR"/>
        </w:rPr>
        <w:t>55</w:t>
      </w:r>
      <w:r w:rsidRPr="004E224B">
        <w:rPr>
          <w:b/>
          <w:bCs/>
          <w:noProof/>
        </w:rPr>
        <w:t>.</w:t>
      </w:r>
    </w:p>
    <w:p w:rsidR="00657FD0" w:rsidRPr="004E224B" w:rsidRDefault="00657FD0" w:rsidP="00657FD0">
      <w:pPr>
        <w:pStyle w:val="Bullet1G"/>
        <w:rPr>
          <w:noProof/>
        </w:rPr>
      </w:pPr>
      <w:r w:rsidRPr="004E224B">
        <w:rPr>
          <w:noProof/>
        </w:rPr>
        <w:t>On suppose que la charge supportée est inférieure à 1</w:t>
      </w:r>
      <w:r w:rsidR="00015EA7" w:rsidRPr="004E224B">
        <w:rPr>
          <w:noProof/>
        </w:rPr>
        <w:t> </w:t>
      </w:r>
      <w:r w:rsidRPr="004E224B">
        <w:rPr>
          <w:noProof/>
        </w:rPr>
        <w:t>000 kg.</w:t>
      </w:r>
    </w:p>
    <w:p w:rsidR="00657FD0" w:rsidRPr="004E224B" w:rsidRDefault="00657FD0" w:rsidP="00015EA7">
      <w:pPr>
        <w:pStyle w:val="SingleTxtG"/>
        <w:ind w:left="1701"/>
      </w:pPr>
      <w:r w:rsidRPr="004E224B">
        <w:rPr>
          <w:noProof/>
          <w:lang w:val="en-GB" w:eastAsia="en-GB"/>
        </w:rPr>
        <w:drawing>
          <wp:inline distT="0" distB="0" distL="0" distR="0" wp14:anchorId="5423AA95" wp14:editId="7753F24A">
            <wp:extent cx="3960000" cy="1818869"/>
            <wp:effectExtent l="0" t="0" r="2540" b="0"/>
            <wp:docPr id="8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" r="1494"/>
                    <a:stretch/>
                  </pic:blipFill>
                  <pic:spPr bwMode="auto">
                    <a:xfrm>
                      <a:off x="0" y="0"/>
                      <a:ext cx="3960000" cy="1818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FD0" w:rsidRPr="004E224B" w:rsidRDefault="00657FD0" w:rsidP="00657FD0">
      <w:pPr>
        <w:pStyle w:val="Bullet1G"/>
        <w:rPr>
          <w:b/>
          <w:bCs/>
          <w:noProof/>
          <w:lang w:eastAsia="fr-FR"/>
        </w:rPr>
      </w:pPr>
      <w:r w:rsidRPr="004E224B">
        <w:rPr>
          <w:b/>
          <w:bCs/>
          <w:noProof/>
          <w:lang w:eastAsia="fr-FR"/>
        </w:rPr>
        <w:t>De nouvelles homologations, l</w:t>
      </w:r>
      <w:r w:rsidR="00753404" w:rsidRPr="004E224B">
        <w:rPr>
          <w:b/>
          <w:bCs/>
          <w:noProof/>
          <w:lang w:eastAsia="fr-FR"/>
        </w:rPr>
        <w:t>’</w:t>
      </w:r>
      <w:r w:rsidRPr="004E224B">
        <w:rPr>
          <w:b/>
          <w:bCs/>
          <w:noProof/>
          <w:lang w:eastAsia="fr-FR"/>
        </w:rPr>
        <w:t xml:space="preserve">expérience et des recherches spéciales ont montré que les applications pour lesquelles </w:t>
      </w:r>
      <w:r w:rsidRPr="004E224B">
        <w:rPr>
          <w:b/>
          <w:bCs/>
          <w:noProof/>
        </w:rPr>
        <w:t>la prescription calculée D</w:t>
      </w:r>
      <w:r w:rsidRPr="004E224B">
        <w:rPr>
          <w:b/>
          <w:bCs/>
          <w:noProof/>
          <w:vertAlign w:val="subscript"/>
        </w:rPr>
        <w:t>Creq</w:t>
      </w:r>
      <w:r w:rsidRPr="004E224B">
        <w:rPr>
          <w:b/>
          <w:bCs/>
          <w:noProof/>
        </w:rPr>
        <w:t xml:space="preserve"> et V</w:t>
      </w:r>
      <w:r w:rsidRPr="004E224B">
        <w:rPr>
          <w:b/>
          <w:bCs/>
          <w:noProof/>
          <w:vertAlign w:val="subscript"/>
        </w:rPr>
        <w:t xml:space="preserve">req </w:t>
      </w:r>
      <w:r w:rsidRPr="004E224B">
        <w:rPr>
          <w:b/>
          <w:bCs/>
          <w:noProof/>
        </w:rPr>
        <w:t>tombe dans la zone finement hachurée sont sans danger.</w:t>
      </w:r>
    </w:p>
    <w:p w:rsidR="00657FD0" w:rsidRPr="004E224B" w:rsidRDefault="00657FD0" w:rsidP="00015EA7">
      <w:pPr>
        <w:pStyle w:val="Bullet1G"/>
        <w:rPr>
          <w:noProof/>
        </w:rPr>
      </w:pPr>
      <w:r w:rsidRPr="004E224B">
        <w:rPr>
          <w:noProof/>
        </w:rPr>
        <w:t>On suppose que la charge supportée est inférieure à 1</w:t>
      </w:r>
      <w:r w:rsidR="00015EA7" w:rsidRPr="004E224B">
        <w:rPr>
          <w:noProof/>
        </w:rPr>
        <w:t> </w:t>
      </w:r>
      <w:r w:rsidRPr="004E224B">
        <w:rPr>
          <w:noProof/>
        </w:rPr>
        <w:t>000 kg.</w:t>
      </w:r>
    </w:p>
    <w:p w:rsidR="00657FD0" w:rsidRPr="004E224B" w:rsidRDefault="00657FD0" w:rsidP="00015EA7">
      <w:pPr>
        <w:pStyle w:val="SingleTxtG"/>
        <w:ind w:left="1701"/>
      </w:pPr>
      <w:r w:rsidRPr="004E224B">
        <w:rPr>
          <w:noProof/>
          <w:lang w:val="en-GB" w:eastAsia="en-GB"/>
        </w:rPr>
        <w:drawing>
          <wp:inline distT="0" distB="0" distL="0" distR="0" wp14:anchorId="6A82EAC1" wp14:editId="3B74E147">
            <wp:extent cx="3960000" cy="1813935"/>
            <wp:effectExtent l="0" t="0" r="2540" b="0"/>
            <wp:docPr id="10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D0" w:rsidRPr="004E224B" w:rsidRDefault="00657FD0" w:rsidP="00015EA7">
      <w:pPr>
        <w:pStyle w:val="Bullet1G"/>
        <w:keepNext/>
        <w:rPr>
          <w:b/>
          <w:bCs/>
        </w:rPr>
      </w:pPr>
      <w:r w:rsidRPr="004E224B">
        <w:rPr>
          <w:b/>
          <w:bCs/>
        </w:rPr>
        <w:t>Il est proposé que</w:t>
      </w:r>
      <w:r w:rsidR="00015EA7" w:rsidRPr="004E224B">
        <w:rPr>
          <w:b/>
          <w:bCs/>
        </w:rPr>
        <w:t> :</w:t>
      </w:r>
    </w:p>
    <w:p w:rsidR="00657FD0" w:rsidRPr="004E224B" w:rsidRDefault="00657FD0" w:rsidP="00015EA7">
      <w:pPr>
        <w:pStyle w:val="Bullet2G"/>
        <w:rPr>
          <w:b/>
          <w:bCs/>
        </w:rPr>
      </w:pPr>
      <w:r w:rsidRPr="004E224B">
        <w:rPr>
          <w:b/>
          <w:bCs/>
          <w:noProof/>
          <w:lang w:eastAsia="fr-FR"/>
        </w:rPr>
        <w:t xml:space="preserve">Les applications pour lesquelles </w:t>
      </w:r>
      <w:r w:rsidRPr="004E224B">
        <w:rPr>
          <w:b/>
          <w:bCs/>
          <w:noProof/>
        </w:rPr>
        <w:t>la prescription calculée D</w:t>
      </w:r>
      <w:r w:rsidRPr="004E224B">
        <w:rPr>
          <w:b/>
          <w:bCs/>
          <w:noProof/>
          <w:vertAlign w:val="subscript"/>
        </w:rPr>
        <w:t>Creq</w:t>
      </w:r>
      <w:r w:rsidRPr="004E224B">
        <w:rPr>
          <w:b/>
          <w:bCs/>
          <w:noProof/>
        </w:rPr>
        <w:t xml:space="preserve"> et V</w:t>
      </w:r>
      <w:r w:rsidRPr="004E224B">
        <w:rPr>
          <w:b/>
          <w:bCs/>
          <w:noProof/>
          <w:vertAlign w:val="subscript"/>
        </w:rPr>
        <w:t xml:space="preserve">req </w:t>
      </w:r>
      <w:r w:rsidRPr="004E224B">
        <w:rPr>
          <w:b/>
          <w:bCs/>
          <w:noProof/>
        </w:rPr>
        <w:t>tombe sous la ligne verte (épaisse), c</w:t>
      </w:r>
      <w:r w:rsidR="00753404" w:rsidRPr="004E224B">
        <w:rPr>
          <w:b/>
          <w:bCs/>
          <w:noProof/>
        </w:rPr>
        <w:t>’</w:t>
      </w:r>
      <w:r w:rsidRPr="004E224B">
        <w:rPr>
          <w:b/>
          <w:bCs/>
          <w:noProof/>
        </w:rPr>
        <w:t xml:space="preserve">est-à-dire également dans la zone finement hachurée, soient autorisées en vertu du Règlement </w:t>
      </w:r>
      <w:r w:rsidR="00015EA7" w:rsidRPr="004E224B">
        <w:rPr>
          <w:rFonts w:eastAsia="MS Mincho"/>
          <w:b/>
          <w:bCs/>
          <w:noProof/>
        </w:rPr>
        <w:t>n</w:t>
      </w:r>
      <w:r w:rsidR="00015EA7" w:rsidRPr="004E224B">
        <w:rPr>
          <w:rFonts w:eastAsia="MS Mincho"/>
          <w:b/>
          <w:bCs/>
          <w:noProof/>
          <w:vertAlign w:val="superscript"/>
        </w:rPr>
        <w:t>o</w:t>
      </w:r>
      <w:r w:rsidR="00015EA7" w:rsidRPr="004E224B">
        <w:rPr>
          <w:b/>
          <w:bCs/>
          <w:noProof/>
        </w:rPr>
        <w:t> </w:t>
      </w:r>
      <w:r w:rsidRPr="004E224B">
        <w:rPr>
          <w:b/>
          <w:bCs/>
          <w:noProof/>
        </w:rPr>
        <w:t>55.</w:t>
      </w:r>
    </w:p>
    <w:p w:rsidR="00657FD0" w:rsidRPr="004E224B" w:rsidRDefault="00657FD0" w:rsidP="00657FD0">
      <w:pPr>
        <w:pStyle w:val="Bullet1G"/>
      </w:pPr>
      <w:r w:rsidRPr="004E224B">
        <w:t>On suppose que la charge supportée est inférieure à 1</w:t>
      </w:r>
      <w:r w:rsidR="00015EA7" w:rsidRPr="004E224B">
        <w:t> </w:t>
      </w:r>
      <w:r w:rsidRPr="004E224B">
        <w:t>000 kg.</w:t>
      </w:r>
    </w:p>
    <w:p w:rsidR="00F9573C" w:rsidRPr="00015EA7" w:rsidRDefault="00657FD0" w:rsidP="00657FD0">
      <w:pPr>
        <w:pStyle w:val="SingleTxtG"/>
        <w:spacing w:before="240" w:after="0"/>
        <w:jc w:val="center"/>
        <w:rPr>
          <w:u w:val="single"/>
        </w:rPr>
      </w:pPr>
      <w:r w:rsidRPr="00015EA7">
        <w:rPr>
          <w:u w:val="single"/>
        </w:rPr>
        <w:tab/>
      </w:r>
      <w:r w:rsidRPr="00015EA7">
        <w:rPr>
          <w:u w:val="single"/>
        </w:rPr>
        <w:tab/>
      </w:r>
      <w:r w:rsidRPr="00015EA7">
        <w:rPr>
          <w:u w:val="single"/>
        </w:rPr>
        <w:tab/>
      </w:r>
    </w:p>
    <w:sectPr w:rsidR="00F9573C" w:rsidRPr="00015EA7" w:rsidSect="00657FD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45" w:rsidRDefault="00550045" w:rsidP="00F95C08">
      <w:pPr>
        <w:spacing w:line="240" w:lineRule="auto"/>
      </w:pPr>
    </w:p>
  </w:endnote>
  <w:endnote w:type="continuationSeparator" w:id="0">
    <w:p w:rsidR="00550045" w:rsidRPr="00AC3823" w:rsidRDefault="00550045" w:rsidP="00AC3823">
      <w:pPr>
        <w:pStyle w:val="Footer"/>
      </w:pPr>
    </w:p>
  </w:endnote>
  <w:endnote w:type="continuationNotice" w:id="1">
    <w:p w:rsidR="00550045" w:rsidRDefault="005500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D0" w:rsidRPr="00657FD0" w:rsidRDefault="00657FD0" w:rsidP="00657FD0">
    <w:pPr>
      <w:pStyle w:val="Footer"/>
      <w:tabs>
        <w:tab w:val="right" w:pos="9638"/>
      </w:tabs>
    </w:pPr>
    <w:r w:rsidRPr="00657FD0">
      <w:rPr>
        <w:b/>
        <w:sz w:val="18"/>
      </w:rPr>
      <w:fldChar w:fldCharType="begin"/>
    </w:r>
    <w:r w:rsidRPr="00657FD0">
      <w:rPr>
        <w:b/>
        <w:sz w:val="18"/>
      </w:rPr>
      <w:instrText xml:space="preserve"> PAGE  \* MERGEFORMAT </w:instrText>
    </w:r>
    <w:r w:rsidRPr="00657FD0">
      <w:rPr>
        <w:b/>
        <w:sz w:val="18"/>
      </w:rPr>
      <w:fldChar w:fldCharType="separate"/>
    </w:r>
    <w:r w:rsidR="000B61D0">
      <w:rPr>
        <w:b/>
        <w:noProof/>
        <w:sz w:val="18"/>
      </w:rPr>
      <w:t>4</w:t>
    </w:r>
    <w:r w:rsidRPr="00657FD0">
      <w:rPr>
        <w:b/>
        <w:sz w:val="18"/>
      </w:rPr>
      <w:fldChar w:fldCharType="end"/>
    </w:r>
    <w:r>
      <w:rPr>
        <w:b/>
        <w:sz w:val="18"/>
      </w:rPr>
      <w:tab/>
    </w:r>
    <w:r>
      <w:t>GE.16-11603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D0" w:rsidRPr="00657FD0" w:rsidRDefault="00657FD0" w:rsidP="00657FD0">
    <w:pPr>
      <w:pStyle w:val="Footer"/>
      <w:tabs>
        <w:tab w:val="right" w:pos="9638"/>
      </w:tabs>
      <w:rPr>
        <w:b/>
        <w:sz w:val="18"/>
      </w:rPr>
    </w:pPr>
    <w:r>
      <w:t>GE.16-11603</w:t>
    </w:r>
    <w:r>
      <w:tab/>
    </w:r>
    <w:r w:rsidRPr="00657FD0">
      <w:rPr>
        <w:b/>
        <w:sz w:val="18"/>
      </w:rPr>
      <w:fldChar w:fldCharType="begin"/>
    </w:r>
    <w:r w:rsidRPr="00657FD0">
      <w:rPr>
        <w:b/>
        <w:sz w:val="18"/>
      </w:rPr>
      <w:instrText xml:space="preserve"> PAGE  \* MERGEFORMAT </w:instrText>
    </w:r>
    <w:r w:rsidRPr="00657FD0">
      <w:rPr>
        <w:b/>
        <w:sz w:val="18"/>
      </w:rPr>
      <w:fldChar w:fldCharType="separate"/>
    </w:r>
    <w:r w:rsidR="000B61D0">
      <w:rPr>
        <w:b/>
        <w:noProof/>
        <w:sz w:val="18"/>
      </w:rPr>
      <w:t>3</w:t>
    </w:r>
    <w:r w:rsidRPr="00657F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57FD0" w:rsidRDefault="00657FD0" w:rsidP="00657FD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0F6E06B" wp14:editId="3A0C38A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16-11603  (F)    200716    050816</w:t>
    </w:r>
    <w:r>
      <w:rPr>
        <w:sz w:val="20"/>
      </w:rPr>
      <w:br/>
    </w:r>
    <w:r w:rsidRPr="00657FD0">
      <w:rPr>
        <w:rFonts w:ascii="C39T30Lfz" w:hAnsi="C39T30Lfz"/>
        <w:sz w:val="56"/>
      </w:rPr>
      <w:t></w:t>
    </w:r>
    <w:r w:rsidRPr="00657FD0">
      <w:rPr>
        <w:rFonts w:ascii="C39T30Lfz" w:hAnsi="C39T30Lfz"/>
        <w:sz w:val="56"/>
      </w:rPr>
      <w:t></w:t>
    </w:r>
    <w:r w:rsidRPr="00657FD0">
      <w:rPr>
        <w:rFonts w:ascii="C39T30Lfz" w:hAnsi="C39T30Lfz"/>
        <w:sz w:val="56"/>
      </w:rPr>
      <w:t></w:t>
    </w:r>
    <w:r w:rsidRPr="00657FD0">
      <w:rPr>
        <w:rFonts w:ascii="C39T30Lfz" w:hAnsi="C39T30Lfz"/>
        <w:sz w:val="56"/>
      </w:rPr>
      <w:t></w:t>
    </w:r>
    <w:r w:rsidRPr="00657FD0">
      <w:rPr>
        <w:rFonts w:ascii="C39T30Lfz" w:hAnsi="C39T30Lfz"/>
        <w:sz w:val="56"/>
      </w:rPr>
      <w:t></w:t>
    </w:r>
    <w:r w:rsidRPr="00657FD0">
      <w:rPr>
        <w:rFonts w:ascii="C39T30Lfz" w:hAnsi="C39T30Lfz"/>
        <w:sz w:val="56"/>
      </w:rPr>
      <w:t></w:t>
    </w:r>
    <w:r w:rsidRPr="00657FD0">
      <w:rPr>
        <w:rFonts w:ascii="C39T30Lfz" w:hAnsi="C39T30Lfz"/>
        <w:sz w:val="56"/>
      </w:rPr>
      <w:t></w:t>
    </w:r>
    <w:r w:rsidRPr="00657FD0">
      <w:rPr>
        <w:rFonts w:ascii="C39T30Lfz" w:hAnsi="C39T30Lfz"/>
        <w:sz w:val="56"/>
      </w:rPr>
      <w:t></w:t>
    </w:r>
    <w:r w:rsidRPr="00657FD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45" w:rsidRPr="00AC3823" w:rsidRDefault="005500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0045" w:rsidRPr="00AC3823" w:rsidRDefault="005500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50045" w:rsidRPr="00AC3823" w:rsidRDefault="00550045">
      <w:pPr>
        <w:spacing w:line="240" w:lineRule="auto"/>
        <w:rPr>
          <w:sz w:val="2"/>
          <w:szCs w:val="2"/>
        </w:rPr>
      </w:pPr>
    </w:p>
  </w:footnote>
  <w:footnote w:id="2">
    <w:p w:rsidR="00657FD0" w:rsidRPr="00657FD0" w:rsidRDefault="00657FD0" w:rsidP="00657FD0">
      <w:pPr>
        <w:pStyle w:val="FootnoteText"/>
        <w:rPr>
          <w:spacing w:val="-3"/>
        </w:rPr>
      </w:pPr>
      <w:r>
        <w:tab/>
      </w:r>
      <w:r w:rsidRPr="00317637">
        <w:rPr>
          <w:sz w:val="20"/>
          <w:lang w:val="fr-FR"/>
        </w:rPr>
        <w:t>*</w:t>
      </w:r>
      <w:r w:rsidRPr="00317637">
        <w:rPr>
          <w:sz w:val="20"/>
        </w:rPr>
        <w:tab/>
      </w:r>
      <w:r w:rsidRPr="00657FD0">
        <w:rPr>
          <w:spacing w:val="-3"/>
        </w:rPr>
        <w:t>Conformément au programme de travail du Comité des transports intérieurs pour la période</w:t>
      </w:r>
      <w:r w:rsidR="009365C0">
        <w:rPr>
          <w:spacing w:val="-3"/>
        </w:rPr>
        <w:t xml:space="preserve"> 2016-2017 (ECE/TRANS/254, par. </w:t>
      </w:r>
      <w:r w:rsidRPr="00657FD0">
        <w:rPr>
          <w:spacing w:val="-3"/>
        </w:rPr>
        <w:t>159, et ECE/TRANS/2016/28/Add.1, module 3.1), le Forum mondial a pour mission d</w:t>
      </w:r>
      <w:r w:rsidR="00753404">
        <w:rPr>
          <w:spacing w:val="-3"/>
        </w:rPr>
        <w:t>’</w:t>
      </w:r>
      <w:r w:rsidRPr="00657FD0">
        <w:rPr>
          <w:spacing w:val="-3"/>
        </w:rPr>
        <w:t>élaborer, d</w:t>
      </w:r>
      <w:r w:rsidR="00753404">
        <w:rPr>
          <w:spacing w:val="-3"/>
        </w:rPr>
        <w:t>’</w:t>
      </w:r>
      <w:r w:rsidRPr="00657FD0">
        <w:rPr>
          <w:spacing w:val="-3"/>
        </w:rPr>
        <w:t>harmoniser et de mettre à jour les Règlements en vue d</w:t>
      </w:r>
      <w:r w:rsidR="00753404">
        <w:rPr>
          <w:spacing w:val="-3"/>
        </w:rPr>
        <w:t>’</w:t>
      </w:r>
      <w:r w:rsidRPr="00657FD0">
        <w:rPr>
          <w:spacing w:val="-3"/>
        </w:rPr>
        <w:t>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D0" w:rsidRPr="00657FD0" w:rsidRDefault="00657FD0">
    <w:pPr>
      <w:pStyle w:val="Header"/>
    </w:pPr>
    <w:r>
      <w:t>ECE/TRANS/WP.29/GRRF/2016/30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D0" w:rsidRPr="00657FD0" w:rsidRDefault="00657FD0" w:rsidP="00657FD0">
    <w:pPr>
      <w:pStyle w:val="Header"/>
      <w:jc w:val="right"/>
    </w:pPr>
    <w:r>
      <w:t>ECE/TRANS/WP.29/GRRF/2016/30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3">
    <w:nsid w:val="4EAF5DFE"/>
    <w:multiLevelType w:val="hybridMultilevel"/>
    <w:tmpl w:val="40A8C35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F0708BE"/>
    <w:multiLevelType w:val="hybridMultilevel"/>
    <w:tmpl w:val="D79E714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FDD0842"/>
    <w:multiLevelType w:val="hybridMultilevel"/>
    <w:tmpl w:val="00FE633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0"/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45"/>
    <w:rsid w:val="00015EA7"/>
    <w:rsid w:val="00017F94"/>
    <w:rsid w:val="00023842"/>
    <w:rsid w:val="000334F9"/>
    <w:rsid w:val="0007796D"/>
    <w:rsid w:val="000B61D0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E7B6E"/>
    <w:rsid w:val="00305801"/>
    <w:rsid w:val="003916DE"/>
    <w:rsid w:val="00441C3B"/>
    <w:rsid w:val="00446FE5"/>
    <w:rsid w:val="00452396"/>
    <w:rsid w:val="004837D8"/>
    <w:rsid w:val="004E224B"/>
    <w:rsid w:val="004E468C"/>
    <w:rsid w:val="00550045"/>
    <w:rsid w:val="005505B7"/>
    <w:rsid w:val="00573BE5"/>
    <w:rsid w:val="00586ED3"/>
    <w:rsid w:val="00596AA9"/>
    <w:rsid w:val="00657FD0"/>
    <w:rsid w:val="0071601D"/>
    <w:rsid w:val="00753404"/>
    <w:rsid w:val="007A62E6"/>
    <w:rsid w:val="007F20FA"/>
    <w:rsid w:val="0080684C"/>
    <w:rsid w:val="00871C75"/>
    <w:rsid w:val="008776DC"/>
    <w:rsid w:val="009365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B5197"/>
    <w:rsid w:val="00DD3BFD"/>
    <w:rsid w:val="00DF6678"/>
    <w:rsid w:val="00E23A6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ECE/TRANS/WP.29/GRRF/2016/30</vt:lpstr>
      <vt:lpstr>ECE/TRANS/WP.29/GRRF/2016/30</vt:lpstr>
    </vt:vector>
  </TitlesOfParts>
  <Company>DCM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ECE/TRANS/WP.29/GRRF/2016/30</dc:title>
  <dc:creator>Morin</dc:creator>
  <cp:lastModifiedBy>Benedicte Boudol</cp:lastModifiedBy>
  <cp:revision>2</cp:revision>
  <cp:lastPrinted>2016-08-05T07:55:00Z</cp:lastPrinted>
  <dcterms:created xsi:type="dcterms:W3CDTF">2016-08-05T09:25:00Z</dcterms:created>
  <dcterms:modified xsi:type="dcterms:W3CDTF">2016-08-05T09:25:00Z</dcterms:modified>
</cp:coreProperties>
</file>