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74843">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74843" w:rsidP="00474843">
            <w:pPr>
              <w:jc w:val="right"/>
            </w:pPr>
            <w:r w:rsidRPr="00474843">
              <w:rPr>
                <w:sz w:val="40"/>
              </w:rPr>
              <w:t>ECE</w:t>
            </w:r>
            <w:r>
              <w:t>/TRANS/WP.29/GRRF/2016/27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74843" w:rsidP="00892A2F">
            <w:pPr>
              <w:spacing w:before="240"/>
            </w:pPr>
            <w:r>
              <w:t>Distr. générale</w:t>
            </w:r>
          </w:p>
          <w:p w:rsidR="00474843" w:rsidRDefault="00474843" w:rsidP="00474843">
            <w:pPr>
              <w:spacing w:line="240" w:lineRule="exact"/>
            </w:pPr>
            <w:r>
              <w:t>5 juillet 2016</w:t>
            </w:r>
          </w:p>
          <w:p w:rsidR="00474843" w:rsidRDefault="00474843" w:rsidP="00474843">
            <w:pPr>
              <w:spacing w:line="240" w:lineRule="exact"/>
            </w:pPr>
            <w:r>
              <w:t>Français</w:t>
            </w:r>
          </w:p>
          <w:p w:rsidR="00474843" w:rsidRPr="00DB58B5" w:rsidRDefault="00474843" w:rsidP="0047484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74843" w:rsidRDefault="0047484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74843" w:rsidRDefault="00474843" w:rsidP="00257168">
      <w:pPr>
        <w:spacing w:before="120" w:after="120" w:line="240" w:lineRule="exact"/>
        <w:rPr>
          <w:b/>
        </w:rPr>
      </w:pPr>
      <w:r>
        <w:rPr>
          <w:b/>
        </w:rPr>
        <w:t>Groupe de travail en matière de roulement et de freinage</w:t>
      </w:r>
    </w:p>
    <w:p w:rsidR="00E14612" w:rsidRPr="00305E7D" w:rsidRDefault="00E14612" w:rsidP="00E14612">
      <w:pPr>
        <w:spacing w:line="240" w:lineRule="exact"/>
        <w:jc w:val="both"/>
        <w:rPr>
          <w:b/>
          <w:lang w:val="fr-FR"/>
        </w:rPr>
      </w:pPr>
      <w:r w:rsidRPr="00305E7D">
        <w:rPr>
          <w:b/>
          <w:lang w:val="fr-FR"/>
        </w:rPr>
        <w:t>Quatre-vingt-deuxième session</w:t>
      </w:r>
    </w:p>
    <w:p w:rsidR="00E14612" w:rsidRPr="00305E7D" w:rsidRDefault="00E14612" w:rsidP="00E14612">
      <w:pPr>
        <w:spacing w:line="240" w:lineRule="exact"/>
        <w:jc w:val="both"/>
        <w:rPr>
          <w:lang w:val="fr-FR"/>
        </w:rPr>
      </w:pPr>
      <w:r w:rsidRPr="00305E7D">
        <w:rPr>
          <w:lang w:val="fr-FR"/>
        </w:rPr>
        <w:t>Genève, 20-23 septembre 2016</w:t>
      </w:r>
    </w:p>
    <w:p w:rsidR="00E14612" w:rsidRPr="00305E7D" w:rsidRDefault="00E14612" w:rsidP="00E14612">
      <w:pPr>
        <w:spacing w:line="240" w:lineRule="exact"/>
        <w:jc w:val="both"/>
        <w:rPr>
          <w:lang w:val="fr-FR"/>
        </w:rPr>
      </w:pPr>
      <w:r w:rsidRPr="00305E7D">
        <w:rPr>
          <w:lang w:val="fr-FR"/>
        </w:rPr>
        <w:t>Point 3 c) de l</w:t>
      </w:r>
      <w:r>
        <w:rPr>
          <w:lang w:val="fr-FR"/>
        </w:rPr>
        <w:t>’</w:t>
      </w:r>
      <w:r w:rsidRPr="00305E7D">
        <w:rPr>
          <w:lang w:val="fr-FR"/>
        </w:rPr>
        <w:t>ordre du jour provisoire</w:t>
      </w:r>
    </w:p>
    <w:p w:rsidR="00E14612" w:rsidRPr="00305E7D" w:rsidRDefault="00E14612" w:rsidP="00E14612">
      <w:pPr>
        <w:spacing w:line="240" w:lineRule="exact"/>
        <w:jc w:val="both"/>
        <w:rPr>
          <w:b/>
          <w:lang w:val="fr-FR"/>
        </w:rPr>
      </w:pPr>
      <w:r w:rsidRPr="00305E7D">
        <w:rPr>
          <w:b/>
          <w:lang w:val="fr-FR"/>
        </w:rPr>
        <w:t>Règlements n</w:t>
      </w:r>
      <w:r w:rsidRPr="00305E7D">
        <w:rPr>
          <w:b/>
          <w:vertAlign w:val="superscript"/>
          <w:lang w:val="fr-FR"/>
        </w:rPr>
        <w:t>os</w:t>
      </w:r>
      <w:r w:rsidRPr="00305E7D">
        <w:rPr>
          <w:b/>
          <w:lang w:val="fr-FR"/>
        </w:rPr>
        <w:t xml:space="preserve"> 13 et 13-H </w:t>
      </w:r>
      <w:r w:rsidR="006603C1">
        <w:rPr>
          <w:b/>
          <w:lang w:val="fr-FR"/>
        </w:rPr>
        <w:t>−</w:t>
      </w:r>
      <w:r w:rsidRPr="00305E7D">
        <w:rPr>
          <w:b/>
          <w:lang w:val="fr-FR"/>
        </w:rPr>
        <w:t xml:space="preserve"> Clarifications</w:t>
      </w:r>
    </w:p>
    <w:p w:rsidR="00E14612" w:rsidRPr="00305E7D" w:rsidRDefault="00E14612" w:rsidP="00E14612">
      <w:pPr>
        <w:pStyle w:val="HChG"/>
        <w:rPr>
          <w:lang w:val="fr-FR"/>
        </w:rPr>
      </w:pPr>
      <w:r>
        <w:rPr>
          <w:lang w:val="fr-FR"/>
        </w:rPr>
        <w:tab/>
      </w:r>
      <w:r>
        <w:rPr>
          <w:lang w:val="fr-FR"/>
        </w:rPr>
        <w:tab/>
      </w:r>
      <w:r w:rsidRPr="00305E7D">
        <w:rPr>
          <w:lang w:val="fr-FR"/>
        </w:rPr>
        <w:t>Proposition d</w:t>
      </w:r>
      <w:r>
        <w:rPr>
          <w:lang w:val="fr-FR"/>
        </w:rPr>
        <w:t>’</w:t>
      </w:r>
      <w:r w:rsidRPr="00305E7D">
        <w:rPr>
          <w:lang w:val="fr-FR"/>
        </w:rPr>
        <w:t>amendements au Règlement n</w:t>
      </w:r>
      <w:r w:rsidRPr="00305E7D">
        <w:rPr>
          <w:vertAlign w:val="superscript"/>
          <w:lang w:val="fr-FR"/>
        </w:rPr>
        <w:t>o</w:t>
      </w:r>
      <w:r>
        <w:rPr>
          <w:lang w:val="fr-FR"/>
        </w:rPr>
        <w:t> </w:t>
      </w:r>
      <w:r w:rsidRPr="00305E7D">
        <w:rPr>
          <w:lang w:val="fr-FR"/>
        </w:rPr>
        <w:t xml:space="preserve">13 (Freinage) </w:t>
      </w:r>
    </w:p>
    <w:p w:rsidR="00E14612" w:rsidRPr="00305E7D" w:rsidRDefault="00E14612" w:rsidP="00E14612">
      <w:pPr>
        <w:pStyle w:val="H1G"/>
        <w:rPr>
          <w:sz w:val="20"/>
          <w:lang w:val="fr-FR"/>
        </w:rPr>
      </w:pPr>
      <w:r>
        <w:rPr>
          <w:lang w:val="fr-FR"/>
        </w:rPr>
        <w:tab/>
      </w:r>
      <w:r>
        <w:rPr>
          <w:lang w:val="fr-FR"/>
        </w:rPr>
        <w:tab/>
      </w:r>
      <w:r w:rsidRPr="00305E7D">
        <w:rPr>
          <w:lang w:val="fr-FR"/>
        </w:rPr>
        <w:t>Communication de l</w:t>
      </w:r>
      <w:r>
        <w:rPr>
          <w:lang w:val="fr-FR"/>
        </w:rPr>
        <w:t>’</w:t>
      </w:r>
      <w:r w:rsidRPr="00305E7D">
        <w:rPr>
          <w:lang w:val="fr-FR"/>
        </w:rPr>
        <w:t>expert de l</w:t>
      </w:r>
      <w:r>
        <w:rPr>
          <w:lang w:val="fr-FR"/>
        </w:rPr>
        <w:t>’</w:t>
      </w:r>
      <w:r w:rsidRPr="00305E7D">
        <w:rPr>
          <w:lang w:val="fr-FR"/>
        </w:rPr>
        <w:t xml:space="preserve">Association européenne </w:t>
      </w:r>
      <w:r>
        <w:rPr>
          <w:lang w:val="fr-FR"/>
        </w:rPr>
        <w:br/>
      </w:r>
      <w:r w:rsidRPr="00305E7D">
        <w:rPr>
          <w:lang w:val="fr-FR"/>
        </w:rPr>
        <w:t>des fournisseurs de l</w:t>
      </w:r>
      <w:r>
        <w:rPr>
          <w:lang w:val="fr-FR"/>
        </w:rPr>
        <w:t>’</w:t>
      </w:r>
      <w:r w:rsidRPr="00305E7D">
        <w:rPr>
          <w:lang w:val="fr-FR"/>
        </w:rPr>
        <w:t>automobile</w:t>
      </w:r>
      <w:r w:rsidRPr="00593F3C">
        <w:rPr>
          <w:rStyle w:val="FootnoteReference"/>
          <w:b w:val="0"/>
          <w:sz w:val="20"/>
          <w:vertAlign w:val="baseline"/>
          <w:lang w:val="fr-FR"/>
        </w:rPr>
        <w:footnoteReference w:customMarkFollows="1" w:id="2"/>
        <w:t>*</w:t>
      </w:r>
    </w:p>
    <w:p w:rsidR="00E14612" w:rsidRDefault="00E14612" w:rsidP="0023704A">
      <w:pPr>
        <w:pStyle w:val="SingleTxtG"/>
        <w:ind w:firstLine="567"/>
        <w:rPr>
          <w:lang w:val="fr-FR"/>
        </w:rPr>
      </w:pPr>
      <w:r w:rsidRPr="00305E7D">
        <w:rPr>
          <w:lang w:val="fr-FR"/>
        </w:rPr>
        <w:t>Le texte ci-après, établi par l</w:t>
      </w:r>
      <w:r>
        <w:rPr>
          <w:lang w:val="fr-FR"/>
        </w:rPr>
        <w:t>’</w:t>
      </w:r>
      <w:r w:rsidRPr="00305E7D">
        <w:rPr>
          <w:lang w:val="fr-FR"/>
        </w:rPr>
        <w:t>expert de l</w:t>
      </w:r>
      <w:r>
        <w:rPr>
          <w:lang w:val="fr-FR"/>
        </w:rPr>
        <w:t>’</w:t>
      </w:r>
      <w:r w:rsidRPr="00305E7D">
        <w:rPr>
          <w:lang w:val="fr-FR"/>
        </w:rPr>
        <w:t>Association européenne des fournisseurs de l</w:t>
      </w:r>
      <w:r>
        <w:rPr>
          <w:lang w:val="fr-FR"/>
        </w:rPr>
        <w:t>’</w:t>
      </w:r>
      <w:r w:rsidRPr="00305E7D">
        <w:rPr>
          <w:lang w:val="fr-FR"/>
        </w:rPr>
        <w:t>automobile (CLEPA), vise à modifier le Règlement n</w:t>
      </w:r>
      <w:r w:rsidRPr="00305E7D">
        <w:rPr>
          <w:vertAlign w:val="superscript"/>
          <w:lang w:val="fr-FR"/>
        </w:rPr>
        <w:t>o</w:t>
      </w:r>
      <w:r w:rsidR="0023704A">
        <w:rPr>
          <w:lang w:val="fr-FR"/>
        </w:rPr>
        <w:t> </w:t>
      </w:r>
      <w:r w:rsidRPr="00305E7D">
        <w:rPr>
          <w:lang w:val="fr-FR"/>
        </w:rPr>
        <w:t>13 sur la base du document informel GRRF-81-20-Rev.1. Les modifications qu</w:t>
      </w:r>
      <w:r>
        <w:rPr>
          <w:lang w:val="fr-FR"/>
        </w:rPr>
        <w:t>’</w:t>
      </w:r>
      <w:r w:rsidRPr="00305E7D">
        <w:rPr>
          <w:lang w:val="fr-FR"/>
        </w:rPr>
        <w:t>il est proposé d</w:t>
      </w:r>
      <w:r>
        <w:rPr>
          <w:lang w:val="fr-FR"/>
        </w:rPr>
        <w:t>’</w:t>
      </w:r>
      <w:r w:rsidRPr="00305E7D">
        <w:rPr>
          <w:lang w:val="fr-FR"/>
        </w:rPr>
        <w:t>apporter au texte actuel du Règlement sont indiquées en caractères gras pour les ajouts ou en caractères biffés pour les suppressions.</w:t>
      </w:r>
    </w:p>
    <w:p w:rsidR="00E14612" w:rsidRPr="00305E7D" w:rsidRDefault="0023704A" w:rsidP="0023704A">
      <w:pPr>
        <w:pStyle w:val="HChG"/>
        <w:rPr>
          <w:lang w:val="fr-FR"/>
        </w:rPr>
      </w:pPr>
      <w:r>
        <w:rPr>
          <w:lang w:val="fr-FR"/>
        </w:rPr>
        <w:br w:type="page"/>
      </w:r>
      <w:r>
        <w:rPr>
          <w:lang w:val="fr-FR"/>
        </w:rPr>
        <w:lastRenderedPageBreak/>
        <w:tab/>
        <w:t>I.</w:t>
      </w:r>
      <w:r>
        <w:rPr>
          <w:lang w:val="fr-FR"/>
        </w:rPr>
        <w:tab/>
      </w:r>
      <w:r w:rsidR="00E14612" w:rsidRPr="00305E7D">
        <w:rPr>
          <w:lang w:val="fr-FR"/>
        </w:rPr>
        <w:t>Proposition</w:t>
      </w:r>
    </w:p>
    <w:p w:rsidR="00E14612" w:rsidRDefault="00E14612" w:rsidP="00E14612">
      <w:pPr>
        <w:pStyle w:val="SingleTxtG"/>
        <w:spacing w:after="240" w:line="240" w:lineRule="exact"/>
        <w:rPr>
          <w:lang w:val="fr-FR"/>
        </w:rPr>
      </w:pPr>
      <w:r w:rsidRPr="00305E7D">
        <w:rPr>
          <w:i/>
          <w:lang w:val="fr-FR"/>
        </w:rPr>
        <w:t>Note de bas de page 12 au paragraphe 5.2.1.32</w:t>
      </w:r>
      <w:r w:rsidRPr="00305E7D">
        <w:rPr>
          <w:lang w:val="fr-FR"/>
        </w:rPr>
        <w:t>, modifier comme suit</w:t>
      </w:r>
      <w:r w:rsidR="0023704A">
        <w:rPr>
          <w:lang w:val="fr-FR"/>
        </w:rPr>
        <w:t> :</w:t>
      </w:r>
    </w:p>
    <w:p w:rsidR="0023704A" w:rsidRPr="00AC3823" w:rsidRDefault="0023704A" w:rsidP="0023704A">
      <w:pPr>
        <w:pStyle w:val="Footer"/>
        <w:tabs>
          <w:tab w:val="right" w:pos="2155"/>
        </w:tabs>
        <w:spacing w:after="80" w:line="240" w:lineRule="atLeast"/>
        <w:ind w:left="1134"/>
        <w:rPr>
          <w:u w:val="single"/>
        </w:rPr>
      </w:pPr>
      <w:r>
        <w:rPr>
          <w:u w:val="single"/>
        </w:rPr>
        <w:tab/>
      </w:r>
    </w:p>
    <w:p w:rsidR="00E14612" w:rsidRPr="00305E7D" w:rsidRDefault="00E14612" w:rsidP="00507548">
      <w:pPr>
        <w:pStyle w:val="FootnoteText"/>
        <w:ind w:left="1418" w:hanging="284"/>
        <w:rPr>
          <w:rFonts w:eastAsia="MS Mincho"/>
          <w:lang w:val="fr-FR"/>
        </w:rPr>
      </w:pPr>
      <w:r w:rsidRPr="00305E7D">
        <w:rPr>
          <w:vertAlign w:val="superscript"/>
          <w:lang w:val="fr-FR"/>
        </w:rPr>
        <w:t>12</w:t>
      </w:r>
      <w:r w:rsidR="0023704A">
        <w:rPr>
          <w:lang w:val="fr-FR"/>
        </w:rPr>
        <w:tab/>
      </w:r>
      <w:r w:rsidRPr="00305E7D">
        <w:rPr>
          <w:lang w:val="fr-FR"/>
        </w:rPr>
        <w:t>Les véhicules tout-terrain, les véhicules spéciaux (par exemple, les engins mobiles montés sur un châssis de véhicule non normalisé, les grues mobiles, les véhicules à propulsion hydrostatique sur lesquels le système hydraulique sert aussi au freinage et à des fonctions auxiliaires</w:t>
      </w:r>
      <w:r w:rsidRPr="00305E7D">
        <w:rPr>
          <w:b/>
          <w:lang w:val="fr-FR"/>
        </w:rPr>
        <w:t>, les véhicules sur lesquels il n</w:t>
      </w:r>
      <w:r>
        <w:rPr>
          <w:b/>
          <w:lang w:val="fr-FR"/>
        </w:rPr>
        <w:t>’</w:t>
      </w:r>
      <w:r w:rsidRPr="00305E7D">
        <w:rPr>
          <w:b/>
          <w:lang w:val="fr-FR"/>
        </w:rPr>
        <w:t>est pas possible d</w:t>
      </w:r>
      <w:r>
        <w:rPr>
          <w:b/>
          <w:lang w:val="fr-FR"/>
        </w:rPr>
        <w:t>’</w:t>
      </w:r>
      <w:r w:rsidRPr="00305E7D">
        <w:rPr>
          <w:b/>
          <w:lang w:val="fr-FR"/>
        </w:rPr>
        <w:t>installer un ou plusieurs capteurs requis pour la fonction de contrôle de stabilité en raison de la conception du châssis</w:t>
      </w:r>
      <w:r w:rsidRPr="00305E7D">
        <w:rPr>
          <w:lang w:val="fr-FR"/>
        </w:rPr>
        <w:t xml:space="preserve"> et les véhicules de la catégorie N</w:t>
      </w:r>
      <w:r w:rsidRPr="00305E7D">
        <w:rPr>
          <w:vertAlign w:val="subscript"/>
          <w:lang w:val="fr-FR"/>
        </w:rPr>
        <w:t>2</w:t>
      </w:r>
      <w:r w:rsidRPr="00305E7D">
        <w:rPr>
          <w:lang w:val="fr-FR"/>
        </w:rPr>
        <w:t xml:space="preserve"> dont la masse brut</w:t>
      </w:r>
      <w:r w:rsidR="00507548">
        <w:rPr>
          <w:lang w:val="fr-FR"/>
        </w:rPr>
        <w:t>e est comprise entre 3,5 et 7,5 </w:t>
      </w:r>
      <w:r w:rsidRPr="00305E7D">
        <w:rPr>
          <w:lang w:val="fr-FR"/>
        </w:rPr>
        <w:t>tonnes, qui sont montés sur un châssis surbaissé non normalisé, qui ont plus de deux essieux et qui sont équipés d</w:t>
      </w:r>
      <w:r>
        <w:rPr>
          <w:lang w:val="fr-FR"/>
        </w:rPr>
        <w:t>’</w:t>
      </w:r>
      <w:r w:rsidRPr="00305E7D">
        <w:rPr>
          <w:lang w:val="fr-FR"/>
        </w:rPr>
        <w:t>une transmission hydraulique), les autobus de la classe I et de la classe A des catégories M</w:t>
      </w:r>
      <w:r w:rsidRPr="00305E7D">
        <w:rPr>
          <w:vertAlign w:val="subscript"/>
          <w:lang w:val="fr-FR"/>
        </w:rPr>
        <w:t>2</w:t>
      </w:r>
      <w:r w:rsidRPr="00305E7D">
        <w:rPr>
          <w:lang w:val="fr-FR"/>
        </w:rPr>
        <w:t xml:space="preserve"> et M</w:t>
      </w:r>
      <w:r w:rsidRPr="00305E7D">
        <w:rPr>
          <w:vertAlign w:val="subscript"/>
          <w:lang w:val="fr-FR"/>
        </w:rPr>
        <w:t>3</w:t>
      </w:r>
      <w:r w:rsidRPr="00305E7D">
        <w:rPr>
          <w:lang w:val="fr-FR"/>
        </w:rPr>
        <w:t>, les autobus et les autocars articulés, et les tracteurs de la catégorie N</w:t>
      </w:r>
      <w:r w:rsidRPr="00305E7D">
        <w:rPr>
          <w:vertAlign w:val="subscript"/>
          <w:lang w:val="fr-FR"/>
        </w:rPr>
        <w:t>2</w:t>
      </w:r>
      <w:r w:rsidRPr="00305E7D">
        <w:rPr>
          <w:lang w:val="fr-FR"/>
        </w:rPr>
        <w:t xml:space="preserve"> pour semi-remorque dont la masse brut</w:t>
      </w:r>
      <w:r w:rsidR="00507548">
        <w:rPr>
          <w:lang w:val="fr-FR"/>
        </w:rPr>
        <w:t>e est comprise entre 3,5 et 7,5 </w:t>
      </w:r>
      <w:r w:rsidRPr="00305E7D">
        <w:rPr>
          <w:lang w:val="fr-FR"/>
        </w:rPr>
        <w:t>tonnes sont dispensés de la présente prescription.</w:t>
      </w:r>
    </w:p>
    <w:p w:rsidR="00E14612" w:rsidRPr="00305E7D" w:rsidRDefault="00507548" w:rsidP="00507548">
      <w:pPr>
        <w:pStyle w:val="HChG"/>
        <w:rPr>
          <w:lang w:val="fr-FR"/>
        </w:rPr>
      </w:pPr>
      <w:r>
        <w:rPr>
          <w:lang w:val="fr-FR"/>
        </w:rPr>
        <w:tab/>
        <w:t>II.</w:t>
      </w:r>
      <w:r>
        <w:rPr>
          <w:lang w:val="fr-FR"/>
        </w:rPr>
        <w:tab/>
      </w:r>
      <w:r w:rsidR="00E14612" w:rsidRPr="00305E7D">
        <w:rPr>
          <w:lang w:val="fr-FR"/>
        </w:rPr>
        <w:t>Justification</w:t>
      </w:r>
    </w:p>
    <w:p w:rsidR="00E14612" w:rsidRPr="00305E7D" w:rsidRDefault="00E14612" w:rsidP="00507548">
      <w:pPr>
        <w:pStyle w:val="ParNoG"/>
        <w:rPr>
          <w:lang w:val="fr-FR"/>
        </w:rPr>
      </w:pPr>
      <w:r w:rsidRPr="00305E7D">
        <w:rPr>
          <w:lang w:val="fr-FR"/>
        </w:rPr>
        <w:t xml:space="preserve">Au paragraphe 5.2.1.32 du Règlement </w:t>
      </w:r>
      <w:r w:rsidR="007F0892" w:rsidRPr="007F0892">
        <w:rPr>
          <w:rFonts w:eastAsia="MS Mincho"/>
          <w:lang w:val="fr-FR"/>
        </w:rPr>
        <w:t>n</w:t>
      </w:r>
      <w:r w:rsidR="007F0892" w:rsidRPr="007F0892">
        <w:rPr>
          <w:rFonts w:eastAsia="MS Mincho"/>
          <w:vertAlign w:val="superscript"/>
          <w:lang w:val="fr-FR"/>
        </w:rPr>
        <w:t>o</w:t>
      </w:r>
      <w:r w:rsidR="007F0892">
        <w:rPr>
          <w:rFonts w:eastAsia="MS Mincho"/>
          <w:vertAlign w:val="superscript"/>
          <w:lang w:val="fr-FR"/>
        </w:rPr>
        <w:t> </w:t>
      </w:r>
      <w:r w:rsidRPr="00305E7D">
        <w:rPr>
          <w:lang w:val="fr-FR"/>
        </w:rPr>
        <w:t>13, il est prescrit d</w:t>
      </w:r>
      <w:r>
        <w:rPr>
          <w:lang w:val="fr-FR"/>
        </w:rPr>
        <w:t>’</w:t>
      </w:r>
      <w:r w:rsidRPr="00305E7D">
        <w:rPr>
          <w:lang w:val="fr-FR"/>
        </w:rPr>
        <w:t>équiper la plupart des véhicules à moteur des catégories N</w:t>
      </w:r>
      <w:r w:rsidRPr="00305E7D">
        <w:rPr>
          <w:vertAlign w:val="subscript"/>
          <w:lang w:val="fr-FR"/>
        </w:rPr>
        <w:t>2</w:t>
      </w:r>
      <w:r w:rsidRPr="00305E7D">
        <w:rPr>
          <w:lang w:val="fr-FR"/>
        </w:rPr>
        <w:t>, N</w:t>
      </w:r>
      <w:r w:rsidRPr="00305E7D">
        <w:rPr>
          <w:vertAlign w:val="subscript"/>
          <w:lang w:val="fr-FR"/>
        </w:rPr>
        <w:t>3</w:t>
      </w:r>
      <w:r w:rsidRPr="00305E7D">
        <w:rPr>
          <w:lang w:val="fr-FR"/>
        </w:rPr>
        <w:t>, M</w:t>
      </w:r>
      <w:r w:rsidRPr="00305E7D">
        <w:rPr>
          <w:vertAlign w:val="subscript"/>
          <w:lang w:val="fr-FR"/>
        </w:rPr>
        <w:t>2</w:t>
      </w:r>
      <w:r w:rsidRPr="00305E7D">
        <w:rPr>
          <w:lang w:val="fr-FR"/>
        </w:rPr>
        <w:t xml:space="preserve"> et M</w:t>
      </w:r>
      <w:r w:rsidRPr="00305E7D">
        <w:rPr>
          <w:vertAlign w:val="subscript"/>
          <w:lang w:val="fr-FR"/>
        </w:rPr>
        <w:t>3</w:t>
      </w:r>
      <w:r w:rsidRPr="00305E7D">
        <w:rPr>
          <w:lang w:val="fr-FR"/>
        </w:rPr>
        <w:t xml:space="preserve"> d</w:t>
      </w:r>
      <w:r>
        <w:rPr>
          <w:lang w:val="fr-FR"/>
        </w:rPr>
        <w:t>’</w:t>
      </w:r>
      <w:r w:rsidRPr="00305E7D">
        <w:rPr>
          <w:lang w:val="fr-FR"/>
        </w:rPr>
        <w:t>une fonction de contrôle de stabilité. Certains véhicules, notamment les véhicules spéciaux mentionnés dans la note de bas de page</w:t>
      </w:r>
      <w:r w:rsidR="00507548">
        <w:rPr>
          <w:lang w:val="fr-FR"/>
        </w:rPr>
        <w:t> </w:t>
      </w:r>
      <w:r w:rsidRPr="00305E7D">
        <w:rPr>
          <w:lang w:val="fr-FR"/>
        </w:rPr>
        <w:t>12 introduite audit paragraphe, sont cependant dispensés de cette prescription. Les véhicules en question ne font l</w:t>
      </w:r>
      <w:r>
        <w:rPr>
          <w:lang w:val="fr-FR"/>
        </w:rPr>
        <w:t>’</w:t>
      </w:r>
      <w:r w:rsidRPr="00305E7D">
        <w:rPr>
          <w:lang w:val="fr-FR"/>
        </w:rPr>
        <w:t>objet d</w:t>
      </w:r>
      <w:r>
        <w:rPr>
          <w:lang w:val="fr-FR"/>
        </w:rPr>
        <w:t>’</w:t>
      </w:r>
      <w:r w:rsidRPr="00305E7D">
        <w:rPr>
          <w:lang w:val="fr-FR"/>
        </w:rPr>
        <w:t>aucune définition précise dans aucun Règlement, mais un certain nombre d</w:t>
      </w:r>
      <w:r>
        <w:rPr>
          <w:lang w:val="fr-FR"/>
        </w:rPr>
        <w:t>’</w:t>
      </w:r>
      <w:r w:rsidRPr="00305E7D">
        <w:rPr>
          <w:lang w:val="fr-FR"/>
        </w:rPr>
        <w:t xml:space="preserve">entre eux sont mentionnés et décrits entre parenthèses pour information. </w:t>
      </w:r>
    </w:p>
    <w:p w:rsidR="00E14612" w:rsidRPr="00305E7D" w:rsidRDefault="00E14612" w:rsidP="00507548">
      <w:pPr>
        <w:pStyle w:val="ParNoG"/>
        <w:tabs>
          <w:tab w:val="clear" w:pos="1701"/>
        </w:tabs>
        <w:rPr>
          <w:lang w:val="fr-FR"/>
        </w:rPr>
      </w:pPr>
      <w:r w:rsidRPr="00305E7D">
        <w:rPr>
          <w:lang w:val="fr-FR"/>
        </w:rPr>
        <w:t>Récemment, un type de véhicule très particulier a été examiné, à savoir les camions dont le châssis est scié à l</w:t>
      </w:r>
      <w:r>
        <w:rPr>
          <w:lang w:val="fr-FR"/>
        </w:rPr>
        <w:t>’</w:t>
      </w:r>
      <w:r w:rsidRPr="00305E7D">
        <w:rPr>
          <w:lang w:val="fr-FR"/>
        </w:rPr>
        <w:t>arrière de la cabine et remplacé par un nouveau châssis sur lequel les roues arrière sont équipées de suspensions indépendantes. Les véhicules de ce type servent à charger et transporter des caisses qui sont placées sur le châssis de remplacement, directement entre les roues arrière. Les objets généralement transportés de la sorte sont des chariots élévateurs et des bobines d</w:t>
      </w:r>
      <w:r>
        <w:rPr>
          <w:lang w:val="fr-FR"/>
        </w:rPr>
        <w:t>’</w:t>
      </w:r>
      <w:r w:rsidRPr="00305E7D">
        <w:rPr>
          <w:lang w:val="fr-FR"/>
        </w:rPr>
        <w:t>acier.</w:t>
      </w:r>
    </w:p>
    <w:p w:rsidR="00E14612" w:rsidRPr="00305E7D" w:rsidRDefault="00E14612" w:rsidP="00507548">
      <w:pPr>
        <w:pStyle w:val="ParNoG"/>
        <w:tabs>
          <w:tab w:val="clear" w:pos="1701"/>
        </w:tabs>
        <w:rPr>
          <w:lang w:val="fr-FR"/>
        </w:rPr>
      </w:pPr>
      <w:r w:rsidRPr="00305E7D">
        <w:rPr>
          <w:lang w:val="fr-FR"/>
        </w:rPr>
        <w:t>Aux fins de leurs calculs algorithmiques, les systèmes électroniques de contrôle de stabilité ont besoin des signaux que leur envoient le capteur d</w:t>
      </w:r>
      <w:r>
        <w:rPr>
          <w:lang w:val="fr-FR"/>
        </w:rPr>
        <w:t>’</w:t>
      </w:r>
      <w:r w:rsidRPr="00305E7D">
        <w:rPr>
          <w:lang w:val="fr-FR"/>
        </w:rPr>
        <w:t>accélération latérale et le capteur de vitesse de lacet. Les emplacements de montage de ces capteurs (indiqués par les constructeurs des véhicules dans une enveloppe prévue à cet effet) se trouvant dans la zone de la caisse des véhicules considérés, il n</w:t>
      </w:r>
      <w:r>
        <w:rPr>
          <w:lang w:val="fr-FR"/>
        </w:rPr>
        <w:t>’</w:t>
      </w:r>
      <w:r w:rsidRPr="00305E7D">
        <w:rPr>
          <w:lang w:val="fr-FR"/>
        </w:rPr>
        <w:t>est pas possible techniquement d</w:t>
      </w:r>
      <w:r>
        <w:rPr>
          <w:lang w:val="fr-FR"/>
        </w:rPr>
        <w:t>’</w:t>
      </w:r>
      <w:r w:rsidRPr="00305E7D">
        <w:rPr>
          <w:lang w:val="fr-FR"/>
        </w:rPr>
        <w:t>utiliser les systèmes de contrôle de stabilité actuels. Il faudrait donc dispenser lesdits véhicules de l</w:t>
      </w:r>
      <w:r>
        <w:rPr>
          <w:lang w:val="fr-FR"/>
        </w:rPr>
        <w:t>’</w:t>
      </w:r>
      <w:r w:rsidRPr="00305E7D">
        <w:rPr>
          <w:lang w:val="fr-FR"/>
        </w:rPr>
        <w:t>obligation d</w:t>
      </w:r>
      <w:r>
        <w:rPr>
          <w:lang w:val="fr-FR"/>
        </w:rPr>
        <w:t>’</w:t>
      </w:r>
      <w:r w:rsidRPr="00305E7D">
        <w:rPr>
          <w:lang w:val="fr-FR"/>
        </w:rPr>
        <w:t>installation d</w:t>
      </w:r>
      <w:r>
        <w:rPr>
          <w:lang w:val="fr-FR"/>
        </w:rPr>
        <w:t>’</w:t>
      </w:r>
      <w:r w:rsidRPr="00305E7D">
        <w:rPr>
          <w:lang w:val="fr-FR"/>
        </w:rPr>
        <w:t>un système de contrôle de stabilité.</w:t>
      </w:r>
    </w:p>
    <w:p w:rsidR="00F9573C" w:rsidRPr="00507548" w:rsidRDefault="00E14612" w:rsidP="00507548">
      <w:pPr>
        <w:pStyle w:val="ParNoG"/>
        <w:tabs>
          <w:tab w:val="clear" w:pos="1701"/>
        </w:tabs>
      </w:pPr>
      <w:r w:rsidRPr="00305E7D">
        <w:rPr>
          <w:lang w:val="fr-FR"/>
        </w:rPr>
        <w:t>Le GRRF a décidé de réexaminer cette proposition à sa quatre-vingt-deuxième session et a demandé au secrétariat de la distribuer sous une cote officielle.</w:t>
      </w:r>
    </w:p>
    <w:p w:rsidR="00507548" w:rsidRPr="00507548" w:rsidRDefault="00507548" w:rsidP="00507548">
      <w:pPr>
        <w:pStyle w:val="SingleTxtG"/>
        <w:spacing w:before="240" w:after="0"/>
        <w:jc w:val="center"/>
        <w:rPr>
          <w:u w:val="single"/>
        </w:rPr>
      </w:pPr>
      <w:r>
        <w:rPr>
          <w:u w:val="single"/>
        </w:rPr>
        <w:tab/>
      </w:r>
      <w:r>
        <w:rPr>
          <w:u w:val="single"/>
        </w:rPr>
        <w:tab/>
      </w:r>
      <w:r>
        <w:rPr>
          <w:u w:val="single"/>
        </w:rPr>
        <w:tab/>
      </w:r>
    </w:p>
    <w:sectPr w:rsidR="00507548" w:rsidRPr="00507548" w:rsidSect="0047484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A8" w:rsidRDefault="005147A8" w:rsidP="00F95C08">
      <w:pPr>
        <w:spacing w:line="240" w:lineRule="auto"/>
      </w:pPr>
    </w:p>
  </w:endnote>
  <w:endnote w:type="continuationSeparator" w:id="0">
    <w:p w:rsidR="005147A8" w:rsidRPr="00AC3823" w:rsidRDefault="005147A8" w:rsidP="00AC3823">
      <w:pPr>
        <w:pStyle w:val="Footer"/>
      </w:pPr>
    </w:p>
  </w:endnote>
  <w:endnote w:type="continuationNotice" w:id="1">
    <w:p w:rsidR="005147A8" w:rsidRDefault="005147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43" w:rsidRPr="00474843" w:rsidRDefault="00474843" w:rsidP="00474843">
    <w:pPr>
      <w:pStyle w:val="Footer"/>
      <w:tabs>
        <w:tab w:val="right" w:pos="9638"/>
      </w:tabs>
    </w:pPr>
    <w:r w:rsidRPr="00474843">
      <w:rPr>
        <w:b/>
        <w:sz w:val="18"/>
      </w:rPr>
      <w:fldChar w:fldCharType="begin"/>
    </w:r>
    <w:r w:rsidRPr="00474843">
      <w:rPr>
        <w:b/>
        <w:sz w:val="18"/>
      </w:rPr>
      <w:instrText xml:space="preserve"> PAGE  \* MERGEFORMAT </w:instrText>
    </w:r>
    <w:r w:rsidRPr="00474843">
      <w:rPr>
        <w:b/>
        <w:sz w:val="18"/>
      </w:rPr>
      <w:fldChar w:fldCharType="separate"/>
    </w:r>
    <w:r w:rsidR="00B3589C">
      <w:rPr>
        <w:b/>
        <w:noProof/>
        <w:sz w:val="18"/>
      </w:rPr>
      <w:t>2</w:t>
    </w:r>
    <w:r w:rsidRPr="00474843">
      <w:rPr>
        <w:b/>
        <w:sz w:val="18"/>
      </w:rPr>
      <w:fldChar w:fldCharType="end"/>
    </w:r>
    <w:r>
      <w:rPr>
        <w:b/>
        <w:sz w:val="18"/>
      </w:rPr>
      <w:tab/>
    </w:r>
    <w:r>
      <w:t>GE.16-11496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43" w:rsidRPr="00474843" w:rsidRDefault="00474843" w:rsidP="00474843">
    <w:pPr>
      <w:pStyle w:val="Footer"/>
      <w:tabs>
        <w:tab w:val="right" w:pos="9638"/>
      </w:tabs>
      <w:rPr>
        <w:b/>
        <w:sz w:val="18"/>
      </w:rPr>
    </w:pPr>
    <w:r>
      <w:t>GE.16-11496</w:t>
    </w:r>
    <w:r>
      <w:tab/>
    </w:r>
    <w:r w:rsidRPr="00474843">
      <w:rPr>
        <w:b/>
        <w:sz w:val="18"/>
      </w:rPr>
      <w:fldChar w:fldCharType="begin"/>
    </w:r>
    <w:r w:rsidRPr="00474843">
      <w:rPr>
        <w:b/>
        <w:sz w:val="18"/>
      </w:rPr>
      <w:instrText xml:space="preserve"> PAGE  \* MERGEFORMAT </w:instrText>
    </w:r>
    <w:r w:rsidRPr="00474843">
      <w:rPr>
        <w:b/>
        <w:sz w:val="18"/>
      </w:rPr>
      <w:fldChar w:fldCharType="separate"/>
    </w:r>
    <w:r>
      <w:rPr>
        <w:b/>
        <w:noProof/>
        <w:sz w:val="18"/>
      </w:rPr>
      <w:t>3</w:t>
    </w:r>
    <w:r w:rsidRPr="0047484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474843" w:rsidRDefault="00474843" w:rsidP="00474843">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8961ACA" wp14:editId="518E794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16-11496  (F)</w:t>
    </w:r>
    <w:r w:rsidR="00507548">
      <w:rPr>
        <w:sz w:val="20"/>
      </w:rPr>
      <w:t xml:space="preserve">    220716    050816</w:t>
    </w:r>
    <w:r>
      <w:rPr>
        <w:sz w:val="20"/>
      </w:rPr>
      <w:br/>
    </w:r>
    <w:r w:rsidRPr="00474843">
      <w:rPr>
        <w:rFonts w:ascii="C39T30Lfz" w:hAnsi="C39T30Lfz"/>
        <w:sz w:val="56"/>
      </w:rPr>
      <w:t></w:t>
    </w:r>
    <w:r w:rsidRPr="00474843">
      <w:rPr>
        <w:rFonts w:ascii="C39T30Lfz" w:hAnsi="C39T30Lfz"/>
        <w:sz w:val="56"/>
      </w:rPr>
      <w:t></w:t>
    </w:r>
    <w:r w:rsidRPr="00474843">
      <w:rPr>
        <w:rFonts w:ascii="C39T30Lfz" w:hAnsi="C39T30Lfz"/>
        <w:sz w:val="56"/>
      </w:rPr>
      <w:t></w:t>
    </w:r>
    <w:r w:rsidRPr="00474843">
      <w:rPr>
        <w:rFonts w:ascii="C39T30Lfz" w:hAnsi="C39T30Lfz"/>
        <w:sz w:val="56"/>
      </w:rPr>
      <w:t></w:t>
    </w:r>
    <w:r w:rsidRPr="00474843">
      <w:rPr>
        <w:rFonts w:ascii="C39T30Lfz" w:hAnsi="C39T30Lfz"/>
        <w:sz w:val="56"/>
      </w:rPr>
      <w:t></w:t>
    </w:r>
    <w:r w:rsidRPr="00474843">
      <w:rPr>
        <w:rFonts w:ascii="C39T30Lfz" w:hAnsi="C39T30Lfz"/>
        <w:sz w:val="56"/>
      </w:rPr>
      <w:t></w:t>
    </w:r>
    <w:r w:rsidRPr="00474843">
      <w:rPr>
        <w:rFonts w:ascii="C39T30Lfz" w:hAnsi="C39T30Lfz"/>
        <w:sz w:val="56"/>
      </w:rPr>
      <w:t></w:t>
    </w:r>
    <w:r w:rsidRPr="00474843">
      <w:rPr>
        <w:rFonts w:ascii="C39T30Lfz" w:hAnsi="C39T30Lfz"/>
        <w:sz w:val="56"/>
      </w:rPr>
      <w:t></w:t>
    </w:r>
    <w:r w:rsidRPr="0047484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GRRF/2016/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2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A8" w:rsidRPr="00AC3823" w:rsidRDefault="005147A8" w:rsidP="00AC3823">
      <w:pPr>
        <w:pStyle w:val="Footer"/>
        <w:tabs>
          <w:tab w:val="right" w:pos="2155"/>
        </w:tabs>
        <w:spacing w:after="80" w:line="240" w:lineRule="atLeast"/>
        <w:ind w:left="680"/>
        <w:rPr>
          <w:u w:val="single"/>
        </w:rPr>
      </w:pPr>
      <w:r>
        <w:rPr>
          <w:u w:val="single"/>
        </w:rPr>
        <w:tab/>
      </w:r>
    </w:p>
  </w:footnote>
  <w:footnote w:type="continuationSeparator" w:id="0">
    <w:p w:rsidR="005147A8" w:rsidRPr="00AC3823" w:rsidRDefault="005147A8" w:rsidP="00AC3823">
      <w:pPr>
        <w:pStyle w:val="Footer"/>
        <w:tabs>
          <w:tab w:val="right" w:pos="2155"/>
        </w:tabs>
        <w:spacing w:after="80" w:line="240" w:lineRule="atLeast"/>
        <w:ind w:left="680"/>
        <w:rPr>
          <w:u w:val="single"/>
        </w:rPr>
      </w:pPr>
      <w:r>
        <w:rPr>
          <w:u w:val="single"/>
        </w:rPr>
        <w:tab/>
      </w:r>
    </w:p>
  </w:footnote>
  <w:footnote w:type="continuationNotice" w:id="1">
    <w:p w:rsidR="005147A8" w:rsidRPr="00AC3823" w:rsidRDefault="005147A8">
      <w:pPr>
        <w:spacing w:line="240" w:lineRule="auto"/>
        <w:rPr>
          <w:sz w:val="2"/>
          <w:szCs w:val="2"/>
        </w:rPr>
      </w:pPr>
    </w:p>
  </w:footnote>
  <w:footnote w:id="2">
    <w:p w:rsidR="00E14612" w:rsidRPr="002232AF" w:rsidRDefault="00E14612" w:rsidP="00593F3C">
      <w:pPr>
        <w:pStyle w:val="FootnoteText"/>
      </w:pPr>
      <w:r>
        <w:rPr>
          <w:lang w:val="fr-FR"/>
        </w:rPr>
        <w:tab/>
        <w:t>*</w:t>
      </w:r>
      <w:r>
        <w:rPr>
          <w:lang w:val="fr-FR"/>
        </w:rPr>
        <w:tab/>
      </w:r>
      <w:r w:rsidRPr="00403408">
        <w:rPr>
          <w:lang w:val="fr-FR"/>
        </w:rPr>
        <w:t xml:space="preserve">Conformément au programme de travail du Comité des transports </w:t>
      </w:r>
      <w:r w:rsidR="00593F3C">
        <w:rPr>
          <w:lang w:val="fr-FR"/>
        </w:rPr>
        <w:t>intérieurs pour la période 2016</w:t>
      </w:r>
      <w:r w:rsidR="00593F3C">
        <w:rPr>
          <w:lang w:val="fr-FR"/>
        </w:rPr>
        <w:noBreakHyphen/>
      </w:r>
      <w:r w:rsidRPr="00403408">
        <w:rPr>
          <w:lang w:val="fr-FR"/>
        </w:rPr>
        <w:t>2017 (ECE/TRANS/254, par. 159, et ECE/TRANS</w:t>
      </w:r>
      <w:r w:rsidR="001837E0">
        <w:rPr>
          <w:lang w:val="fr-FR"/>
        </w:rPr>
        <w:t>/2016/28/Add.1, module 3, point </w:t>
      </w:r>
      <w:r w:rsidRPr="00403408">
        <w:rPr>
          <w:lang w:val="fr-FR"/>
        </w:rPr>
        <w:t>3.1), le</w:t>
      </w:r>
      <w:r w:rsidR="001837E0">
        <w:t> </w:t>
      </w:r>
      <w:r w:rsidRPr="00403408">
        <w:rPr>
          <w:lang w:val="fr-FR"/>
        </w:rPr>
        <w:t>Forum mondial a pour mission d</w:t>
      </w:r>
      <w:r>
        <w:rPr>
          <w:lang w:val="fr-FR"/>
        </w:rPr>
        <w:t>’</w:t>
      </w:r>
      <w:r w:rsidRPr="00403408">
        <w:rPr>
          <w:lang w:val="fr-FR"/>
        </w:rPr>
        <w:t>élaborer, d</w:t>
      </w:r>
      <w:r>
        <w:rPr>
          <w:lang w:val="fr-FR"/>
        </w:rPr>
        <w:t>’</w:t>
      </w:r>
      <w:r w:rsidRPr="00403408">
        <w:rPr>
          <w:lang w:val="fr-FR"/>
        </w:rPr>
        <w:t>harmoniser et de mettre à jour les Règlements en vue d</w:t>
      </w:r>
      <w:r>
        <w:rPr>
          <w:lang w:val="fr-FR"/>
        </w:rPr>
        <w:t>’</w:t>
      </w:r>
      <w:r w:rsidRPr="00403408">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43" w:rsidRPr="00474843" w:rsidRDefault="00474843">
    <w:pPr>
      <w:pStyle w:val="Header"/>
    </w:pPr>
    <w:r>
      <w:t>ECE/TRANS/WP.29/GRRF/2016/27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43" w:rsidRPr="00474843" w:rsidRDefault="00474843" w:rsidP="00474843">
    <w:pPr>
      <w:pStyle w:val="Header"/>
      <w:jc w:val="right"/>
    </w:pPr>
    <w:r>
      <w:t>ECE/TRANS/WP.29/GRRF/2016/27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A8"/>
    <w:rsid w:val="00017F94"/>
    <w:rsid w:val="00023842"/>
    <w:rsid w:val="000334F9"/>
    <w:rsid w:val="0007796D"/>
    <w:rsid w:val="000B7790"/>
    <w:rsid w:val="00111F2F"/>
    <w:rsid w:val="0014365E"/>
    <w:rsid w:val="00143C66"/>
    <w:rsid w:val="00176178"/>
    <w:rsid w:val="001837E0"/>
    <w:rsid w:val="001F525A"/>
    <w:rsid w:val="00223272"/>
    <w:rsid w:val="0023704A"/>
    <w:rsid w:val="0024779E"/>
    <w:rsid w:val="00257168"/>
    <w:rsid w:val="002744B8"/>
    <w:rsid w:val="002832AC"/>
    <w:rsid w:val="002D7C93"/>
    <w:rsid w:val="00305801"/>
    <w:rsid w:val="0036764F"/>
    <w:rsid w:val="003916DE"/>
    <w:rsid w:val="00441C3B"/>
    <w:rsid w:val="00446FE5"/>
    <w:rsid w:val="00452396"/>
    <w:rsid w:val="00474843"/>
    <w:rsid w:val="004837D8"/>
    <w:rsid w:val="004E468C"/>
    <w:rsid w:val="00507548"/>
    <w:rsid w:val="005147A8"/>
    <w:rsid w:val="005505B7"/>
    <w:rsid w:val="00573BE5"/>
    <w:rsid w:val="00586ED3"/>
    <w:rsid w:val="00593F3C"/>
    <w:rsid w:val="00596AA9"/>
    <w:rsid w:val="006603C1"/>
    <w:rsid w:val="0071601D"/>
    <w:rsid w:val="007A62E6"/>
    <w:rsid w:val="007F0892"/>
    <w:rsid w:val="007F20FA"/>
    <w:rsid w:val="0080684C"/>
    <w:rsid w:val="00871C75"/>
    <w:rsid w:val="008776DC"/>
    <w:rsid w:val="009705C8"/>
    <w:rsid w:val="009C1CF4"/>
    <w:rsid w:val="009F6B74"/>
    <w:rsid w:val="00A30353"/>
    <w:rsid w:val="00AC3823"/>
    <w:rsid w:val="00AE323C"/>
    <w:rsid w:val="00AF0CB5"/>
    <w:rsid w:val="00B00181"/>
    <w:rsid w:val="00B00B0D"/>
    <w:rsid w:val="00B3589C"/>
    <w:rsid w:val="00B765F7"/>
    <w:rsid w:val="00BA0CA9"/>
    <w:rsid w:val="00C02897"/>
    <w:rsid w:val="00D3439C"/>
    <w:rsid w:val="00DB1831"/>
    <w:rsid w:val="00DD3BFD"/>
    <w:rsid w:val="00DF6678"/>
    <w:rsid w:val="00E14612"/>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1461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1461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B738-0AAB-43DE-8473-C272E57B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ECE/TRANS/WP.29/GRRF/2016/27</vt:lpstr>
      <vt:lpstr>ECE/TRANS/WP.29/GRRF/2016/27</vt:lpstr>
    </vt:vector>
  </TitlesOfParts>
  <Company>DCM</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ECE/TRANS/WP.29/GRRF/2016/27</dc:title>
  <dc:creator>Nath V.</dc:creator>
  <cp:lastModifiedBy>Benedicte Boudol</cp:lastModifiedBy>
  <cp:revision>2</cp:revision>
  <cp:lastPrinted>2016-08-05T07:14:00Z</cp:lastPrinted>
  <dcterms:created xsi:type="dcterms:W3CDTF">2016-08-05T09:18:00Z</dcterms:created>
  <dcterms:modified xsi:type="dcterms:W3CDTF">2016-08-05T09:18:00Z</dcterms:modified>
</cp:coreProperties>
</file>