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AE1922">
                <w:t>TRANS/WP.29/GRRF/2016/24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75D96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B75D96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AE1922">
              <w:t>1 July 2016</w:t>
            </w:r>
            <w:r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75D96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E1922" w:rsidRPr="00CC27F4" w:rsidRDefault="00AE1922" w:rsidP="00CC27F4">
      <w:pPr>
        <w:pStyle w:val="HChGR"/>
        <w:spacing w:before="120" w:after="0"/>
        <w:rPr>
          <w:b w:val="0"/>
        </w:rPr>
      </w:pPr>
      <w:r w:rsidRPr="00CC27F4">
        <w:rPr>
          <w:b w:val="0"/>
        </w:rPr>
        <w:t>Комитет по внутреннему транспорту</w:t>
      </w:r>
    </w:p>
    <w:p w:rsidR="00AE1922" w:rsidRPr="00AE1922" w:rsidRDefault="00AE1922" w:rsidP="00AE1922">
      <w:pPr>
        <w:pStyle w:val="H1GR"/>
        <w:spacing w:before="120" w:after="0"/>
        <w:ind w:left="0" w:firstLine="0"/>
      </w:pPr>
      <w:r w:rsidRPr="00AE1922">
        <w:t xml:space="preserve">Всемирный форум для согласования правил </w:t>
      </w:r>
      <w:r>
        <w:rPr>
          <w:rFonts w:eastAsiaTheme="minorEastAsia" w:hint="eastAsia"/>
          <w:lang w:eastAsia="zh-CN"/>
        </w:rPr>
        <w:br/>
      </w:r>
      <w:r w:rsidRPr="00AE1922">
        <w:t>в области транспортных средств</w:t>
      </w:r>
    </w:p>
    <w:p w:rsidR="00AE1922" w:rsidRPr="00AE1922" w:rsidRDefault="00AE1922" w:rsidP="00AE1922">
      <w:pPr>
        <w:spacing w:before="120"/>
        <w:rPr>
          <w:b/>
        </w:rPr>
      </w:pPr>
      <w:r w:rsidRPr="00AE1922">
        <w:rPr>
          <w:b/>
        </w:rPr>
        <w:t>Рабочая группа по вопросам торможения и ходовой части</w:t>
      </w:r>
    </w:p>
    <w:p w:rsidR="00AE1922" w:rsidRPr="00AE1922" w:rsidRDefault="00AE1922" w:rsidP="00AE1922">
      <w:pPr>
        <w:spacing w:before="120"/>
        <w:rPr>
          <w:b/>
        </w:rPr>
      </w:pPr>
      <w:r w:rsidRPr="00AE1922">
        <w:rPr>
          <w:b/>
        </w:rPr>
        <w:t>Восемьдесят вторая сессия</w:t>
      </w:r>
    </w:p>
    <w:p w:rsidR="00AE1922" w:rsidRPr="00AE1922" w:rsidRDefault="00AE1922" w:rsidP="00AE1922">
      <w:r w:rsidRPr="00AE1922">
        <w:t>Женева, 20–23 сентября 2016 года</w:t>
      </w:r>
    </w:p>
    <w:p w:rsidR="00AE1922" w:rsidRPr="00AE1922" w:rsidRDefault="00AE1922" w:rsidP="00AE1922">
      <w:r w:rsidRPr="00AE1922">
        <w:t>Пункт 1 предварительной повестки дня</w:t>
      </w:r>
    </w:p>
    <w:p w:rsidR="00AE1922" w:rsidRPr="00AE1922" w:rsidRDefault="00AE1922" w:rsidP="00AE1922">
      <w:pPr>
        <w:rPr>
          <w:b/>
        </w:rPr>
      </w:pPr>
      <w:r w:rsidRPr="00AE1922">
        <w:rPr>
          <w:b/>
        </w:rPr>
        <w:t>Утверждение повестки дня</w:t>
      </w:r>
    </w:p>
    <w:p w:rsidR="00AE1922" w:rsidRPr="00AE1922" w:rsidRDefault="00AE1922" w:rsidP="00AE1922">
      <w:pPr>
        <w:pStyle w:val="HChGR"/>
        <w:rPr>
          <w:bCs/>
        </w:rPr>
      </w:pPr>
      <w:bookmarkStart w:id="3" w:name="OLE_LINK2"/>
      <w:r w:rsidRPr="00AE1922">
        <w:tab/>
      </w:r>
      <w:r w:rsidRPr="00AE1922">
        <w:tab/>
        <w:t>Предварительная повестка дня восемьдесят второй сессии</w:t>
      </w:r>
      <w:r w:rsidRPr="00AE1922">
        <w:rPr>
          <w:b w:val="0"/>
          <w:bCs/>
          <w:sz w:val="20"/>
          <w:vertAlign w:val="superscript"/>
        </w:rPr>
        <w:footnoteReference w:id="1"/>
      </w:r>
      <w:r w:rsidRPr="00AE1922">
        <w:rPr>
          <w:rFonts w:eastAsiaTheme="minorEastAsia" w:hint="eastAsia"/>
          <w:b w:val="0"/>
          <w:sz w:val="20"/>
          <w:vertAlign w:val="superscript"/>
          <w:lang w:eastAsia="zh-CN"/>
        </w:rPr>
        <w:t>,</w:t>
      </w:r>
      <w:r w:rsidRPr="00AE1922">
        <w:rPr>
          <w:b w:val="0"/>
          <w:sz w:val="20"/>
          <w:vertAlign w:val="superscript"/>
        </w:rPr>
        <w:t xml:space="preserve"> </w:t>
      </w:r>
      <w:r w:rsidRPr="00AE1922">
        <w:rPr>
          <w:b w:val="0"/>
          <w:bCs/>
          <w:sz w:val="20"/>
          <w:vertAlign w:val="superscript"/>
        </w:rPr>
        <w:footnoteReference w:id="2"/>
      </w:r>
      <w:bookmarkEnd w:id="3"/>
      <w:r w:rsidRPr="00AE1922">
        <w:rPr>
          <w:bCs/>
        </w:rPr>
        <w:t>,</w:t>
      </w:r>
    </w:p>
    <w:p w:rsidR="00AE1922" w:rsidRPr="00AE1922" w:rsidRDefault="00AE1922" w:rsidP="00AE1922">
      <w:pPr>
        <w:pStyle w:val="SingleTxtGR"/>
      </w:pPr>
      <w:r w:rsidRPr="00AE1922">
        <w:t xml:space="preserve">которая состоится во Дворце Наций в Женеве, начнется в 09 ч. 30 м. </w:t>
      </w:r>
      <w:r w:rsidR="0004610A">
        <w:rPr>
          <w:rFonts w:eastAsiaTheme="minorEastAsia" w:hint="eastAsia"/>
          <w:lang w:eastAsia="zh-CN"/>
        </w:rPr>
        <w:br/>
      </w:r>
      <w:r w:rsidRPr="00AE1922">
        <w:t>20 сентября 2016 года и завершится в 12 ч. 30 м. 23 сентября 2016 года</w:t>
      </w:r>
    </w:p>
    <w:p w:rsidR="00AE1922" w:rsidRPr="00AE1922" w:rsidRDefault="00AE1922" w:rsidP="00AE1922">
      <w:pPr>
        <w:pStyle w:val="SingleTxtGR"/>
        <w:rPr>
          <w:b/>
        </w:rPr>
      </w:pPr>
      <w:r w:rsidRPr="00AE1922">
        <w:br w:type="page"/>
      </w:r>
    </w:p>
    <w:p w:rsidR="00AE1922" w:rsidRPr="00AE1922" w:rsidRDefault="00AE1922" w:rsidP="0004610A">
      <w:pPr>
        <w:pStyle w:val="HChGR"/>
      </w:pPr>
      <w:r w:rsidRPr="00AE1922">
        <w:lastRenderedPageBreak/>
        <w:tab/>
        <w:t>I.</w:t>
      </w:r>
      <w:r w:rsidRPr="00AE1922">
        <w:tab/>
        <w:t>Предварительная повестка дня</w:t>
      </w:r>
    </w:p>
    <w:p w:rsidR="00AE1922" w:rsidRPr="00AE1922" w:rsidRDefault="00AE1922" w:rsidP="00AE1922">
      <w:pPr>
        <w:pStyle w:val="SingleTxtGR"/>
      </w:pPr>
      <w:r w:rsidRPr="00AE1922">
        <w:t>1.</w:t>
      </w:r>
      <w:r w:rsidRPr="00AE1922">
        <w:tab/>
        <w:t>Утверждение повестки дня.</w:t>
      </w:r>
    </w:p>
    <w:p w:rsidR="00AE1922" w:rsidRPr="00AE1922" w:rsidRDefault="00AE1922" w:rsidP="0004610A">
      <w:pPr>
        <w:pStyle w:val="SingleTxtGR"/>
        <w:ind w:left="1701" w:hanging="567"/>
      </w:pPr>
      <w:r w:rsidRPr="00AE1922">
        <w:t>2.</w:t>
      </w:r>
      <w:r w:rsidRPr="00AE1922">
        <w:tab/>
        <w:t>Системы автоматического экстренного торможения (САЭТ) и системы предупреждения о выходе из полосы движения (СПВП)</w:t>
      </w:r>
      <w:r w:rsidR="0004610A">
        <w:rPr>
          <w:rFonts w:eastAsiaTheme="minorEastAsia"/>
          <w:lang w:eastAsia="zh-CN"/>
        </w:rPr>
        <w:t>.</w:t>
      </w:r>
      <w:r w:rsidRPr="00AE1922">
        <w:t xml:space="preserve"> </w:t>
      </w:r>
    </w:p>
    <w:p w:rsidR="00AE1922" w:rsidRPr="00AE1922" w:rsidRDefault="00AE1922" w:rsidP="00AE1922">
      <w:pPr>
        <w:pStyle w:val="SingleTxtGR"/>
      </w:pPr>
      <w:r w:rsidRPr="00AE1922">
        <w:t>3.</w:t>
      </w:r>
      <w:r w:rsidRPr="00AE1922">
        <w:tab/>
        <w:t>Правила № 13 и 13-H:</w:t>
      </w:r>
    </w:p>
    <w:p w:rsidR="00AE1922" w:rsidRPr="00AE1922" w:rsidRDefault="005257A8" w:rsidP="00AE1922">
      <w:pPr>
        <w:pStyle w:val="SingleTxtGR"/>
      </w:pPr>
      <w:r>
        <w:tab/>
      </w:r>
      <w:r w:rsidR="00AE1922" w:rsidRPr="00AE1922">
        <w:t>a)</w:t>
      </w:r>
      <w:r w:rsidR="00AE1922" w:rsidRPr="00AE1922">
        <w:tab/>
        <w:t>электронный контроль устойчивости;</w:t>
      </w:r>
    </w:p>
    <w:p w:rsidR="00AE1922" w:rsidRPr="00AE1922" w:rsidRDefault="005257A8" w:rsidP="00AE1922">
      <w:pPr>
        <w:pStyle w:val="SingleTxtGR"/>
      </w:pPr>
      <w:r>
        <w:tab/>
      </w:r>
      <w:r w:rsidR="00AE1922" w:rsidRPr="00AE1922">
        <w:t>b)</w:t>
      </w:r>
      <w:r w:rsidR="00AE1922" w:rsidRPr="00AE1922">
        <w:tab/>
        <w:t>составы модульных транспортных средств;</w:t>
      </w:r>
    </w:p>
    <w:p w:rsidR="00AE1922" w:rsidRPr="00AE1922" w:rsidRDefault="005257A8" w:rsidP="00AE1922">
      <w:pPr>
        <w:pStyle w:val="SingleTxtGR"/>
      </w:pPr>
      <w:r>
        <w:tab/>
      </w:r>
      <w:r w:rsidR="00AE1922" w:rsidRPr="00AE1922">
        <w:t>с)</w:t>
      </w:r>
      <w:r w:rsidR="00AE1922" w:rsidRPr="00AE1922">
        <w:tab/>
        <w:t>уточнения;</w:t>
      </w:r>
    </w:p>
    <w:p w:rsidR="00AE1922" w:rsidRPr="00AE1922" w:rsidRDefault="005257A8" w:rsidP="005257A8">
      <w:pPr>
        <w:pStyle w:val="SingleTxtGR"/>
        <w:ind w:left="2268" w:hanging="1134"/>
      </w:pPr>
      <w:r>
        <w:tab/>
      </w:r>
      <w:r w:rsidR="00AE1922" w:rsidRPr="00AE1922">
        <w:t>d)</w:t>
      </w:r>
      <w:r w:rsidR="00AE1922" w:rsidRPr="00AE1922">
        <w:tab/>
        <w:t>условные обозначения, связанные с торможением, в Прав</w:t>
      </w:r>
      <w:r w:rsidR="00AE1922" w:rsidRPr="00AE1922">
        <w:t>и</w:t>
      </w:r>
      <w:r w:rsidR="00AE1922" w:rsidRPr="00AE1922">
        <w:t>лах</w:t>
      </w:r>
      <w:r>
        <w:t> </w:t>
      </w:r>
      <w:r w:rsidR="00AE1922" w:rsidRPr="00AE1922">
        <w:t>№</w:t>
      </w:r>
      <w:r>
        <w:t> </w:t>
      </w:r>
      <w:r w:rsidR="00AE1922" w:rsidRPr="00AE1922">
        <w:t>121 (идентификация органов управления, контрольных си</w:t>
      </w:r>
      <w:r w:rsidR="00AE1922" w:rsidRPr="00AE1922">
        <w:t>г</w:t>
      </w:r>
      <w:r w:rsidR="00AE1922" w:rsidRPr="00AE1922">
        <w:t>налов и индикаторов);</w:t>
      </w:r>
    </w:p>
    <w:p w:rsidR="00AE1922" w:rsidRPr="00AE1922" w:rsidRDefault="005257A8" w:rsidP="00AE1922">
      <w:pPr>
        <w:pStyle w:val="SingleTxtGR"/>
      </w:pPr>
      <w:r>
        <w:tab/>
      </w:r>
      <w:r w:rsidR="00AE1922" w:rsidRPr="00AE1922">
        <w:t>e)</w:t>
      </w:r>
      <w:r w:rsidR="00AE1922" w:rsidRPr="00AE1922">
        <w:tab/>
      </w:r>
      <w:r>
        <w:t>п</w:t>
      </w:r>
      <w:r w:rsidR="00AE1922" w:rsidRPr="00AE1922">
        <w:t>рочие вопросы.</w:t>
      </w:r>
    </w:p>
    <w:p w:rsidR="00AE1922" w:rsidRPr="00AE1922" w:rsidRDefault="00AE1922" w:rsidP="00AE1922">
      <w:pPr>
        <w:pStyle w:val="SingleTxtGR"/>
      </w:pPr>
      <w:r w:rsidRPr="00AE1922">
        <w:t>4.</w:t>
      </w:r>
      <w:r w:rsidRPr="00AE1922">
        <w:tab/>
        <w:t>Правила № 55.</w:t>
      </w:r>
    </w:p>
    <w:p w:rsidR="00AE1922" w:rsidRPr="00AE1922" w:rsidRDefault="00AE1922" w:rsidP="00AE1922">
      <w:pPr>
        <w:pStyle w:val="SingleTxtGR"/>
      </w:pPr>
      <w:r w:rsidRPr="00AE1922">
        <w:t>5.</w:t>
      </w:r>
      <w:r w:rsidRPr="00AE1922">
        <w:tab/>
        <w:t>Тормозные системы мотоциклов:</w:t>
      </w:r>
    </w:p>
    <w:p w:rsidR="00AE1922" w:rsidRPr="00AE1922" w:rsidRDefault="00AE1922" w:rsidP="00AE1922">
      <w:pPr>
        <w:pStyle w:val="SingleTxtGR"/>
      </w:pPr>
      <w:r w:rsidRPr="00AE1922">
        <w:tab/>
        <w:t>a)</w:t>
      </w:r>
      <w:r w:rsidRPr="00AE1922">
        <w:tab/>
        <w:t>Правила № 78;</w:t>
      </w:r>
    </w:p>
    <w:p w:rsidR="00AE1922" w:rsidRPr="00AE1922" w:rsidRDefault="005257A8" w:rsidP="00AE1922">
      <w:pPr>
        <w:pStyle w:val="SingleTxtGR"/>
      </w:pPr>
      <w:r>
        <w:tab/>
      </w:r>
      <w:r w:rsidR="00AE1922" w:rsidRPr="00AE1922">
        <w:t>b)</w:t>
      </w:r>
      <w:r w:rsidR="00AE1922" w:rsidRPr="00AE1922">
        <w:tab/>
        <w:t>Глобальные технические правила № 3.</w:t>
      </w:r>
    </w:p>
    <w:p w:rsidR="00AE1922" w:rsidRPr="00AE1922" w:rsidRDefault="00AE1922" w:rsidP="00AE1922">
      <w:pPr>
        <w:pStyle w:val="SingleTxtGR"/>
      </w:pPr>
      <w:r w:rsidRPr="00AE1922">
        <w:t>6.</w:t>
      </w:r>
      <w:r w:rsidRPr="00AE1922">
        <w:tab/>
        <w:t>Правила № 90.</w:t>
      </w:r>
    </w:p>
    <w:p w:rsidR="00AE1922" w:rsidRPr="00AE1922" w:rsidRDefault="00AE1922" w:rsidP="00AE1922">
      <w:pPr>
        <w:pStyle w:val="SingleTxtGR"/>
      </w:pPr>
      <w:r w:rsidRPr="00AE1922">
        <w:t>7.</w:t>
      </w:r>
      <w:r w:rsidRPr="00AE1922">
        <w:tab/>
        <w:t>Шины:</w:t>
      </w:r>
    </w:p>
    <w:p w:rsidR="00AE1922" w:rsidRPr="00AE1922" w:rsidRDefault="005257A8" w:rsidP="00AE1922">
      <w:pPr>
        <w:pStyle w:val="SingleTxtGR"/>
      </w:pPr>
      <w:r>
        <w:tab/>
      </w:r>
      <w:r w:rsidR="00AE1922" w:rsidRPr="00AE1922">
        <w:t>a)</w:t>
      </w:r>
      <w:r w:rsidR="00AE1922" w:rsidRPr="00AE1922">
        <w:tab/>
        <w:t>Глобальные технические правила № 16;</w:t>
      </w:r>
    </w:p>
    <w:p w:rsidR="00AE1922" w:rsidRPr="00AE1922" w:rsidRDefault="005257A8" w:rsidP="00AE1922">
      <w:pPr>
        <w:pStyle w:val="SingleTxtGR"/>
      </w:pPr>
      <w:r>
        <w:tab/>
      </w:r>
      <w:r w:rsidR="00AE1922" w:rsidRPr="00AE1922">
        <w:t>b)</w:t>
      </w:r>
      <w:r w:rsidR="00AE1922" w:rsidRPr="00AE1922">
        <w:tab/>
        <w:t>Правила № 30:</w:t>
      </w:r>
    </w:p>
    <w:p w:rsidR="00AE1922" w:rsidRPr="00AE1922" w:rsidRDefault="005257A8" w:rsidP="00AE1922">
      <w:pPr>
        <w:pStyle w:val="SingleTxtGR"/>
      </w:pPr>
      <w:r>
        <w:tab/>
      </w:r>
      <w:r w:rsidR="00AE1922" w:rsidRPr="00AE1922">
        <w:t>с)</w:t>
      </w:r>
      <w:r w:rsidR="00AE1922" w:rsidRPr="00AE1922">
        <w:tab/>
        <w:t>Правила № 54;</w:t>
      </w:r>
    </w:p>
    <w:p w:rsidR="00AE1922" w:rsidRPr="00AE1922" w:rsidRDefault="005257A8" w:rsidP="00AE1922">
      <w:pPr>
        <w:pStyle w:val="SingleTxtGR"/>
      </w:pPr>
      <w:r>
        <w:tab/>
      </w:r>
      <w:r w:rsidR="00AE1922" w:rsidRPr="00AE1922">
        <w:t>d)</w:t>
      </w:r>
      <w:r w:rsidR="00AE1922" w:rsidRPr="00AE1922">
        <w:tab/>
        <w:t>Правила № 75;</w:t>
      </w:r>
    </w:p>
    <w:p w:rsidR="00AE1922" w:rsidRPr="00AE1922" w:rsidRDefault="005257A8" w:rsidP="00AE1922">
      <w:pPr>
        <w:pStyle w:val="SingleTxtGR"/>
      </w:pPr>
      <w:r>
        <w:tab/>
      </w:r>
      <w:r w:rsidR="00AE1922" w:rsidRPr="00AE1922">
        <w:t>e)</w:t>
      </w:r>
      <w:r w:rsidR="00AE1922" w:rsidRPr="00AE1922">
        <w:tab/>
        <w:t>Правила № 106;</w:t>
      </w:r>
    </w:p>
    <w:p w:rsidR="00AE1922" w:rsidRPr="00AE1922" w:rsidRDefault="005257A8" w:rsidP="00AE1922">
      <w:pPr>
        <w:pStyle w:val="SingleTxtGR"/>
      </w:pPr>
      <w:r>
        <w:tab/>
      </w:r>
      <w:r w:rsidR="00AE1922" w:rsidRPr="00AE1922">
        <w:t>f)</w:t>
      </w:r>
      <w:r w:rsidR="00AE1922" w:rsidRPr="00AE1922">
        <w:tab/>
        <w:t>Правила № 109;</w:t>
      </w:r>
    </w:p>
    <w:p w:rsidR="00AE1922" w:rsidRPr="00AE1922" w:rsidRDefault="005257A8" w:rsidP="00AE1922">
      <w:pPr>
        <w:pStyle w:val="SingleTxtGR"/>
      </w:pPr>
      <w:r>
        <w:tab/>
      </w:r>
      <w:r w:rsidR="00AE1922" w:rsidRPr="00AE1922">
        <w:t>g)</w:t>
      </w:r>
      <w:r w:rsidR="00AE1922" w:rsidRPr="00AE1922">
        <w:tab/>
        <w:t>Правила № 117;</w:t>
      </w:r>
    </w:p>
    <w:p w:rsidR="00AE1922" w:rsidRPr="00AE1922" w:rsidRDefault="005257A8" w:rsidP="00AE1922">
      <w:pPr>
        <w:pStyle w:val="SingleTxtGR"/>
      </w:pPr>
      <w:r>
        <w:tab/>
      </w:r>
      <w:r w:rsidR="00AE1922" w:rsidRPr="00AE1922">
        <w:t>h)</w:t>
      </w:r>
      <w:r w:rsidR="00AE1922" w:rsidRPr="00AE1922">
        <w:tab/>
        <w:t>Правила, касающиеся установки шин;</w:t>
      </w:r>
    </w:p>
    <w:p w:rsidR="00AE1922" w:rsidRPr="00AE1922" w:rsidRDefault="005257A8" w:rsidP="00AE1922">
      <w:pPr>
        <w:pStyle w:val="SingleTxtGR"/>
      </w:pPr>
      <w:r>
        <w:tab/>
      </w:r>
      <w:r w:rsidR="00AE1922" w:rsidRPr="00AE1922">
        <w:t>i)</w:t>
      </w:r>
      <w:r w:rsidR="00AE1922" w:rsidRPr="00AE1922">
        <w:tab/>
        <w:t>Правила, касающиеся систем контроля давления в шинах;</w:t>
      </w:r>
    </w:p>
    <w:p w:rsidR="00AE1922" w:rsidRPr="00AE1922" w:rsidRDefault="005257A8" w:rsidP="00AE1922">
      <w:pPr>
        <w:pStyle w:val="SingleTxtGR"/>
      </w:pPr>
      <w:r>
        <w:tab/>
      </w:r>
      <w:r w:rsidR="00AE1922" w:rsidRPr="00AE1922">
        <w:t>j)</w:t>
      </w:r>
      <w:r w:rsidR="00AE1922" w:rsidRPr="00AE1922">
        <w:tab/>
        <w:t>прочие вопросы.</w:t>
      </w:r>
    </w:p>
    <w:p w:rsidR="00AE1922" w:rsidRPr="00AE1922" w:rsidRDefault="00AE1922" w:rsidP="00AE1922">
      <w:pPr>
        <w:pStyle w:val="SingleTxtGR"/>
      </w:pPr>
      <w:r w:rsidRPr="00AE1922">
        <w:t>8.</w:t>
      </w:r>
      <w:r w:rsidRPr="00AE1922">
        <w:tab/>
        <w:t>Интеллектуальные транспортные системы:</w:t>
      </w:r>
    </w:p>
    <w:p w:rsidR="00AE1922" w:rsidRPr="00AE1922" w:rsidRDefault="005257A8" w:rsidP="00AE1922">
      <w:pPr>
        <w:pStyle w:val="SingleTxtGR"/>
      </w:pPr>
      <w:r>
        <w:tab/>
      </w:r>
      <w:r w:rsidR="00AE1922" w:rsidRPr="00AE1922">
        <w:t>a)</w:t>
      </w:r>
      <w:r w:rsidR="00AE1922" w:rsidRPr="00AE1922">
        <w:tab/>
        <w:t>автоматизация транспортных средств;</w:t>
      </w:r>
    </w:p>
    <w:p w:rsidR="00AE1922" w:rsidRPr="00AE1922" w:rsidRDefault="005257A8" w:rsidP="00AE1922">
      <w:pPr>
        <w:pStyle w:val="SingleTxtGR"/>
      </w:pPr>
      <w:r>
        <w:tab/>
      </w:r>
      <w:r w:rsidR="00AE1922" w:rsidRPr="00AE1922">
        <w:t>b)</w:t>
      </w:r>
      <w:r w:rsidR="00AE1922" w:rsidRPr="00AE1922">
        <w:tab/>
        <w:t>прочие вопросы, связанные с ИТС.</w:t>
      </w:r>
    </w:p>
    <w:p w:rsidR="00AE1922" w:rsidRPr="00AE1922" w:rsidRDefault="00AE1922" w:rsidP="00AE1922">
      <w:pPr>
        <w:pStyle w:val="SingleTxtGR"/>
      </w:pPr>
      <w:r w:rsidRPr="00AE1922">
        <w:t>9.</w:t>
      </w:r>
      <w:r w:rsidRPr="00AE1922">
        <w:tab/>
        <w:t>Оборудование рулевого управления:</w:t>
      </w:r>
    </w:p>
    <w:p w:rsidR="00AE1922" w:rsidRPr="00AE1922" w:rsidRDefault="005257A8" w:rsidP="00AE1922">
      <w:pPr>
        <w:pStyle w:val="SingleTxtGR"/>
      </w:pPr>
      <w:r>
        <w:tab/>
      </w:r>
      <w:r w:rsidR="00AE1922" w:rsidRPr="00AE1922">
        <w:t>a)</w:t>
      </w:r>
      <w:r w:rsidR="00AE1922" w:rsidRPr="00AE1922">
        <w:tab/>
        <w:t>Правила № 79;</w:t>
      </w:r>
    </w:p>
    <w:p w:rsidR="00AE1922" w:rsidRPr="00AE1922" w:rsidRDefault="005257A8" w:rsidP="005257A8">
      <w:pPr>
        <w:pStyle w:val="SingleTxtGR"/>
        <w:ind w:left="2268" w:hanging="1134"/>
      </w:pPr>
      <w:r>
        <w:tab/>
      </w:r>
      <w:r w:rsidR="00AE1922" w:rsidRPr="00AE1922">
        <w:t>b)</w:t>
      </w:r>
      <w:r w:rsidR="00AE1922" w:rsidRPr="00AE1922">
        <w:tab/>
        <w:t>системы удержания в пределах полосы и системы помощи при па</w:t>
      </w:r>
      <w:r w:rsidR="00AE1922" w:rsidRPr="00AE1922">
        <w:t>р</w:t>
      </w:r>
      <w:r w:rsidR="00AE1922" w:rsidRPr="00AE1922">
        <w:t>ковке;</w:t>
      </w:r>
    </w:p>
    <w:p w:rsidR="00AE1922" w:rsidRPr="00AE1922" w:rsidRDefault="005257A8" w:rsidP="00AE1922">
      <w:pPr>
        <w:pStyle w:val="SingleTxtGR"/>
      </w:pPr>
      <w:r>
        <w:tab/>
      </w:r>
      <w:r w:rsidR="00AE1922" w:rsidRPr="00AE1922">
        <w:t>с)</w:t>
      </w:r>
      <w:r w:rsidR="00AE1922" w:rsidRPr="00AE1922">
        <w:tab/>
        <w:t>автоматизированная функция рулевого управления.</w:t>
      </w:r>
    </w:p>
    <w:p w:rsidR="00AE1922" w:rsidRPr="00AE1922" w:rsidRDefault="00AE1922" w:rsidP="005257A8">
      <w:pPr>
        <w:pStyle w:val="SingleTxtGR"/>
        <w:ind w:left="1701" w:hanging="567"/>
      </w:pPr>
      <w:r w:rsidRPr="00AE1922">
        <w:lastRenderedPageBreak/>
        <w:t>10.</w:t>
      </w:r>
      <w:r w:rsidRPr="00AE1922">
        <w:tab/>
        <w:t>Международное официальное утверждение типа комплектного тран</w:t>
      </w:r>
      <w:r w:rsidRPr="00AE1922">
        <w:t>с</w:t>
      </w:r>
      <w:r w:rsidRPr="00AE1922">
        <w:t>портного средства:</w:t>
      </w:r>
    </w:p>
    <w:p w:rsidR="00AE1922" w:rsidRPr="00AE1922" w:rsidRDefault="005257A8" w:rsidP="00AE1922">
      <w:pPr>
        <w:pStyle w:val="SingleTxtGR"/>
      </w:pPr>
      <w:r>
        <w:tab/>
      </w:r>
      <w:r w:rsidR="00AE1922" w:rsidRPr="00AE1922">
        <w:t>a)</w:t>
      </w:r>
      <w:r w:rsidR="00AE1922" w:rsidRPr="00AE1922">
        <w:tab/>
        <w:t>доклад о работе неофициальной группы и подгрупп по МОУТКТС</w:t>
      </w:r>
      <w:r>
        <w:t>;</w:t>
      </w:r>
    </w:p>
    <w:p w:rsidR="00AE1922" w:rsidRPr="00AE1922" w:rsidRDefault="005257A8" w:rsidP="00AE1922">
      <w:pPr>
        <w:pStyle w:val="SingleTxtGR"/>
      </w:pPr>
      <w:r>
        <w:tab/>
      </w:r>
      <w:r w:rsidR="00AE1922" w:rsidRPr="00AE1922">
        <w:t>b)</w:t>
      </w:r>
      <w:r w:rsidR="00AE1922" w:rsidRPr="00AE1922">
        <w:tab/>
        <w:t>прочие вопросы.</w:t>
      </w:r>
    </w:p>
    <w:p w:rsidR="00AE1922" w:rsidRPr="00AE1922" w:rsidRDefault="00AE1922" w:rsidP="00AE1922">
      <w:pPr>
        <w:pStyle w:val="SingleTxtGR"/>
      </w:pPr>
      <w:r w:rsidRPr="00AE1922">
        <w:t>11.</w:t>
      </w:r>
      <w:r w:rsidRPr="00AE1922">
        <w:tab/>
        <w:t>Правила № 89.</w:t>
      </w:r>
    </w:p>
    <w:p w:rsidR="00AE1922" w:rsidRPr="00AE1922" w:rsidRDefault="00AE1922" w:rsidP="005257A8">
      <w:pPr>
        <w:pStyle w:val="SingleTxtGR"/>
        <w:ind w:left="1701" w:hanging="567"/>
      </w:pPr>
      <w:r w:rsidRPr="00AE1922">
        <w:t>12.</w:t>
      </w:r>
      <w:r w:rsidRPr="00AE1922">
        <w:tab/>
        <w:t>Обмен мнениями по вопросу об инновациях и соответствующей наци</w:t>
      </w:r>
      <w:r w:rsidRPr="00AE1922">
        <w:t>о</w:t>
      </w:r>
      <w:r w:rsidRPr="00AE1922">
        <w:t>нальной деятельности.</w:t>
      </w:r>
    </w:p>
    <w:p w:rsidR="00AE1922" w:rsidRPr="00AE1922" w:rsidRDefault="00AE1922" w:rsidP="00AE1922">
      <w:pPr>
        <w:pStyle w:val="SingleTxtGR"/>
      </w:pPr>
      <w:r w:rsidRPr="00AE1922">
        <w:t>13.</w:t>
      </w:r>
      <w:r w:rsidRPr="00AE1922">
        <w:tab/>
        <w:t>Выборы должностных лиц.</w:t>
      </w:r>
    </w:p>
    <w:p w:rsidR="00AE1922" w:rsidRPr="00AE1922" w:rsidRDefault="00AE1922" w:rsidP="00AE1922">
      <w:pPr>
        <w:pStyle w:val="SingleTxtGR"/>
      </w:pPr>
      <w:r w:rsidRPr="00AE1922">
        <w:t>14.</w:t>
      </w:r>
      <w:r w:rsidRPr="00AE1922">
        <w:tab/>
        <w:t>Прочие вопросы:</w:t>
      </w:r>
    </w:p>
    <w:p w:rsidR="00AE1922" w:rsidRPr="00AE1922" w:rsidRDefault="005257A8" w:rsidP="005257A8">
      <w:pPr>
        <w:pStyle w:val="SingleTxtGR"/>
        <w:ind w:left="2268" w:hanging="1134"/>
      </w:pPr>
      <w:r>
        <w:tab/>
      </w:r>
      <w:r w:rsidR="00AE1922" w:rsidRPr="00AE1922">
        <w:t>a)</w:t>
      </w:r>
      <w:r w:rsidR="00AE1922" w:rsidRPr="00AE1922">
        <w:tab/>
        <w:t>основные вопросы, рассмотренные на сессиях WP.29 в марте и июне 2016 года;</w:t>
      </w:r>
    </w:p>
    <w:p w:rsidR="00AE1922" w:rsidRPr="00AE1922" w:rsidRDefault="00AE1922" w:rsidP="00AE1922">
      <w:pPr>
        <w:pStyle w:val="SingleTxtGR"/>
      </w:pPr>
      <w:r w:rsidRPr="00AE1922">
        <w:tab/>
        <w:t>b)</w:t>
      </w:r>
      <w:r w:rsidRPr="00AE1922">
        <w:tab/>
        <w:t>прочие вопросы.</w:t>
      </w:r>
    </w:p>
    <w:p w:rsidR="00AE1922" w:rsidRPr="00AE1922" w:rsidRDefault="00AE1922" w:rsidP="005257A8">
      <w:pPr>
        <w:pStyle w:val="HChGR"/>
      </w:pPr>
      <w:r w:rsidRPr="00AE1922">
        <w:tab/>
        <w:t>II.</w:t>
      </w:r>
      <w:r w:rsidRPr="00AE1922">
        <w:tab/>
        <w:t>Аннотации</w:t>
      </w:r>
    </w:p>
    <w:p w:rsidR="00AE1922" w:rsidRPr="00AE1922" w:rsidRDefault="00AE1922" w:rsidP="00AE1922">
      <w:pPr>
        <w:pStyle w:val="SingleTxtGR"/>
      </w:pPr>
      <w:r w:rsidRPr="00AE1922">
        <w:tab/>
        <w:t>Аннотированная повестка дня будет издана до сессии GRRF (ECE/TRANS/WP.29/GRRF/2016/24/Add.1).</w:t>
      </w:r>
    </w:p>
    <w:p w:rsidR="00A658DB" w:rsidRPr="005257A8" w:rsidRDefault="005257A8" w:rsidP="005257A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5257A8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22" w:rsidRDefault="00AE1922" w:rsidP="00B471C5">
      <w:r>
        <w:separator/>
      </w:r>
    </w:p>
  </w:endnote>
  <w:endnote w:type="continuationSeparator" w:id="0">
    <w:p w:rsidR="00AE1922" w:rsidRDefault="00AE192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5257A8" w:rsidRDefault="007005EE" w:rsidP="007005EE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75D96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5257A8">
      <w:rPr>
        <w:lang w:val="ru-RU"/>
      </w:rPr>
      <w:t>11337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5257A8">
      <w:rPr>
        <w:lang w:val="ru-RU"/>
      </w:rPr>
      <w:t>11337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75D96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5257A8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5257A8">
            <w:t>11337</w:t>
          </w:r>
          <w:r w:rsidRPr="001C3ABC">
            <w:rPr>
              <w:lang w:val="en-US"/>
            </w:rPr>
            <w:t xml:space="preserve"> (R)</w:t>
          </w:r>
          <w:r w:rsidR="005257A8">
            <w:t xml:space="preserve">   050716   050716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5257A8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RF/2016/2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6/2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5257A8" w:rsidRDefault="005257A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257A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257A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257A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257A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257A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257A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5257A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5257A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257A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22" w:rsidRPr="009141DC" w:rsidRDefault="00AE192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E1922" w:rsidRPr="00D1261C" w:rsidRDefault="00AE192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E1922" w:rsidRPr="00596F56" w:rsidRDefault="00AE1922" w:rsidP="00AE1922">
      <w:pPr>
        <w:pStyle w:val="FootnoteText"/>
        <w:rPr>
          <w:lang w:val="ru-RU"/>
        </w:rPr>
      </w:pPr>
      <w:r w:rsidRPr="0056209A">
        <w:rPr>
          <w:lang w:val="ru-RU"/>
        </w:rPr>
        <w:tab/>
      </w:r>
      <w:r w:rsidRPr="008A1ED5"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Делегатов просят зарегистрироваться онлайн с помощью системы рег</w:t>
      </w:r>
      <w:r w:rsidR="0004610A">
        <w:rPr>
          <w:lang w:val="ru-RU"/>
        </w:rPr>
        <w:t>истрации на веб-сайте ЕЭК ООН (</w:t>
      </w:r>
      <w:hyperlink r:id="rId1" w:history="1">
        <w:r w:rsidR="0004610A" w:rsidRPr="0004610A">
          <w:rPr>
            <w:rStyle w:val="Hyperlink"/>
            <w:color w:val="auto"/>
            <w:u w:val="none"/>
          </w:rPr>
          <w:t>https</w:t>
        </w:r>
        <w:r w:rsidR="0004610A" w:rsidRPr="0004610A">
          <w:rPr>
            <w:rStyle w:val="Hyperlink"/>
            <w:color w:val="auto"/>
            <w:u w:val="none"/>
            <w:lang w:val="ru-RU"/>
          </w:rPr>
          <w:t>://</w:t>
        </w:r>
        <w:r w:rsidR="0004610A" w:rsidRPr="0004610A">
          <w:rPr>
            <w:rStyle w:val="Hyperlink"/>
            <w:color w:val="auto"/>
            <w:u w:val="none"/>
          </w:rPr>
          <w:t>www</w:t>
        </w:r>
        <w:r w:rsidR="0004610A" w:rsidRPr="0004610A">
          <w:rPr>
            <w:rStyle w:val="Hyperlink"/>
            <w:color w:val="auto"/>
            <w:u w:val="none"/>
            <w:lang w:val="ru-RU"/>
          </w:rPr>
          <w:t>2.</w:t>
        </w:r>
        <w:r w:rsidR="0004610A" w:rsidRPr="0004610A">
          <w:rPr>
            <w:rStyle w:val="Hyperlink"/>
            <w:color w:val="auto"/>
            <w:u w:val="none"/>
          </w:rPr>
          <w:t>unece</w:t>
        </w:r>
        <w:r w:rsidR="0004610A" w:rsidRPr="0004610A">
          <w:rPr>
            <w:rStyle w:val="Hyperlink"/>
            <w:color w:val="auto"/>
            <w:u w:val="none"/>
            <w:lang w:val="ru-RU"/>
          </w:rPr>
          <w:t>.</w:t>
        </w:r>
        <w:r w:rsidR="0004610A" w:rsidRPr="0004610A">
          <w:rPr>
            <w:rStyle w:val="Hyperlink"/>
            <w:color w:val="auto"/>
            <w:u w:val="none"/>
          </w:rPr>
          <w:t>org</w:t>
        </w:r>
        <w:r w:rsidR="0004610A" w:rsidRPr="0004610A">
          <w:rPr>
            <w:rStyle w:val="Hyperlink"/>
            <w:color w:val="auto"/>
            <w:u w:val="none"/>
            <w:lang w:val="ru-RU"/>
          </w:rPr>
          <w:t>/</w:t>
        </w:r>
        <w:r w:rsidR="0004610A" w:rsidRPr="0004610A">
          <w:rPr>
            <w:rStyle w:val="Hyperlink"/>
            <w:color w:val="auto"/>
            <w:u w:val="none"/>
          </w:rPr>
          <w:t>uncdb</w:t>
        </w:r>
        <w:r w:rsidR="0004610A" w:rsidRPr="0004610A">
          <w:rPr>
            <w:rStyle w:val="Hyperlink"/>
            <w:color w:val="auto"/>
            <w:u w:val="none"/>
            <w:lang w:val="ru-RU"/>
          </w:rPr>
          <w:t>/</w:t>
        </w:r>
        <w:r w:rsidR="0004610A" w:rsidRPr="0004610A">
          <w:rPr>
            <w:rStyle w:val="Hyperlink"/>
            <w:color w:val="auto"/>
            <w:u w:val="none"/>
          </w:rPr>
          <w:t>app</w:t>
        </w:r>
        <w:r w:rsidR="0004610A" w:rsidRPr="0004610A">
          <w:rPr>
            <w:rStyle w:val="Hyperlink"/>
            <w:color w:val="auto"/>
            <w:u w:val="none"/>
            <w:lang w:val="ru-RU"/>
          </w:rPr>
          <w:t>/</w:t>
        </w:r>
        <w:r w:rsidR="0004610A" w:rsidRPr="0004610A">
          <w:rPr>
            <w:rStyle w:val="Hyperlink"/>
            <w:color w:val="auto"/>
            <w:u w:val="none"/>
          </w:rPr>
          <w:t>ext</w:t>
        </w:r>
        <w:r w:rsidR="0004610A" w:rsidRPr="0004610A">
          <w:rPr>
            <w:rStyle w:val="Hyperlink"/>
            <w:color w:val="auto"/>
            <w:u w:val="none"/>
            <w:lang w:val="ru-RU"/>
          </w:rPr>
          <w:t>/</w:t>
        </w:r>
        <w:r w:rsidR="0004610A" w:rsidRPr="0004610A">
          <w:rPr>
            <w:rStyle w:val="Hyperlink"/>
            <w:color w:val="auto"/>
            <w:u w:val="none"/>
          </w:rPr>
          <w:t>meeting</w:t>
        </w:r>
        <w:r w:rsidR="0004610A" w:rsidRPr="0004610A">
          <w:rPr>
            <w:rStyle w:val="Hyperlink"/>
            <w:color w:val="auto"/>
            <w:u w:val="none"/>
            <w:lang w:val="ru-RU"/>
          </w:rPr>
          <w:t>-</w:t>
        </w:r>
        <w:r w:rsidR="0004610A" w:rsidRPr="0004610A">
          <w:rPr>
            <w:rStyle w:val="Hyperlink"/>
            <w:color w:val="auto"/>
            <w:u w:val="none"/>
          </w:rPr>
          <w:t>registration</w:t>
        </w:r>
        <w:r w:rsidR="0004610A" w:rsidRPr="0004610A">
          <w:rPr>
            <w:rStyle w:val="Hyperlink"/>
            <w:color w:val="auto"/>
            <w:u w:val="none"/>
            <w:lang w:val="ru-RU"/>
          </w:rPr>
          <w:t>?</w:t>
        </w:r>
        <w:r w:rsidR="0004610A" w:rsidRPr="0004610A">
          <w:rPr>
            <w:rStyle w:val="Hyperlink"/>
            <w:color w:val="auto"/>
            <w:u w:val="none"/>
          </w:rPr>
          <w:t>id</w:t>
        </w:r>
        <w:r w:rsidR="0004610A" w:rsidRPr="0004610A">
          <w:rPr>
            <w:rStyle w:val="Hyperlink"/>
            <w:color w:val="auto"/>
            <w:u w:val="none"/>
            <w:lang w:val="ru-RU"/>
          </w:rPr>
          <w:t>=3</w:t>
        </w:r>
        <w:r w:rsidR="0004610A" w:rsidRPr="0004610A">
          <w:rPr>
            <w:rStyle w:val="Hyperlink"/>
            <w:color w:val="auto"/>
            <w:u w:val="none"/>
          </w:rPr>
          <w:t>PXGE</w:t>
        </w:r>
        <w:r w:rsidR="0004610A" w:rsidRPr="0004610A">
          <w:rPr>
            <w:rStyle w:val="Hyperlink"/>
            <w:color w:val="auto"/>
            <w:u w:val="none"/>
            <w:lang w:val="ru-RU"/>
          </w:rPr>
          <w:t>0</w:t>
        </w:r>
      </w:hyperlink>
      <w:r>
        <w:rPr>
          <w:lang w:val="ru-RU"/>
        </w:rPr>
        <w:t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 14, Avenue de la Paix). В случае затруднений просьба связаться с секретариатом ЕЭК ООН по телефону (внутренний номер 74323). Схему Дворца Наций и другую полезную информацию см. на веб-сайте www.unece.org/meetings/practical.htm.</w:t>
      </w:r>
    </w:p>
  </w:footnote>
  <w:footnote w:id="2">
    <w:p w:rsidR="00AE1922" w:rsidRPr="00596F56" w:rsidRDefault="00AE1922" w:rsidP="00AE1922">
      <w:pPr>
        <w:pStyle w:val="FootnoteText"/>
        <w:rPr>
          <w:lang w:val="ru-RU"/>
        </w:rPr>
      </w:pPr>
      <w:r w:rsidRPr="0056209A">
        <w:rPr>
          <w:lang w:val="ru-RU"/>
        </w:rPr>
        <w:tab/>
      </w:r>
      <w:r w:rsidRPr="0056209A"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2" w:history="1">
        <w:r w:rsidR="0004610A" w:rsidRPr="0004610A">
          <w:rPr>
            <w:rStyle w:val="Hyperlink"/>
            <w:color w:val="auto"/>
            <w:u w:val="none"/>
            <w:lang w:val="ru-RU"/>
          </w:rPr>
          <w:t>http://www.unece.org/trans/main/wp29/wp29wgs/wp29grrf/</w:t>
        </w:r>
        <w:r w:rsidR="0004610A" w:rsidRPr="0004610A">
          <w:rPr>
            <w:rStyle w:val="Hyperlink"/>
            <w:rFonts w:eastAsiaTheme="minorEastAsia" w:hint="eastAsia"/>
            <w:color w:val="auto"/>
            <w:u w:val="none"/>
            <w:lang w:val="ru-RU" w:eastAsia="zh-CN"/>
          </w:rPr>
          <w:br/>
        </w:r>
        <w:r w:rsidR="0004610A" w:rsidRPr="0004610A">
          <w:rPr>
            <w:rStyle w:val="Hyperlink"/>
            <w:color w:val="auto"/>
            <w:u w:val="none"/>
            <w:lang w:val="ru-RU"/>
          </w:rPr>
          <w:t>grrfage.html</w:t>
        </w:r>
      </w:hyperlink>
      <w:r>
        <w:rPr>
          <w:lang w:val="ru-RU"/>
        </w:rPr>
        <w:t>). В порядке исключения документы можно также получить по электронной почте (</w:t>
      </w:r>
      <w:hyperlink r:id="rId3" w:history="1">
        <w:r w:rsidR="0004610A" w:rsidRPr="0004610A">
          <w:rPr>
            <w:rStyle w:val="Hyperlink"/>
            <w:color w:val="auto"/>
            <w:szCs w:val="22"/>
            <w:u w:val="none"/>
          </w:rPr>
          <w:t>grrf</w:t>
        </w:r>
        <w:r w:rsidR="0004610A" w:rsidRPr="0004610A">
          <w:rPr>
            <w:rStyle w:val="Hyperlink"/>
            <w:color w:val="auto"/>
            <w:szCs w:val="22"/>
            <w:u w:val="none"/>
            <w:lang w:val="ru-RU"/>
          </w:rPr>
          <w:t>@</w:t>
        </w:r>
        <w:r w:rsidR="0004610A" w:rsidRPr="0004610A">
          <w:rPr>
            <w:rStyle w:val="Hyperlink"/>
            <w:color w:val="auto"/>
            <w:szCs w:val="22"/>
            <w:u w:val="none"/>
          </w:rPr>
          <w:t>unece</w:t>
        </w:r>
        <w:r w:rsidR="0004610A" w:rsidRPr="0004610A">
          <w:rPr>
            <w:rStyle w:val="Hyperlink"/>
            <w:color w:val="auto"/>
            <w:szCs w:val="22"/>
            <w:u w:val="none"/>
            <w:lang w:val="ru-RU"/>
          </w:rPr>
          <w:t>.</w:t>
        </w:r>
        <w:r w:rsidR="0004610A" w:rsidRPr="0004610A">
          <w:rPr>
            <w:rStyle w:val="Hyperlink"/>
            <w:color w:val="auto"/>
            <w:szCs w:val="22"/>
            <w:u w:val="none"/>
          </w:rPr>
          <w:t>org</w:t>
        </w:r>
      </w:hyperlink>
      <w:r>
        <w:rPr>
          <w:lang w:val="ru-RU"/>
        </w:rPr>
        <w:t xml:space="preserve">) или по факсу (+41 22 917 00 39). В ходе сессии официальные документы можно получить в Секции распространения документов ЮНОГ (комн. С.337, третий этаж, Дворец Наций). С переводом официальных документов делегаты могут ознакомиться через общедоступную Систему официальной документации (СОД) на следующем веб-сайте: </w:t>
      </w:r>
      <w:hyperlink r:id="rId4" w:history="1">
        <w:r w:rsidR="0004610A" w:rsidRPr="0004610A">
          <w:rPr>
            <w:rStyle w:val="Hyperlink"/>
            <w:color w:val="auto"/>
            <w:u w:val="none"/>
          </w:rPr>
          <w:t>documents</w:t>
        </w:r>
        <w:r w:rsidR="0004610A" w:rsidRPr="0004610A">
          <w:rPr>
            <w:rStyle w:val="Hyperlink"/>
            <w:color w:val="auto"/>
            <w:u w:val="none"/>
            <w:lang w:val="ru-RU"/>
          </w:rPr>
          <w:t>.</w:t>
        </w:r>
        <w:r w:rsidR="0004610A" w:rsidRPr="0004610A">
          <w:rPr>
            <w:rStyle w:val="Hyperlink"/>
            <w:color w:val="auto"/>
            <w:u w:val="none"/>
          </w:rPr>
          <w:t>un</w:t>
        </w:r>
        <w:r w:rsidR="0004610A" w:rsidRPr="0004610A">
          <w:rPr>
            <w:rStyle w:val="Hyperlink"/>
            <w:color w:val="auto"/>
            <w:u w:val="none"/>
            <w:lang w:val="ru-RU"/>
          </w:rPr>
          <w:t>.</w:t>
        </w:r>
        <w:r w:rsidR="0004610A" w:rsidRPr="0004610A">
          <w:rPr>
            <w:rStyle w:val="Hyperlink"/>
            <w:color w:val="auto"/>
            <w:u w:val="none"/>
          </w:rPr>
          <w:t>org</w:t>
        </w:r>
        <w:r w:rsidR="0004610A" w:rsidRPr="0004610A">
          <w:rPr>
            <w:rStyle w:val="Hyperlink"/>
            <w:color w:val="auto"/>
            <w:u w:val="none"/>
            <w:lang w:val="ru-RU"/>
          </w:rPr>
          <w:t>/</w:t>
        </w:r>
      </w:hyperlink>
      <w:r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5257A8" w:rsidRPr="005257A8">
      <w:rPr>
        <w:lang w:val="en-US"/>
      </w:rPr>
      <w:t>TRANS/WP.29/GRRF/2016/24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5257A8" w:rsidRPr="005257A8">
      <w:rPr>
        <w:lang w:val="en-US"/>
      </w:rPr>
      <w:t>TRANS/WP.29/GRRF/2016/24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22"/>
    <w:rsid w:val="000450D1"/>
    <w:rsid w:val="0004610A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47AB4"/>
    <w:rsid w:val="00366A39"/>
    <w:rsid w:val="0048005C"/>
    <w:rsid w:val="004D639B"/>
    <w:rsid w:val="004E242B"/>
    <w:rsid w:val="005257A8"/>
    <w:rsid w:val="00544379"/>
    <w:rsid w:val="00566944"/>
    <w:rsid w:val="005D56BF"/>
    <w:rsid w:val="005E133C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AE1922"/>
    <w:rsid w:val="00B35A32"/>
    <w:rsid w:val="00B432C6"/>
    <w:rsid w:val="00B471C5"/>
    <w:rsid w:val="00B6474A"/>
    <w:rsid w:val="00B75D96"/>
    <w:rsid w:val="00BE1742"/>
    <w:rsid w:val="00CC27F4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22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22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grrf@unece.org" TargetMode="External"/><Relationship Id="rId2" Type="http://schemas.openxmlformats.org/officeDocument/2006/relationships/hyperlink" Target="http://www.unece.org/trans/main/wp29/wp29wgs/wp29grrf/grrfage.html" TargetMode="External"/><Relationship Id="rId1" Type="http://schemas.openxmlformats.org/officeDocument/2006/relationships/hyperlink" Target="https://www2.unece.org/uncdb/app/ext/meeting-registration?id=3PXGE0" TargetMode="External"/><Relationship Id="rId4" Type="http://schemas.openxmlformats.org/officeDocument/2006/relationships/hyperlink" Target="http://documents.u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B033-8C91-4E9A-9ED5-B89A8F55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2144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Benedicte Boudol</cp:lastModifiedBy>
  <cp:revision>2</cp:revision>
  <cp:lastPrinted>2016-07-05T15:49:00Z</cp:lastPrinted>
  <dcterms:created xsi:type="dcterms:W3CDTF">2016-07-19T08:05:00Z</dcterms:created>
  <dcterms:modified xsi:type="dcterms:W3CDTF">2016-07-19T08:05:00Z</dcterms:modified>
</cp:coreProperties>
</file>