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E0" w:rsidRDefault="001A42E0" w:rsidP="001A42E0">
      <w:pPr>
        <w:spacing w:line="240" w:lineRule="auto"/>
        <w:rPr>
          <w:sz w:val="2"/>
        </w:rPr>
        <w:sectPr w:rsidR="001A42E0" w:rsidSect="001A42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1A42E0" w:rsidRDefault="001A42E0" w:rsidP="00195C6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Commission économique pour l’Europe</w:t>
      </w:r>
    </w:p>
    <w:p w:rsidR="00195C63" w:rsidRPr="00195C63" w:rsidRDefault="00195C63" w:rsidP="00195C63">
      <w:pPr>
        <w:spacing w:line="120" w:lineRule="exact"/>
        <w:rPr>
          <w:sz w:val="10"/>
        </w:rPr>
      </w:pPr>
    </w:p>
    <w:p w:rsidR="001A42E0" w:rsidRDefault="001A42E0" w:rsidP="00195C6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195C63">
        <w:rPr>
          <w:b w:val="0"/>
        </w:rPr>
        <w:t>Comité des transports intérieurs</w:t>
      </w:r>
    </w:p>
    <w:p w:rsidR="00195C63" w:rsidRPr="00195C63" w:rsidRDefault="00195C63" w:rsidP="00195C63">
      <w:pPr>
        <w:spacing w:line="120" w:lineRule="exact"/>
        <w:rPr>
          <w:sz w:val="10"/>
        </w:rPr>
      </w:pPr>
    </w:p>
    <w:p w:rsidR="00195C63" w:rsidRPr="00EB73F7" w:rsidRDefault="00195C63" w:rsidP="00195C6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B73F7">
        <w:rPr>
          <w:lang w:val="fr-FR"/>
        </w:rPr>
        <w:t>Forum mondial de l</w:t>
      </w:r>
      <w:r>
        <w:rPr>
          <w:lang w:val="fr-FR"/>
        </w:rPr>
        <w:t>’</w:t>
      </w:r>
      <w:r w:rsidRPr="00EB73F7">
        <w:rPr>
          <w:lang w:val="fr-FR"/>
        </w:rPr>
        <w:t xml:space="preserve">harmonisation </w:t>
      </w:r>
      <w:r w:rsidRPr="00EB73F7">
        <w:rPr>
          <w:lang w:val="fr-FR"/>
        </w:rPr>
        <w:br/>
        <w:t>des Règlements concernant les véhicules</w:t>
      </w:r>
    </w:p>
    <w:p w:rsidR="00195C63" w:rsidRPr="00EB73F7" w:rsidRDefault="00195C63" w:rsidP="00195C63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195C63" w:rsidRPr="00EB73F7" w:rsidRDefault="00195C63" w:rsidP="00195C6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B73F7">
        <w:rPr>
          <w:lang w:val="fr-FR"/>
        </w:rPr>
        <w:t xml:space="preserve">Groupe de travail en matière de roulement </w:t>
      </w:r>
      <w:r w:rsidRPr="00EB73F7">
        <w:rPr>
          <w:lang w:val="fr-FR"/>
        </w:rPr>
        <w:br/>
        <w:t>et de freinage</w:t>
      </w:r>
    </w:p>
    <w:p w:rsidR="00195C63" w:rsidRPr="00EB73F7" w:rsidRDefault="00195C63" w:rsidP="00195C63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195C63" w:rsidRPr="00EB73F7" w:rsidRDefault="00195C63" w:rsidP="00195C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EB73F7">
        <w:rPr>
          <w:lang w:val="fr-FR"/>
        </w:rPr>
        <w:t>Quatre</w:t>
      </w:r>
      <w:r w:rsidRPr="00195C63">
        <w:t>-</w:t>
      </w:r>
      <w:r w:rsidRPr="00EB73F7">
        <w:rPr>
          <w:lang w:val="fr-FR"/>
        </w:rPr>
        <w:t>vingt-unième session</w:t>
      </w:r>
    </w:p>
    <w:p w:rsidR="00195C63" w:rsidRPr="00EB73F7" w:rsidRDefault="00195C63" w:rsidP="00195C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EB73F7">
        <w:rPr>
          <w:lang w:val="fr-FR"/>
        </w:rPr>
        <w:t>Genève, 1</w:t>
      </w:r>
      <w:r w:rsidRPr="00EB73F7">
        <w:rPr>
          <w:vertAlign w:val="superscript"/>
          <w:lang w:val="fr-FR"/>
        </w:rPr>
        <w:t>er</w:t>
      </w:r>
      <w:r w:rsidRPr="00EB73F7">
        <w:rPr>
          <w:lang w:val="fr-FR"/>
        </w:rPr>
        <w:t>-5 février 2016</w:t>
      </w:r>
    </w:p>
    <w:p w:rsidR="00195C63" w:rsidRPr="00EB73F7" w:rsidRDefault="00195C63" w:rsidP="00195C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>Point 3 c</w:t>
      </w:r>
      <w:r w:rsidRPr="00EB73F7">
        <w:rPr>
          <w:lang w:val="fr-FR"/>
        </w:rPr>
        <w:t>) de l</w:t>
      </w:r>
      <w:r>
        <w:rPr>
          <w:lang w:val="fr-FR"/>
        </w:rPr>
        <w:t>’</w:t>
      </w:r>
      <w:r w:rsidRPr="00EB73F7">
        <w:rPr>
          <w:lang w:val="fr-FR"/>
        </w:rPr>
        <w:t>ordre du jour provisoire</w:t>
      </w:r>
    </w:p>
    <w:p w:rsidR="00195C63" w:rsidRDefault="00195C63" w:rsidP="00195C63">
      <w:pPr>
        <w:jc w:val="both"/>
        <w:rPr>
          <w:b/>
        </w:rPr>
      </w:pPr>
      <w:r w:rsidRPr="009310CE">
        <w:rPr>
          <w:b/>
        </w:rPr>
        <w:t>Règlements n</w:t>
      </w:r>
      <w:r w:rsidRPr="009310CE">
        <w:rPr>
          <w:b/>
          <w:vertAlign w:val="superscript"/>
        </w:rPr>
        <w:t>os</w:t>
      </w:r>
      <w:r w:rsidRPr="009310CE">
        <w:rPr>
          <w:b/>
        </w:rPr>
        <w:t> 13 et 13-H (</w:t>
      </w:r>
      <w:r>
        <w:rPr>
          <w:b/>
        </w:rPr>
        <w:t>Freinage</w:t>
      </w:r>
      <w:r w:rsidRPr="009310CE">
        <w:rPr>
          <w:b/>
        </w:rPr>
        <w:t xml:space="preserve">) </w:t>
      </w:r>
      <w:r>
        <w:rPr>
          <w:b/>
        </w:rPr>
        <w:t xml:space="preserve">– </w:t>
      </w:r>
      <w:r w:rsidRPr="002811A6">
        <w:rPr>
          <w:b/>
        </w:rPr>
        <w:t>Précisions</w:t>
      </w:r>
    </w:p>
    <w:p w:rsidR="00195C63" w:rsidRPr="00195C63" w:rsidRDefault="00195C63" w:rsidP="00195C63">
      <w:pPr>
        <w:spacing w:line="120" w:lineRule="exact"/>
        <w:jc w:val="both"/>
        <w:rPr>
          <w:b/>
          <w:sz w:val="10"/>
        </w:rPr>
      </w:pPr>
    </w:p>
    <w:p w:rsidR="00195C63" w:rsidRPr="00195C63" w:rsidRDefault="00195C63" w:rsidP="00195C63">
      <w:pPr>
        <w:spacing w:line="120" w:lineRule="exact"/>
        <w:jc w:val="both"/>
        <w:rPr>
          <w:b/>
          <w:sz w:val="10"/>
        </w:rPr>
      </w:pPr>
    </w:p>
    <w:p w:rsidR="00195C63" w:rsidRPr="00195C63" w:rsidRDefault="00195C63" w:rsidP="00195C63">
      <w:pPr>
        <w:spacing w:line="120" w:lineRule="exact"/>
        <w:jc w:val="both"/>
        <w:rPr>
          <w:b/>
          <w:sz w:val="10"/>
        </w:rPr>
      </w:pPr>
    </w:p>
    <w:p w:rsidR="00195C63" w:rsidRDefault="00195C63" w:rsidP="00195C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8"/>
        </w:rPr>
      </w:pPr>
      <w:r w:rsidRPr="002811A6">
        <w:tab/>
      </w:r>
      <w:r w:rsidRPr="002811A6">
        <w:tab/>
      </w:r>
      <w:r w:rsidRPr="00195C63">
        <w:rPr>
          <w:szCs w:val="28"/>
        </w:rPr>
        <w:t>Proposition d’amendements au Règlement n</w:t>
      </w:r>
      <w:r w:rsidRPr="00195C63">
        <w:rPr>
          <w:szCs w:val="28"/>
          <w:vertAlign w:val="superscript"/>
        </w:rPr>
        <w:t>o</w:t>
      </w:r>
      <w:r w:rsidRPr="00195C63">
        <w:rPr>
          <w:szCs w:val="28"/>
        </w:rPr>
        <w:t xml:space="preserve"> 13 </w:t>
      </w:r>
      <w:r w:rsidRPr="00195C63">
        <w:rPr>
          <w:szCs w:val="28"/>
        </w:rPr>
        <w:br/>
        <w:t>(Freinage des véhicules lourds)</w:t>
      </w:r>
    </w:p>
    <w:p w:rsidR="00195C63" w:rsidRPr="00195C63" w:rsidRDefault="00195C63" w:rsidP="00195C63">
      <w:pPr>
        <w:pStyle w:val="SingleTxt"/>
        <w:spacing w:after="0" w:line="120" w:lineRule="exact"/>
        <w:rPr>
          <w:sz w:val="10"/>
        </w:rPr>
      </w:pPr>
    </w:p>
    <w:p w:rsidR="00195C63" w:rsidRPr="00195C63" w:rsidRDefault="00195C63" w:rsidP="00195C63">
      <w:pPr>
        <w:pStyle w:val="SingleTxt"/>
        <w:spacing w:after="0" w:line="120" w:lineRule="exact"/>
        <w:rPr>
          <w:sz w:val="10"/>
        </w:rPr>
      </w:pPr>
    </w:p>
    <w:p w:rsidR="00195C63" w:rsidRDefault="00195C63" w:rsidP="00195C6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</w:rPr>
      </w:pPr>
      <w:r w:rsidRPr="002811A6">
        <w:tab/>
      </w:r>
      <w:r w:rsidRPr="002811A6">
        <w:tab/>
      </w:r>
      <w:r>
        <w:t>C</w:t>
      </w:r>
      <w:r w:rsidRPr="002811A6">
        <w:t>ommunication des experts de la Hongrie et des Pays-Bas</w:t>
      </w:r>
      <w:r w:rsidRPr="00970C56">
        <w:rPr>
          <w:rStyle w:val="Appelnotedebasdep"/>
          <w:b w:val="0"/>
          <w:sz w:val="20"/>
          <w:szCs w:val="20"/>
          <w:vertAlign w:val="baseline"/>
        </w:rPr>
        <w:footnoteReference w:customMarkFollows="1" w:id="1"/>
        <w:t>*</w:t>
      </w:r>
    </w:p>
    <w:p w:rsidR="00195C63" w:rsidRPr="00195C63" w:rsidRDefault="00195C63" w:rsidP="00195C63">
      <w:pPr>
        <w:spacing w:line="120" w:lineRule="exact"/>
        <w:rPr>
          <w:sz w:val="10"/>
        </w:rPr>
      </w:pPr>
    </w:p>
    <w:p w:rsidR="00195C63" w:rsidRPr="00195C63" w:rsidRDefault="00195C63" w:rsidP="00195C63">
      <w:pPr>
        <w:spacing w:line="120" w:lineRule="exact"/>
        <w:rPr>
          <w:sz w:val="10"/>
        </w:rPr>
      </w:pPr>
    </w:p>
    <w:p w:rsidR="00195C63" w:rsidRPr="002811A6" w:rsidRDefault="00195C63" w:rsidP="00195C63">
      <w:pPr>
        <w:keepNext/>
        <w:keepLines/>
        <w:spacing w:line="240" w:lineRule="auto"/>
        <w:ind w:left="1134" w:right="1134" w:firstLine="567"/>
        <w:jc w:val="both"/>
      </w:pPr>
      <w:r w:rsidRPr="002811A6">
        <w:t xml:space="preserve">Le texte ci-après, établi par les experts de la Hongrie et des Pays-Bas, vise à apporter des corrections </w:t>
      </w:r>
      <w:r>
        <w:t xml:space="preserve">au texte du Règlement </w:t>
      </w:r>
      <w:r w:rsidRPr="00A04DAD">
        <w:t>n</w:t>
      </w:r>
      <w:r w:rsidRPr="00A04DAD">
        <w:rPr>
          <w:vertAlign w:val="superscript"/>
        </w:rPr>
        <w:t>o</w:t>
      </w:r>
      <w:r w:rsidRPr="00195C63">
        <w:t> </w:t>
      </w:r>
      <w:r w:rsidRPr="002811A6">
        <w:t>13. Les modifications qu</w:t>
      </w:r>
      <w:r>
        <w:t>’</w:t>
      </w:r>
      <w:r w:rsidRPr="002811A6">
        <w:t>il est proposé d</w:t>
      </w:r>
      <w:r>
        <w:t>’</w:t>
      </w:r>
      <w:r w:rsidRPr="002811A6">
        <w:t>apporter au texte actuel du Règlement sont signalées en caractères gras pour les ajouts et en caractères biffés pour les suppressions.</w:t>
      </w:r>
    </w:p>
    <w:p w:rsidR="00195C63" w:rsidRDefault="00195C63" w:rsidP="00970C5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2811A6">
        <w:br w:type="page"/>
      </w:r>
      <w:r w:rsidRPr="002811A6">
        <w:lastRenderedPageBreak/>
        <w:tab/>
      </w:r>
      <w:r w:rsidRPr="009310CE">
        <w:rPr>
          <w:lang w:val="en-US"/>
        </w:rPr>
        <w:t>I.</w:t>
      </w:r>
      <w:r w:rsidRPr="009310CE">
        <w:rPr>
          <w:lang w:val="en-US"/>
        </w:rPr>
        <w:tab/>
      </w:r>
      <w:r>
        <w:rPr>
          <w:lang w:val="en-US"/>
        </w:rPr>
        <w:t>Proposition</w:t>
      </w:r>
    </w:p>
    <w:p w:rsidR="00970C56" w:rsidRPr="00970C56" w:rsidRDefault="00970C56" w:rsidP="00970C56">
      <w:pPr>
        <w:spacing w:line="120" w:lineRule="exact"/>
        <w:rPr>
          <w:sz w:val="10"/>
          <w:lang w:val="en-US"/>
        </w:rPr>
      </w:pPr>
    </w:p>
    <w:p w:rsidR="00970C56" w:rsidRPr="00970C56" w:rsidRDefault="00970C56" w:rsidP="00970C56">
      <w:pPr>
        <w:spacing w:line="120" w:lineRule="exact"/>
        <w:rPr>
          <w:sz w:val="10"/>
          <w:lang w:val="en-US"/>
        </w:rPr>
      </w:pPr>
    </w:p>
    <w:p w:rsidR="00195C63" w:rsidRPr="00B503DA" w:rsidRDefault="00195C63" w:rsidP="00970C56">
      <w:pPr>
        <w:pStyle w:val="SingleTxt"/>
      </w:pPr>
      <w:r w:rsidRPr="00970C56">
        <w:rPr>
          <w:i/>
        </w:rPr>
        <w:t>Annexe 12</w:t>
      </w:r>
      <w:r w:rsidRPr="00B503DA">
        <w:t>,</w:t>
      </w:r>
    </w:p>
    <w:p w:rsidR="00195C63" w:rsidRPr="00B503DA" w:rsidRDefault="00195C63" w:rsidP="00970C56">
      <w:pPr>
        <w:pStyle w:val="SingleTxt"/>
      </w:pPr>
      <w:r w:rsidRPr="00B503DA">
        <w:rPr>
          <w:i/>
          <w:color w:val="000000"/>
        </w:rPr>
        <w:t>Paragraphe 2.2.18</w:t>
      </w:r>
      <w:r w:rsidRPr="00B503DA">
        <w:rPr>
          <w:color w:val="000000"/>
        </w:rPr>
        <w:t>, modifier comme suit</w:t>
      </w:r>
      <w:r w:rsidR="00970C56">
        <w:rPr>
          <w:color w:val="000000"/>
        </w:rPr>
        <w:t> </w:t>
      </w:r>
      <w:r w:rsidRPr="00B503DA">
        <w:rPr>
          <w:color w:val="000000"/>
        </w:rPr>
        <w:t>:</w:t>
      </w:r>
    </w:p>
    <w:p w:rsidR="00195C63" w:rsidRPr="00B503DA" w:rsidRDefault="00970C56" w:rsidP="00970C56">
      <w:pPr>
        <w:pStyle w:val="SingleTxt"/>
        <w:ind w:left="2218" w:hanging="95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« </w:t>
      </w:r>
      <w:r w:rsidR="00195C63" w:rsidRPr="00B503DA">
        <w:rPr>
          <w:color w:val="000000"/>
        </w:rPr>
        <w:t>s</w:t>
      </w:r>
      <w:r w:rsidR="00195C63">
        <w:rPr>
          <w:color w:val="000000"/>
        </w:rPr>
        <w:t>’</w:t>
      </w:r>
      <w:r>
        <w:rPr>
          <w:color w:val="000000"/>
        </w:rPr>
        <w:t> </w:t>
      </w:r>
      <w:r w:rsidR="00195C63" w:rsidRPr="00B503DA">
        <w:rPr>
          <w:color w:val="000000"/>
        </w:rPr>
        <w:t xml:space="preserve">: </w:t>
      </w:r>
      <w:r w:rsidR="00195C63">
        <w:t>course utile de la commande exprimée en mm et déterminée conformément aux prescriptions du paragraphe</w:t>
      </w:r>
      <w:r w:rsidR="00195C63" w:rsidRPr="00B503DA">
        <w:rPr>
          <w:color w:val="000000"/>
        </w:rPr>
        <w:t xml:space="preserve"> </w:t>
      </w:r>
      <w:r w:rsidR="00195C63" w:rsidRPr="00B503DA">
        <w:rPr>
          <w:strike/>
        </w:rPr>
        <w:t>9.4.</w:t>
      </w:r>
      <w:r w:rsidR="00195C63" w:rsidRPr="00B503DA">
        <w:rPr>
          <w:b/>
          <w:color w:val="000000"/>
        </w:rPr>
        <w:t>10.</w:t>
      </w:r>
      <w:r w:rsidR="00195C63" w:rsidRPr="00B503DA">
        <w:rPr>
          <w:color w:val="000000"/>
        </w:rPr>
        <w:t xml:space="preserve">4 </w:t>
      </w:r>
      <w:r w:rsidR="00195C63">
        <w:rPr>
          <w:color w:val="000000"/>
        </w:rPr>
        <w:t>de la présente annexe;</w:t>
      </w:r>
      <w:r>
        <w:rPr>
          <w:color w:val="000000"/>
        </w:rPr>
        <w:t> »</w:t>
      </w:r>
      <w:r w:rsidR="00195C63" w:rsidRPr="00B503DA">
        <w:rPr>
          <w:color w:val="000000"/>
        </w:rPr>
        <w:t>.</w:t>
      </w:r>
    </w:p>
    <w:p w:rsidR="00195C63" w:rsidRPr="00295762" w:rsidRDefault="00195C63" w:rsidP="00970C56">
      <w:pPr>
        <w:pStyle w:val="SingleTxt"/>
      </w:pPr>
      <w:r w:rsidRPr="006D72E0">
        <w:rPr>
          <w:i/>
          <w:color w:val="000000"/>
        </w:rPr>
        <w:t>Paragraphe</w:t>
      </w:r>
      <w:r w:rsidRPr="006D72E0">
        <w:rPr>
          <w:i/>
        </w:rPr>
        <w:t xml:space="preserve"> 10.4.2.3</w:t>
      </w:r>
      <w:r w:rsidRPr="00970C56">
        <w:t xml:space="preserve">, </w:t>
      </w:r>
      <w:r w:rsidRPr="006D72E0">
        <w:rPr>
          <w:color w:val="000000"/>
        </w:rPr>
        <w:t>modification sans objet en français</w:t>
      </w:r>
      <w:r w:rsidR="00672043">
        <w:rPr>
          <w:color w:val="000000"/>
        </w:rPr>
        <w:t>.</w:t>
      </w:r>
    </w:p>
    <w:p w:rsidR="00195C63" w:rsidRPr="00E415CC" w:rsidRDefault="00195C63" w:rsidP="00970C56">
      <w:pPr>
        <w:pStyle w:val="SingleTxt"/>
        <w:rPr>
          <w:i/>
          <w:szCs w:val="24"/>
        </w:rPr>
      </w:pPr>
      <w:r w:rsidRPr="00E415CC">
        <w:rPr>
          <w:i/>
          <w:szCs w:val="24"/>
        </w:rPr>
        <w:t xml:space="preserve">Annexe 12, </w:t>
      </w:r>
      <w:r w:rsidRPr="00E415CC">
        <w:rPr>
          <w:i/>
          <w:color w:val="000000"/>
          <w:szCs w:val="24"/>
        </w:rPr>
        <w:t>appendice</w:t>
      </w:r>
      <w:r w:rsidRPr="00E415CC">
        <w:rPr>
          <w:i/>
          <w:szCs w:val="24"/>
        </w:rPr>
        <w:t xml:space="preserve"> 4</w:t>
      </w:r>
      <w:r w:rsidRPr="00970C56">
        <w:rPr>
          <w:szCs w:val="24"/>
        </w:rPr>
        <w:t>,</w:t>
      </w:r>
    </w:p>
    <w:p w:rsidR="00195C63" w:rsidRPr="00E415CC" w:rsidRDefault="00195C63" w:rsidP="00970C56">
      <w:pPr>
        <w:pStyle w:val="SingleTxt"/>
        <w:rPr>
          <w:color w:val="000000"/>
        </w:rPr>
      </w:pPr>
      <w:r w:rsidRPr="00E415CC">
        <w:rPr>
          <w:i/>
          <w:color w:val="000000"/>
        </w:rPr>
        <w:t>Paragraphe</w:t>
      </w:r>
      <w:r>
        <w:rPr>
          <w:i/>
          <w:color w:val="000000"/>
        </w:rPr>
        <w:t>s</w:t>
      </w:r>
      <w:r w:rsidRPr="00E415CC">
        <w:rPr>
          <w:i/>
        </w:rPr>
        <w:t xml:space="preserve"> 5.7.6 et 5.</w:t>
      </w:r>
      <w:r>
        <w:rPr>
          <w:i/>
        </w:rPr>
        <w:t>8.6</w:t>
      </w:r>
      <w:r w:rsidRPr="00E415CC">
        <w:t>,</w:t>
      </w:r>
      <w:r w:rsidRPr="00E415CC">
        <w:rPr>
          <w:i/>
        </w:rPr>
        <w:t xml:space="preserve"> </w:t>
      </w:r>
      <w:r w:rsidRPr="00E415CC">
        <w:rPr>
          <w:color w:val="000000"/>
        </w:rPr>
        <w:t>modifier comme suit</w:t>
      </w:r>
      <w:r w:rsidR="00970C56">
        <w:rPr>
          <w:color w:val="000000"/>
        </w:rPr>
        <w:t> </w:t>
      </w:r>
      <w:r w:rsidRPr="00E415CC">
        <w:rPr>
          <w:color w:val="000000"/>
        </w:rPr>
        <w:t>:</w:t>
      </w:r>
    </w:p>
    <w:p w:rsidR="00195C63" w:rsidRPr="00127427" w:rsidRDefault="00970C56" w:rsidP="00195C63">
      <w:pPr>
        <w:spacing w:after="120" w:line="240" w:lineRule="auto"/>
        <w:ind w:left="2268" w:right="1134"/>
        <w:jc w:val="both"/>
      </w:pPr>
      <w:r>
        <w:t>« </w:t>
      </w:r>
      <w:r w:rsidR="00195C63" w:rsidRPr="00127427">
        <w:t>Moment de freinage lorsque la remorque fait marche arrière (y compris la</w:t>
      </w:r>
      <w:r w:rsidR="00195C63">
        <w:t xml:space="preserve"> </w:t>
      </w:r>
      <w:r w:rsidR="00195C63" w:rsidRPr="00127427">
        <w:t>résistance au roulement</w:t>
      </w:r>
      <w:r w:rsidR="00195C63">
        <w:t>)</w:t>
      </w:r>
    </w:p>
    <w:p w:rsidR="00195C63" w:rsidRPr="00127427" w:rsidRDefault="00195C63" w:rsidP="0002316B">
      <w:pPr>
        <w:spacing w:after="120" w:line="240" w:lineRule="auto"/>
        <w:ind w:left="2275" w:right="1138"/>
        <w:jc w:val="both"/>
      </w:pPr>
      <w:r w:rsidRPr="00127427">
        <w:rPr>
          <w:b/>
        </w:rPr>
        <w:t>n • M</w:t>
      </w:r>
      <w:r w:rsidRPr="00127427">
        <w:rPr>
          <w:b/>
          <w:vertAlign w:val="subscript"/>
        </w:rPr>
        <w:t>r</w:t>
      </w:r>
      <w:r w:rsidRPr="00127427">
        <w:t xml:space="preserve"> </w:t>
      </w:r>
      <w:r w:rsidRPr="00127427">
        <w:rPr>
          <w:strike/>
        </w:rPr>
        <w:t>0,08•g•G</w:t>
      </w:r>
      <w:r w:rsidRPr="00127427">
        <w:rPr>
          <w:strike/>
          <w:vertAlign w:val="subscript"/>
        </w:rPr>
        <w:t>A</w:t>
      </w:r>
      <w:r w:rsidRPr="00127427">
        <w:rPr>
          <w:strike/>
        </w:rPr>
        <w:t>•R</w:t>
      </w:r>
      <w:r w:rsidRPr="00127427">
        <w:t xml:space="preserve"> = ..............................................................................Nm</w:t>
      </w:r>
    </w:p>
    <w:p w:rsidR="00195C63" w:rsidRPr="00127427" w:rsidRDefault="00195C63" w:rsidP="00195C63">
      <w:pPr>
        <w:spacing w:after="120" w:line="240" w:lineRule="auto"/>
        <w:ind w:left="2268" w:right="1134"/>
        <w:jc w:val="both"/>
      </w:pPr>
      <w:r w:rsidRPr="00127427">
        <w:t xml:space="preserve">(ne doit pas dépasser </w:t>
      </w:r>
      <w:r>
        <w:rPr>
          <w:b/>
        </w:rPr>
        <w:t>0,</w:t>
      </w:r>
      <w:r w:rsidRPr="00127427">
        <w:rPr>
          <w:b/>
        </w:rPr>
        <w:t>08•g•G</w:t>
      </w:r>
      <w:r w:rsidRPr="00127427">
        <w:rPr>
          <w:b/>
          <w:vertAlign w:val="subscript"/>
        </w:rPr>
        <w:t>A</w:t>
      </w:r>
      <w:r w:rsidRPr="00127427">
        <w:rPr>
          <w:b/>
        </w:rPr>
        <w:t>•R</w:t>
      </w:r>
      <w:r w:rsidRPr="00127427">
        <w:t xml:space="preserve"> </w:t>
      </w:r>
      <w:r w:rsidRPr="00127427">
        <w:rPr>
          <w:strike/>
        </w:rPr>
        <w:t>n • M</w:t>
      </w:r>
      <w:r w:rsidRPr="00127427">
        <w:rPr>
          <w:strike/>
          <w:vertAlign w:val="subscript"/>
        </w:rPr>
        <w:t>r</w:t>
      </w:r>
      <w:r w:rsidRPr="00127427">
        <w:t>)</w:t>
      </w:r>
      <w:r w:rsidR="00B67CAA">
        <w:t> .»</w:t>
      </w:r>
      <w:r w:rsidRPr="00127427">
        <w:t>.</w:t>
      </w:r>
    </w:p>
    <w:p w:rsidR="00195C63" w:rsidRPr="006D72E0" w:rsidRDefault="00195C63" w:rsidP="00970C56">
      <w:pPr>
        <w:pStyle w:val="SingleTxt"/>
        <w:rPr>
          <w:color w:val="000000"/>
        </w:rPr>
      </w:pPr>
      <w:r w:rsidRPr="006D72E0">
        <w:rPr>
          <w:i/>
          <w:color w:val="000000"/>
        </w:rPr>
        <w:t>Paragraphe</w:t>
      </w:r>
      <w:r w:rsidRPr="006D72E0">
        <w:rPr>
          <w:i/>
        </w:rPr>
        <w:t xml:space="preserve"> </w:t>
      </w:r>
      <w:r w:rsidRPr="00127427">
        <w:rPr>
          <w:i/>
        </w:rPr>
        <w:t>5.8.3</w:t>
      </w:r>
      <w:r w:rsidRPr="006D72E0">
        <w:t xml:space="preserve">, </w:t>
      </w:r>
      <w:r w:rsidRPr="006D72E0">
        <w:rPr>
          <w:color w:val="000000"/>
        </w:rPr>
        <w:t>modifier comme suit</w:t>
      </w:r>
      <w:r w:rsidR="0002316B">
        <w:rPr>
          <w:color w:val="000000"/>
        </w:rPr>
        <w:t> </w:t>
      </w:r>
      <w:r w:rsidRPr="006D72E0">
        <w:rPr>
          <w:color w:val="000000"/>
        </w:rPr>
        <w:t>:</w:t>
      </w:r>
    </w:p>
    <w:p w:rsidR="00195C63" w:rsidRDefault="0002316B" w:rsidP="00970C56">
      <w:pPr>
        <w:pStyle w:val="SingleTxt"/>
        <w:rPr>
          <w:color w:val="000000"/>
          <w:lang w:val="fr-CH"/>
        </w:rPr>
      </w:pPr>
      <w:r>
        <w:rPr>
          <w:color w:val="000000"/>
          <w:lang w:val="fr-CH"/>
        </w:rPr>
        <w:t>« </w:t>
      </w:r>
    </w:p>
    <w:p w:rsidR="00195C63" w:rsidRPr="005B116B" w:rsidRDefault="0002316B" w:rsidP="0002316B">
      <w:pPr>
        <w:pStyle w:val="SingleTxt"/>
        <w:spacing w:line="240" w:lineRule="auto"/>
      </w:pPr>
      <w:r>
        <w:rPr>
          <w:color w:val="000000"/>
          <w:lang w:val="fr-CH"/>
        </w:rPr>
        <w:tab/>
      </w:r>
      <w:r>
        <w:rPr>
          <w:color w:val="000000"/>
          <w:lang w:val="fr-CH"/>
        </w:rPr>
        <w:tab/>
      </w:r>
      <w:r w:rsidR="00577D7F" w:rsidRPr="00966EEE">
        <w:rPr>
          <w:position w:val="-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9.65pt" o:ole="" filled="t" fillcolor="white [3212]">
            <v:imagedata r:id="rId14" o:title=""/>
          </v:shape>
          <o:OLEObject Type="Embed" ProgID="Equation.3" ShapeID="_x0000_i1025" DrawAspect="Content" ObjectID="_1512211297" r:id="rId15"/>
        </w:object>
      </w:r>
    </w:p>
    <w:p w:rsidR="00195C63" w:rsidRDefault="00B13B74" w:rsidP="00B13B74">
      <w:pPr>
        <w:pStyle w:val="SingleTxt"/>
      </w:pPr>
      <w:r>
        <w:tab/>
      </w:r>
      <w:r>
        <w:tab/>
      </w:r>
      <w:r w:rsidR="00195C63" w:rsidRPr="006D72E0">
        <w:t>(doit être au moins égal à i</w:t>
      </w:r>
      <w:r w:rsidR="00195C63" w:rsidRPr="006D72E0">
        <w:rPr>
          <w:vertAlign w:val="subscript"/>
        </w:rPr>
        <w:t>h</w:t>
      </w:r>
      <w:r w:rsidR="00195C63" w:rsidRPr="006D72E0">
        <w:t>/F</w:t>
      </w:r>
      <w:r w:rsidR="00195C63" w:rsidRPr="006D72E0">
        <w:rPr>
          <w:vertAlign w:val="subscript"/>
        </w:rPr>
        <w:t>HZ</w:t>
      </w:r>
      <w:r w:rsidR="00195C63" w:rsidRPr="006D72E0">
        <w:t>)</w:t>
      </w:r>
      <w:r>
        <w:t> </w:t>
      </w:r>
      <w:r w:rsidR="00B67CAA">
        <w:t>.</w:t>
      </w:r>
      <w:r>
        <w:t>»</w:t>
      </w:r>
      <w:r w:rsidR="00195C63" w:rsidRPr="00127427">
        <w:t>.</w:t>
      </w:r>
    </w:p>
    <w:p w:rsidR="00B13B74" w:rsidRPr="00B13B74" w:rsidRDefault="00B13B74" w:rsidP="00B13B74">
      <w:pPr>
        <w:pStyle w:val="SingleTxt"/>
        <w:spacing w:after="0" w:line="120" w:lineRule="exact"/>
        <w:rPr>
          <w:sz w:val="10"/>
        </w:rPr>
      </w:pPr>
    </w:p>
    <w:p w:rsidR="00B13B74" w:rsidRPr="00B13B74" w:rsidRDefault="00B13B74" w:rsidP="00B13B74">
      <w:pPr>
        <w:pStyle w:val="SingleTxt"/>
        <w:spacing w:after="0" w:line="120" w:lineRule="exact"/>
        <w:rPr>
          <w:sz w:val="10"/>
        </w:rPr>
      </w:pPr>
    </w:p>
    <w:p w:rsidR="00195C63" w:rsidRDefault="00195C63" w:rsidP="00B13B7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127427">
        <w:tab/>
      </w:r>
      <w:r w:rsidRPr="009310CE">
        <w:rPr>
          <w:lang w:val="en-US"/>
        </w:rPr>
        <w:t>II.</w:t>
      </w:r>
      <w:r w:rsidRPr="009310CE">
        <w:rPr>
          <w:lang w:val="en-US"/>
        </w:rPr>
        <w:tab/>
        <w:t>Justification</w:t>
      </w:r>
    </w:p>
    <w:p w:rsidR="00B13B74" w:rsidRPr="00B13B74" w:rsidRDefault="00B13B74" w:rsidP="00B13B74">
      <w:pPr>
        <w:spacing w:line="120" w:lineRule="exact"/>
        <w:rPr>
          <w:sz w:val="10"/>
          <w:lang w:val="en-US"/>
        </w:rPr>
      </w:pPr>
    </w:p>
    <w:p w:rsidR="00B13B74" w:rsidRPr="00B13B74" w:rsidRDefault="00B13B74" w:rsidP="00B13B74">
      <w:pPr>
        <w:spacing w:line="120" w:lineRule="exact"/>
        <w:rPr>
          <w:sz w:val="10"/>
          <w:lang w:val="en-US"/>
        </w:rPr>
      </w:pPr>
    </w:p>
    <w:p w:rsidR="00195C63" w:rsidRPr="004E668A" w:rsidRDefault="00195C63" w:rsidP="00B13B74">
      <w:pPr>
        <w:pStyle w:val="SingleTxt"/>
      </w:pPr>
      <w:r w:rsidRPr="009310CE">
        <w:rPr>
          <w:lang w:val="en-US"/>
        </w:rPr>
        <w:tab/>
      </w:r>
      <w:r w:rsidRPr="004E668A">
        <w:t>Le présent document vise à apporter les corrections suivantes</w:t>
      </w:r>
      <w:r>
        <w:t xml:space="preserve"> au texte du Règlement </w:t>
      </w:r>
      <w:r w:rsidRPr="00A04DAD">
        <w:t>n</w:t>
      </w:r>
      <w:r w:rsidRPr="00A04DAD">
        <w:rPr>
          <w:vertAlign w:val="superscript"/>
        </w:rPr>
        <w:t>o</w:t>
      </w:r>
      <w:r w:rsidRPr="00B13B74">
        <w:t> </w:t>
      </w:r>
      <w:r>
        <w:t>13</w:t>
      </w:r>
      <w:r w:rsidR="00B13B74">
        <w:t> </w:t>
      </w:r>
      <w:r w:rsidRPr="004E668A">
        <w:t>:</w:t>
      </w:r>
    </w:p>
    <w:p w:rsidR="00195C63" w:rsidRPr="004973AE" w:rsidRDefault="00195C63" w:rsidP="00970C56">
      <w:pPr>
        <w:pStyle w:val="SingleTxt"/>
        <w:rPr>
          <w:color w:val="000000"/>
        </w:rPr>
      </w:pPr>
      <w:r w:rsidRPr="004E668A">
        <w:tab/>
      </w:r>
      <w:r w:rsidRPr="004973AE">
        <w:t>a)</w:t>
      </w:r>
      <w:r w:rsidRPr="004973AE">
        <w:tab/>
      </w:r>
      <w:r>
        <w:t>Prise en</w:t>
      </w:r>
      <w:r w:rsidRPr="004973AE">
        <w:t xml:space="preserve"> compte de la r</w:t>
      </w:r>
      <w:r>
        <w:t>e</w:t>
      </w:r>
      <w:r w:rsidRPr="004973AE">
        <w:t>numérotation d</w:t>
      </w:r>
      <w:r>
        <w:t xml:space="preserve">u paragraphe </w:t>
      </w:r>
      <w:r w:rsidRPr="004973AE">
        <w:t xml:space="preserve">9 en </w:t>
      </w:r>
      <w:r>
        <w:t xml:space="preserve">paragraphe </w:t>
      </w:r>
      <w:r w:rsidRPr="004973AE">
        <w:t xml:space="preserve">10 </w:t>
      </w:r>
      <w:r w:rsidRPr="004973AE">
        <w:rPr>
          <w:color w:val="000000"/>
        </w:rPr>
        <w:t>du fait de l</w:t>
      </w:r>
      <w:r>
        <w:rPr>
          <w:color w:val="000000"/>
        </w:rPr>
        <w:t>’</w:t>
      </w:r>
      <w:r w:rsidRPr="004973AE">
        <w:rPr>
          <w:color w:val="000000"/>
        </w:rPr>
        <w:t>insertion d</w:t>
      </w:r>
      <w:r>
        <w:rPr>
          <w:color w:val="000000"/>
        </w:rPr>
        <w:t xml:space="preserve">u </w:t>
      </w:r>
      <w:r w:rsidRPr="004973AE">
        <w:rPr>
          <w:color w:val="000000"/>
        </w:rPr>
        <w:t>nouveau paragraphe 8;</w:t>
      </w:r>
    </w:p>
    <w:p w:rsidR="00195C63" w:rsidRPr="000335CF" w:rsidRDefault="00195C63" w:rsidP="00970C56">
      <w:pPr>
        <w:pStyle w:val="SingleTxt"/>
        <w:rPr>
          <w:color w:val="000000"/>
        </w:rPr>
      </w:pPr>
      <w:r w:rsidRPr="004973AE">
        <w:rPr>
          <w:color w:val="000000"/>
        </w:rPr>
        <w:tab/>
      </w:r>
      <w:r w:rsidRPr="000335CF">
        <w:rPr>
          <w:color w:val="000000"/>
        </w:rPr>
        <w:t>b)</w:t>
      </w:r>
      <w:r w:rsidRPr="000335CF">
        <w:rPr>
          <w:color w:val="000000"/>
        </w:rPr>
        <w:tab/>
      </w:r>
      <w:r>
        <w:rPr>
          <w:color w:val="000000"/>
        </w:rPr>
        <w:t>C</w:t>
      </w:r>
      <w:r w:rsidRPr="000335CF">
        <w:rPr>
          <w:color w:val="000000"/>
        </w:rPr>
        <w:t>orrection d</w:t>
      </w:r>
      <w:r>
        <w:rPr>
          <w:color w:val="000000"/>
        </w:rPr>
        <w:t>’</w:t>
      </w:r>
      <w:r w:rsidRPr="000335CF">
        <w:rPr>
          <w:color w:val="000000"/>
        </w:rPr>
        <w:t>une coquille dans le texte anglais de la révision 8;</w:t>
      </w:r>
    </w:p>
    <w:p w:rsidR="00195C63" w:rsidRDefault="00195C63" w:rsidP="00970C56">
      <w:pPr>
        <w:pStyle w:val="SingleTxt"/>
      </w:pPr>
      <w:r w:rsidRPr="000335CF">
        <w:tab/>
      </w:r>
      <w:r w:rsidRPr="00B93BD4">
        <w:t>c)</w:t>
      </w:r>
      <w:r w:rsidRPr="00B93BD4">
        <w:tab/>
      </w:r>
      <w:r w:rsidRPr="003255FE">
        <w:rPr>
          <w:spacing w:val="-2"/>
        </w:rPr>
        <w:t>Dans le texte actuel de la version anglaise du Règlement, le paragraphe 5.8.3</w:t>
      </w:r>
      <w:r>
        <w:t xml:space="preserve"> se lit comme suit :</w:t>
      </w:r>
    </w:p>
    <w:p w:rsidR="00195C63" w:rsidRPr="00F10A3C" w:rsidRDefault="00B13B74" w:rsidP="00970C56">
      <w:pPr>
        <w:pStyle w:val="SingleTxt"/>
        <w:rPr>
          <w:lang w:val="en-US"/>
        </w:rPr>
      </w:pPr>
      <w:r>
        <w:rPr>
          <w:color w:val="000000"/>
          <w:lang w:val="fr-CH"/>
        </w:rPr>
        <w:t>« </w:t>
      </w:r>
      <w:r w:rsidR="00195C63" w:rsidRPr="00F10A3C">
        <w:rPr>
          <w:lang w:val="en-US"/>
        </w:rPr>
        <w:t>…</w:t>
      </w:r>
      <w:r>
        <w:rPr>
          <w:lang w:val="en-US"/>
        </w:rPr>
        <w:t xml:space="preserve"> </w:t>
      </w:r>
      <w:r w:rsidR="00195C63" w:rsidRPr="00F10A3C">
        <w:rPr>
          <w:lang w:val="en-US"/>
        </w:rPr>
        <w:t>(shall not be less than : i</w:t>
      </w:r>
      <w:r w:rsidR="00195C63" w:rsidRPr="00F10A3C">
        <w:rPr>
          <w:vertAlign w:val="subscript"/>
          <w:lang w:val="en-US"/>
        </w:rPr>
        <w:t>g</w:t>
      </w:r>
      <w:r w:rsidR="00195C63" w:rsidRPr="00F10A3C">
        <w:rPr>
          <w:lang w:val="en-US"/>
        </w:rPr>
        <w:t>/F</w:t>
      </w:r>
      <w:r w:rsidR="00195C63" w:rsidRPr="00F10A3C">
        <w:rPr>
          <w:vertAlign w:val="subscript"/>
          <w:lang w:val="en-US"/>
        </w:rPr>
        <w:t>HZ</w:t>
      </w:r>
      <w:r w:rsidR="00195C63" w:rsidRPr="00F10A3C">
        <w:rPr>
          <w:lang w:val="en-US"/>
        </w:rPr>
        <w:t>)</w:t>
      </w:r>
      <w:r w:rsidR="00B67CAA">
        <w:rPr>
          <w:lang w:val="en-US"/>
        </w:rPr>
        <w:t>.</w:t>
      </w:r>
      <w:r w:rsidR="00195C63">
        <w:rPr>
          <w:lang w:val="en-US"/>
        </w:rPr>
        <w:t>»</w:t>
      </w:r>
      <w:r w:rsidR="00195C63" w:rsidRPr="00F10A3C">
        <w:rPr>
          <w:lang w:val="en-US"/>
        </w:rPr>
        <w:t>.</w:t>
      </w:r>
    </w:p>
    <w:p w:rsidR="00195C63" w:rsidRPr="00AD371B" w:rsidRDefault="00195C63" w:rsidP="00970C56">
      <w:pPr>
        <w:pStyle w:val="SingleTxt"/>
      </w:pPr>
      <w:r>
        <w:t>Or, d</w:t>
      </w:r>
      <w:r w:rsidRPr="00AD371B">
        <w:t xml:space="preserve">ans </w:t>
      </w:r>
      <w:r>
        <w:t xml:space="preserve">la partie principale de l’annexe 12, les prescriptions relatives au contrôle de la course de la commande font référence à </w:t>
      </w:r>
      <w:r w:rsidRPr="00AD371B">
        <w:t>i</w:t>
      </w:r>
      <w:r w:rsidRPr="00AD371B">
        <w:rPr>
          <w:vertAlign w:val="subscript"/>
        </w:rPr>
        <w:t>h</w:t>
      </w:r>
      <w:r>
        <w:t> :</w:t>
      </w:r>
    </w:p>
    <w:p w:rsidR="00195C63" w:rsidRDefault="00B13B74" w:rsidP="00970C56">
      <w:pPr>
        <w:pStyle w:val="SingleTxt"/>
      </w:pPr>
      <w:r>
        <w:t>« </w:t>
      </w:r>
      <w:r w:rsidR="00195C63" w:rsidRPr="00AD371B">
        <w:t>10.4.3.2</w:t>
      </w:r>
      <w:r w:rsidR="00195C63" w:rsidRPr="00AD371B">
        <w:tab/>
        <w:t>Pour les freins à inertie à transmission hydraulique</w:t>
      </w:r>
      <w:r>
        <w:t> </w:t>
      </w:r>
      <w:r w:rsidR="00195C63" w:rsidRPr="00AD371B">
        <w:t>:</w:t>
      </w:r>
    </w:p>
    <w:p w:rsidR="00195C63" w:rsidRPr="00B93BD4" w:rsidRDefault="00B13B74" w:rsidP="00B13B74">
      <w:pPr>
        <w:pStyle w:val="SingleTxt"/>
        <w:spacing w:line="240" w:lineRule="auto"/>
      </w:pPr>
      <w:r>
        <w:tab/>
      </w:r>
      <w:r>
        <w:tab/>
      </w:r>
      <w:r w:rsidRPr="00B13B74">
        <w:rPr>
          <w:color w:val="000000"/>
          <w:position w:val="-28"/>
        </w:rPr>
        <w:object w:dxaOrig="1760" w:dyaOrig="620">
          <v:shape id="_x0000_i1026" type="#_x0000_t75" style="width:88.15pt;height:31.15pt" o:ole="" filled="t" fillcolor="white [3212]">
            <v:imagedata r:id="rId16" o:title=""/>
          </v:shape>
          <o:OLEObject Type="Embed" ProgID="Equation.3" ShapeID="_x0000_i1026" DrawAspect="Content" ObjectID="_1512211298" r:id="rId17"/>
        </w:object>
      </w:r>
      <w:r w:rsidR="00B67CAA">
        <w:rPr>
          <w:color w:val="000000"/>
        </w:rPr>
        <w:t>.</w:t>
      </w:r>
      <w:r w:rsidR="00195C63">
        <w:rPr>
          <w:color w:val="000000"/>
        </w:rPr>
        <w:t>».</w:t>
      </w:r>
    </w:p>
    <w:p w:rsidR="00195C63" w:rsidRDefault="00195C63" w:rsidP="00B13B74">
      <w:pPr>
        <w:pStyle w:val="SingleTxt"/>
      </w:pPr>
      <w:r>
        <w:t>En remaniant</w:t>
      </w:r>
      <w:r w:rsidRPr="00AD371B">
        <w:t xml:space="preserve"> </w:t>
      </w:r>
      <w:r>
        <w:t>cette inégalité</w:t>
      </w:r>
      <w:r w:rsidRPr="00AD371B">
        <w:t xml:space="preserve">, </w:t>
      </w:r>
      <w:r>
        <w:t xml:space="preserve">on obtient </w:t>
      </w:r>
      <w:r w:rsidRPr="00AD371B">
        <w:t xml:space="preserve">la formule </w:t>
      </w:r>
      <w:r>
        <w:t xml:space="preserve">suivante </w:t>
      </w:r>
      <w:r w:rsidRPr="00AD371B">
        <w:t>pour l</w:t>
      </w:r>
      <w:r>
        <w:t>’</w:t>
      </w:r>
      <w:r w:rsidRPr="00AD371B">
        <w:t>équilibrage du volume de</w:t>
      </w:r>
      <w:r>
        <w:t xml:space="preserve"> fluide</w:t>
      </w:r>
      <w:r w:rsidR="00B13B74">
        <w:t> </w:t>
      </w:r>
      <w:r w:rsidRPr="00AD371B">
        <w:t>:</w:t>
      </w:r>
    </w:p>
    <w:p w:rsidR="00195C63" w:rsidRDefault="00B13B74" w:rsidP="00B13B74">
      <w:pPr>
        <w:pStyle w:val="SingleTxt"/>
        <w:spacing w:line="240" w:lineRule="auto"/>
        <w:rPr>
          <w:color w:val="000000"/>
          <w:lang w:val="en-US"/>
        </w:rPr>
      </w:pPr>
      <w:r>
        <w:tab/>
      </w:r>
      <w:r>
        <w:tab/>
      </w:r>
      <w:r w:rsidRPr="00B13B74">
        <w:rPr>
          <w:color w:val="000000"/>
          <w:position w:val="-26"/>
        </w:rPr>
        <w:object w:dxaOrig="1980" w:dyaOrig="600">
          <v:shape id="_x0000_i1027" type="#_x0000_t75" style="width:99.4pt;height:30pt" o:ole="" filled="t" fillcolor="white [3212]">
            <v:imagedata r:id="rId18" o:title=""/>
          </v:shape>
          <o:OLEObject Type="Embed" ProgID="Equation.3" ShapeID="_x0000_i1027" DrawAspect="Content" ObjectID="_1512211299" r:id="rId19"/>
        </w:object>
      </w:r>
    </w:p>
    <w:p w:rsidR="00195C63" w:rsidRPr="00263437" w:rsidRDefault="00195C63" w:rsidP="00970C56">
      <w:pPr>
        <w:pStyle w:val="SingleTxt"/>
      </w:pPr>
      <w:r w:rsidRPr="00263437">
        <w:rPr>
          <w:color w:val="000000"/>
        </w:rPr>
        <w:t>En d</w:t>
      </w:r>
      <w:r>
        <w:rPr>
          <w:color w:val="000000"/>
        </w:rPr>
        <w:t>’</w:t>
      </w:r>
      <w:r w:rsidRPr="00263437">
        <w:rPr>
          <w:color w:val="000000"/>
        </w:rPr>
        <w:t xml:space="preserve">autres termes, le volume de fluide </w:t>
      </w:r>
      <w:r>
        <w:rPr>
          <w:color w:val="000000"/>
        </w:rPr>
        <w:t>né</w:t>
      </w:r>
      <w:r w:rsidRPr="00263437">
        <w:rPr>
          <w:color w:val="000000"/>
        </w:rPr>
        <w:t xml:space="preserve">cessaire pour tous les freins sur roues ne doit pas dépasser le volume de fluide </w:t>
      </w:r>
      <w:r>
        <w:rPr>
          <w:color w:val="000000"/>
        </w:rPr>
        <w:t>admis</w:t>
      </w:r>
      <w:r w:rsidRPr="00263437">
        <w:rPr>
          <w:color w:val="000000"/>
        </w:rPr>
        <w:t xml:space="preserve"> par le maître-cylindre.</w:t>
      </w:r>
    </w:p>
    <w:p w:rsidR="001A42E0" w:rsidRDefault="00195C63" w:rsidP="00195C63">
      <w:pPr>
        <w:pStyle w:val="SingleTxt"/>
        <w:rPr>
          <w:szCs w:val="24"/>
        </w:rPr>
      </w:pPr>
      <w:r w:rsidRPr="00263437">
        <w:lastRenderedPageBreak/>
        <w:tab/>
      </w:r>
      <w:r w:rsidRPr="001942F1">
        <w:t>d)</w:t>
      </w:r>
      <w:r w:rsidRPr="001942F1">
        <w:tab/>
      </w:r>
      <w:r w:rsidRPr="001942F1">
        <w:rPr>
          <w:szCs w:val="24"/>
        </w:rPr>
        <w:t>n * M</w:t>
      </w:r>
      <w:r w:rsidRPr="001942F1">
        <w:rPr>
          <w:szCs w:val="24"/>
          <w:vertAlign w:val="subscript"/>
        </w:rPr>
        <w:t>r</w:t>
      </w:r>
      <w:r w:rsidRPr="001942F1">
        <w:rPr>
          <w:szCs w:val="24"/>
        </w:rPr>
        <w:t xml:space="preserve"> est le moment de freinage généré par tous les freins sur roues lorsque la remorque </w:t>
      </w:r>
      <w:r>
        <w:rPr>
          <w:szCs w:val="24"/>
        </w:rPr>
        <w:t>fait marche arrière</w:t>
      </w:r>
      <w:r w:rsidRPr="001942F1">
        <w:rPr>
          <w:szCs w:val="24"/>
        </w:rPr>
        <w:t>, et ne doit pas dépasser</w:t>
      </w:r>
      <w:r>
        <w:rPr>
          <w:szCs w:val="24"/>
        </w:rPr>
        <w:t xml:space="preserve"> 0,</w:t>
      </w:r>
      <w:r w:rsidRPr="001942F1">
        <w:rPr>
          <w:szCs w:val="24"/>
        </w:rPr>
        <w:t>08 g.G</w:t>
      </w:r>
      <w:r w:rsidRPr="001942F1">
        <w:rPr>
          <w:szCs w:val="24"/>
          <w:vertAlign w:val="subscript"/>
        </w:rPr>
        <w:t xml:space="preserve">A </w:t>
      </w:r>
      <w:r w:rsidRPr="001942F1">
        <w:rPr>
          <w:szCs w:val="24"/>
        </w:rPr>
        <w:t>*R (</w:t>
      </w:r>
      <w:r>
        <w:rPr>
          <w:szCs w:val="24"/>
        </w:rPr>
        <w:t>voir par.</w:t>
      </w:r>
      <w:r w:rsidR="00B13B74">
        <w:rPr>
          <w:szCs w:val="24"/>
        </w:rPr>
        <w:t> </w:t>
      </w:r>
      <w:r>
        <w:rPr>
          <w:szCs w:val="24"/>
        </w:rPr>
        <w:t>3.4</w:t>
      </w:r>
      <w:r w:rsidRPr="001942F1">
        <w:rPr>
          <w:szCs w:val="24"/>
        </w:rPr>
        <w:t xml:space="preserve"> </w:t>
      </w:r>
      <w:r>
        <w:rPr>
          <w:szCs w:val="24"/>
        </w:rPr>
        <w:t>de l’annexe</w:t>
      </w:r>
      <w:r w:rsidRPr="001942F1">
        <w:rPr>
          <w:szCs w:val="24"/>
        </w:rPr>
        <w:t xml:space="preserve"> 12).</w:t>
      </w:r>
    </w:p>
    <w:p w:rsidR="00970C56" w:rsidRPr="00970C56" w:rsidRDefault="00970C56" w:rsidP="00970C56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ECA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970C56" w:rsidRPr="00970C56" w:rsidSect="001A42E0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3C" w:rsidRDefault="00B7133C" w:rsidP="00F3330B">
      <w:pPr>
        <w:spacing w:line="240" w:lineRule="auto"/>
      </w:pPr>
      <w:r>
        <w:separator/>
      </w:r>
    </w:p>
  </w:endnote>
  <w:endnote w:type="continuationSeparator" w:id="0">
    <w:p w:rsidR="00B7133C" w:rsidRDefault="00B7133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A42E0" w:rsidTr="001A42E0">
      <w:trPr>
        <w:jc w:val="center"/>
      </w:trPr>
      <w:tc>
        <w:tcPr>
          <w:tcW w:w="5126" w:type="dxa"/>
          <w:shd w:val="clear" w:color="auto" w:fill="auto"/>
        </w:tcPr>
        <w:p w:rsidR="001A42E0" w:rsidRPr="001A42E0" w:rsidRDefault="001A42E0" w:rsidP="001A42E0">
          <w:pPr>
            <w:pStyle w:val="Pieddepage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C3EE5">
            <w:rPr>
              <w:b w:val="0"/>
              <w:w w:val="103"/>
              <w:sz w:val="14"/>
            </w:rPr>
            <w:t>GE.15-20571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A42E0" w:rsidRPr="001A42E0" w:rsidRDefault="001A42E0" w:rsidP="001A42E0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6126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6126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1A42E0" w:rsidRPr="001A42E0" w:rsidRDefault="001A42E0" w:rsidP="001A4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A42E0" w:rsidTr="001A42E0">
      <w:trPr>
        <w:jc w:val="center"/>
      </w:trPr>
      <w:tc>
        <w:tcPr>
          <w:tcW w:w="5126" w:type="dxa"/>
          <w:shd w:val="clear" w:color="auto" w:fill="auto"/>
        </w:tcPr>
        <w:p w:rsidR="001A42E0" w:rsidRPr="001A42E0" w:rsidRDefault="001A42E0" w:rsidP="001A42E0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6126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6126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A42E0" w:rsidRPr="001A42E0" w:rsidRDefault="001A42E0" w:rsidP="001A42E0">
          <w:pPr>
            <w:pStyle w:val="Pieddepage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C3EE5">
            <w:rPr>
              <w:b w:val="0"/>
              <w:w w:val="103"/>
              <w:sz w:val="14"/>
            </w:rPr>
            <w:t>GE.15-20571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A42E0" w:rsidRPr="001A42E0" w:rsidRDefault="001A42E0" w:rsidP="001A42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0" w:rsidRDefault="001A42E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070E5C6" wp14:editId="562BA53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6/1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6/1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1A42E0" w:rsidTr="001A42E0">
      <w:tc>
        <w:tcPr>
          <w:tcW w:w="3859" w:type="dxa"/>
        </w:tcPr>
        <w:p w:rsidR="001A42E0" w:rsidRDefault="001A42E0" w:rsidP="001A42E0">
          <w:pPr>
            <w:pStyle w:val="Pieddepage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C3EE5">
            <w:rPr>
              <w:b w:val="0"/>
              <w:sz w:val="20"/>
            </w:rPr>
            <w:t>GE.15-20571 (F)</w:t>
          </w:r>
          <w:r>
            <w:rPr>
              <w:b w:val="0"/>
              <w:sz w:val="20"/>
            </w:rPr>
            <w:fldChar w:fldCharType="end"/>
          </w:r>
          <w:r w:rsidR="00195C63">
            <w:rPr>
              <w:b w:val="0"/>
              <w:sz w:val="20"/>
            </w:rPr>
            <w:t xml:space="preserve">    02</w:t>
          </w:r>
          <w:r>
            <w:rPr>
              <w:b w:val="0"/>
              <w:sz w:val="20"/>
            </w:rPr>
            <w:t xml:space="preserve">1215    </w:t>
          </w:r>
          <w:r w:rsidR="00195C63">
            <w:rPr>
              <w:b w:val="0"/>
              <w:sz w:val="20"/>
            </w:rPr>
            <w:t>21</w:t>
          </w:r>
          <w:r>
            <w:rPr>
              <w:b w:val="0"/>
              <w:sz w:val="20"/>
            </w:rPr>
            <w:t>1215</w:t>
          </w:r>
        </w:p>
        <w:p w:rsidR="001A42E0" w:rsidRPr="001A42E0" w:rsidRDefault="001A42E0" w:rsidP="001A42E0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C3EE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*1520571*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1A42E0" w:rsidRDefault="001A42E0" w:rsidP="001A42E0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636ED380" wp14:editId="2DB4B42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2E0" w:rsidRPr="001A42E0" w:rsidRDefault="001A42E0" w:rsidP="001A42E0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3C" w:rsidRPr="00195C63" w:rsidRDefault="00B7133C" w:rsidP="00195C63">
      <w:pPr>
        <w:pStyle w:val="Pieddepage"/>
        <w:spacing w:after="80"/>
        <w:ind w:left="792"/>
        <w:rPr>
          <w:sz w:val="16"/>
        </w:rPr>
      </w:pPr>
      <w:r w:rsidRPr="00195C63">
        <w:rPr>
          <w:sz w:val="16"/>
        </w:rPr>
        <w:t>__________________</w:t>
      </w:r>
    </w:p>
  </w:footnote>
  <w:footnote w:type="continuationSeparator" w:id="0">
    <w:p w:rsidR="00B7133C" w:rsidRPr="00195C63" w:rsidRDefault="00B7133C" w:rsidP="00195C63">
      <w:pPr>
        <w:pStyle w:val="Pieddepage"/>
        <w:spacing w:after="80"/>
        <w:ind w:left="792"/>
        <w:rPr>
          <w:sz w:val="16"/>
        </w:rPr>
      </w:pPr>
      <w:r w:rsidRPr="00195C63">
        <w:rPr>
          <w:sz w:val="16"/>
        </w:rPr>
        <w:t>__________________</w:t>
      </w:r>
    </w:p>
  </w:footnote>
  <w:footnote w:id="1">
    <w:p w:rsidR="00195C63" w:rsidRPr="002811A6" w:rsidRDefault="00195C63" w:rsidP="00195C63">
      <w:pPr>
        <w:pStyle w:val="Notedebasdepage"/>
        <w:tabs>
          <w:tab w:val="right" w:pos="1195"/>
          <w:tab w:val="left" w:pos="1267"/>
          <w:tab w:val="left" w:pos="1742"/>
          <w:tab w:val="left" w:pos="2218"/>
        </w:tabs>
        <w:ind w:left="1267" w:right="1260" w:hanging="432"/>
      </w:pPr>
      <w:r>
        <w:tab/>
      </w:r>
      <w:r w:rsidRPr="00970C56">
        <w:rPr>
          <w:rStyle w:val="Appelnotedebasdep"/>
          <w:szCs w:val="17"/>
          <w:vertAlign w:val="baseline"/>
        </w:rPr>
        <w:t>*</w:t>
      </w:r>
      <w:r w:rsidRPr="002811A6">
        <w:rPr>
          <w:sz w:val="20"/>
        </w:rPr>
        <w:tab/>
      </w:r>
      <w:r w:rsidRPr="002811A6">
        <w:rPr>
          <w:szCs w:val="18"/>
        </w:rPr>
        <w:t>Conformément au programme de travail du Comité des transports intérieurs pour la période 201</w:t>
      </w:r>
      <w:r w:rsidR="00E4701B">
        <w:rPr>
          <w:szCs w:val="18"/>
        </w:rPr>
        <w:t>4</w:t>
      </w:r>
      <w:r w:rsidRPr="002811A6">
        <w:rPr>
          <w:szCs w:val="18"/>
        </w:rPr>
        <w:t>- 201</w:t>
      </w:r>
      <w:r w:rsidR="00E4701B">
        <w:rPr>
          <w:szCs w:val="18"/>
        </w:rPr>
        <w:t>8</w:t>
      </w:r>
      <w:r w:rsidRPr="002811A6">
        <w:rPr>
          <w:szCs w:val="18"/>
        </w:rPr>
        <w:t xml:space="preserve"> (ECE/TRANS/24</w:t>
      </w:r>
      <w:r w:rsidR="00E4701B">
        <w:rPr>
          <w:szCs w:val="18"/>
        </w:rPr>
        <w:t>0</w:t>
      </w:r>
      <w:r w:rsidRPr="002811A6">
        <w:rPr>
          <w:szCs w:val="18"/>
        </w:rPr>
        <w:t>, par.</w:t>
      </w:r>
      <w:r w:rsidR="00E4701B">
        <w:rPr>
          <w:szCs w:val="18"/>
        </w:rPr>
        <w:t> 105</w:t>
      </w:r>
      <w:r w:rsidRPr="002811A6">
        <w:rPr>
          <w:szCs w:val="18"/>
        </w:rPr>
        <w:t>, et ECE/TRANS/201</w:t>
      </w:r>
      <w:r w:rsidR="00E4701B">
        <w:rPr>
          <w:szCs w:val="18"/>
        </w:rPr>
        <w:t>4</w:t>
      </w:r>
      <w:r w:rsidRPr="002811A6">
        <w:rPr>
          <w:szCs w:val="18"/>
        </w:rPr>
        <w:t>/</w:t>
      </w:r>
      <w:r w:rsidR="00E4701B">
        <w:rPr>
          <w:szCs w:val="18"/>
        </w:rPr>
        <w:t>26</w:t>
      </w:r>
      <w:r w:rsidRPr="002811A6">
        <w:rPr>
          <w:szCs w:val="18"/>
        </w:rPr>
        <w:t>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A42E0" w:rsidTr="001A42E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A42E0" w:rsidRPr="001A42E0" w:rsidRDefault="001A42E0" w:rsidP="001A42E0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C3EE5">
            <w:rPr>
              <w:b/>
              <w:color w:val="000000"/>
            </w:rPr>
            <w:t>ECE/TRANS/WP.29/GRRF/2016/19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A42E0" w:rsidRDefault="001A42E0" w:rsidP="001A42E0">
          <w:pPr>
            <w:pStyle w:val="En-tte"/>
          </w:pPr>
        </w:p>
      </w:tc>
    </w:tr>
  </w:tbl>
  <w:p w:rsidR="001A42E0" w:rsidRPr="001A42E0" w:rsidRDefault="001A42E0" w:rsidP="001A42E0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A42E0" w:rsidTr="001A42E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A42E0" w:rsidRDefault="001A42E0" w:rsidP="001A42E0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1A42E0" w:rsidRPr="001A42E0" w:rsidRDefault="001A42E0" w:rsidP="001A42E0">
          <w:pPr>
            <w:pStyle w:val="En-tte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C3EE5">
            <w:rPr>
              <w:b/>
              <w:color w:val="000000"/>
            </w:rPr>
            <w:t>ECE/TRANS/WP.29/GRRF/2016/19</w:t>
          </w:r>
          <w:r>
            <w:rPr>
              <w:b/>
              <w:color w:val="000000"/>
            </w:rPr>
            <w:fldChar w:fldCharType="end"/>
          </w:r>
        </w:p>
      </w:tc>
    </w:tr>
  </w:tbl>
  <w:p w:rsidR="001A42E0" w:rsidRPr="001A42E0" w:rsidRDefault="001A42E0" w:rsidP="001A42E0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1A42E0" w:rsidTr="001A42E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A42E0" w:rsidRDefault="001A42E0" w:rsidP="001A42E0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A42E0" w:rsidRPr="001A42E0" w:rsidRDefault="001A42E0" w:rsidP="001A42E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A42E0" w:rsidRDefault="001A42E0" w:rsidP="001A42E0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A42E0" w:rsidRPr="001A42E0" w:rsidRDefault="001A42E0" w:rsidP="001A42E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/TRANS/WP.29/GRRF/2016/19</w:t>
          </w:r>
        </w:p>
      </w:tc>
    </w:tr>
    <w:tr w:rsidR="001A42E0" w:rsidRPr="001A42E0" w:rsidTr="001A42E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2E0" w:rsidRPr="001A42E0" w:rsidRDefault="001A42E0" w:rsidP="001A42E0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207D653A" wp14:editId="05A11A0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2E0" w:rsidRPr="001A42E0" w:rsidRDefault="001A42E0" w:rsidP="001A42E0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2E0" w:rsidRPr="001A42E0" w:rsidRDefault="001A42E0" w:rsidP="001A42E0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A42E0" w:rsidRDefault="001A42E0" w:rsidP="00E26711">
          <w:pPr>
            <w:pStyle w:val="Distribution"/>
            <w:spacing w:line="240" w:lineRule="exact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1A42E0" w:rsidRDefault="00E26711" w:rsidP="00E26711">
          <w:pPr>
            <w:pStyle w:val="Publication"/>
            <w:spacing w:line="240" w:lineRule="exact"/>
            <w:rPr>
              <w:color w:val="000000"/>
            </w:rPr>
          </w:pPr>
          <w:r>
            <w:rPr>
              <w:color w:val="000000"/>
            </w:rPr>
            <w:t>23 novembre</w:t>
          </w:r>
          <w:r w:rsidR="001A42E0">
            <w:rPr>
              <w:color w:val="000000"/>
            </w:rPr>
            <w:t xml:space="preserve"> 2015</w:t>
          </w:r>
        </w:p>
        <w:p w:rsidR="001A42E0" w:rsidRDefault="001A42E0" w:rsidP="00E26711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1A42E0" w:rsidRPr="001A42E0" w:rsidRDefault="001A42E0" w:rsidP="00E26711">
          <w:pPr>
            <w:pStyle w:val="Original"/>
            <w:spacing w:line="240" w:lineRule="exact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1A42E0" w:rsidRPr="001A42E0" w:rsidRDefault="001A42E0" w:rsidP="001A42E0">
    <w:pPr>
      <w:pStyle w:val="En-tte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0571*"/>
    <w:docVar w:name="CreationDt" w:val="12/16/2015 12:17 PM"/>
    <w:docVar w:name="DocCategory" w:val="Doc"/>
    <w:docVar w:name="DocType" w:val="Final"/>
    <w:docVar w:name="DutyStation" w:val="Geneva"/>
    <w:docVar w:name="FooterJN" w:val="GE.15-20571"/>
    <w:docVar w:name="jobn" w:val="GE.15-20571 (F)"/>
    <w:docVar w:name="jobnDT" w:val="GE.15-20571 (F)   161215"/>
    <w:docVar w:name="jobnDTDT" w:val="GE.15-20571 (F)   161215   161215"/>
    <w:docVar w:name="JobNo" w:val="GE.1520571F"/>
    <w:docVar w:name="JobNo2" w:val="GE.1526635F"/>
    <w:docVar w:name="LocalDrive" w:val="0"/>
    <w:docVar w:name="OandT" w:val="C. ROBERT"/>
    <w:docVar w:name="PaperSize" w:val="A4"/>
    <w:docVar w:name="sss1" w:val="ECE/TRANS/WP.29/GRRF/2016/19"/>
    <w:docVar w:name="sss2" w:val="-"/>
    <w:docVar w:name="Symbol1" w:val="ECE/TRANS/WP.29/GRRF/2016/19"/>
    <w:docVar w:name="Symbol2" w:val="-"/>
  </w:docVars>
  <w:rsids>
    <w:rsidRoot w:val="00741F10"/>
    <w:rsid w:val="000015B8"/>
    <w:rsid w:val="000046A5"/>
    <w:rsid w:val="000055FB"/>
    <w:rsid w:val="00010C97"/>
    <w:rsid w:val="00016483"/>
    <w:rsid w:val="00022173"/>
    <w:rsid w:val="0002226F"/>
    <w:rsid w:val="00022B4A"/>
    <w:rsid w:val="0002316B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2FCB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95C63"/>
    <w:rsid w:val="001A2E2D"/>
    <w:rsid w:val="001A42E0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066F"/>
    <w:rsid w:val="00316628"/>
    <w:rsid w:val="00316B58"/>
    <w:rsid w:val="003235C7"/>
    <w:rsid w:val="003255FE"/>
    <w:rsid w:val="00326270"/>
    <w:rsid w:val="0032685C"/>
    <w:rsid w:val="0032728E"/>
    <w:rsid w:val="00332A87"/>
    <w:rsid w:val="00333703"/>
    <w:rsid w:val="003342DF"/>
    <w:rsid w:val="00334FEB"/>
    <w:rsid w:val="00336641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6343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06C1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77D7F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2043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2D34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F1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689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6EEE"/>
    <w:rsid w:val="009676D3"/>
    <w:rsid w:val="00970A5C"/>
    <w:rsid w:val="00970C56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1268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3EE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3B74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67CAA"/>
    <w:rsid w:val="00B70DA9"/>
    <w:rsid w:val="00B712B0"/>
    <w:rsid w:val="00B7133C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59AD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26711"/>
    <w:rsid w:val="00E345BF"/>
    <w:rsid w:val="00E34D59"/>
    <w:rsid w:val="00E35C78"/>
    <w:rsid w:val="00E405EA"/>
    <w:rsid w:val="00E40877"/>
    <w:rsid w:val="00E4701B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67414-A9BB-412F-AB4D-22BA476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aliases w:val="5_G,PP"/>
    <w:basedOn w:val="Normal"/>
    <w:link w:val="NotedebasdepageCar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aliases w:val="5_G Car,PP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1A42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2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2E0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2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2E0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195C6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195C6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195C63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195C63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FootnoteTextChar1">
    <w:name w:val="Footnote Text Char1"/>
    <w:aliases w:val="5_G Char,PP Char,Footnote Text Char Char"/>
    <w:rsid w:val="00195C63"/>
    <w:rPr>
      <w:rFonts w:eastAsia="Times New Roman"/>
      <w:sz w:val="18"/>
      <w:lang w:eastAsia="en-US"/>
    </w:rPr>
  </w:style>
  <w:style w:type="character" w:customStyle="1" w:styleId="SingleTxtGChar">
    <w:name w:val="_ Single Txt_G Char"/>
    <w:link w:val="SingleTxtG"/>
    <w:rsid w:val="00195C63"/>
    <w:rPr>
      <w:rFonts w:ascii="Times New Roman" w:eastAsia="Calibri" w:hAnsi="Times New Roman"/>
      <w:sz w:val="24"/>
      <w:lang w:val="fr-CH"/>
    </w:rPr>
  </w:style>
  <w:style w:type="character" w:customStyle="1" w:styleId="H1GChar">
    <w:name w:val="_ H_1_G Char"/>
    <w:link w:val="H1G"/>
    <w:rsid w:val="00195C63"/>
    <w:rPr>
      <w:rFonts w:ascii="Times New Roman" w:eastAsia="Calibri" w:hAnsi="Times New Roman"/>
      <w:b/>
      <w:sz w:val="24"/>
      <w:lang w:val="fr-CH"/>
    </w:rPr>
  </w:style>
  <w:style w:type="character" w:customStyle="1" w:styleId="HChGChar">
    <w:name w:val="_ H _Ch_G Char"/>
    <w:link w:val="HChG"/>
    <w:rsid w:val="00195C63"/>
    <w:rPr>
      <w:rFonts w:ascii="Times New Roman" w:eastAsia="Calibri" w:hAnsi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F473-748B-493C-A607-AA396C07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FTPU - Office 2010</vt:lpstr>
      <vt:lpstr>FTPU - Office 2010</vt:lpstr>
    </vt:vector>
  </TitlesOfParts>
  <Company>DCM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Robert Corinne</dc:creator>
  <cp:keywords/>
  <dc:description/>
  <cp:lastModifiedBy>Bénédicte Boudol</cp:lastModifiedBy>
  <cp:revision>2</cp:revision>
  <cp:lastPrinted>2015-12-16T11:54:00Z</cp:lastPrinted>
  <dcterms:created xsi:type="dcterms:W3CDTF">2015-12-21T12:55:00Z</dcterms:created>
  <dcterms:modified xsi:type="dcterms:W3CDTF">2015-12-21T12:55:00Z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1520571F</vt:lpwstr>
  </property>
  <property fmtid="{D5CDD505-2E9C-101B-9397-08002B2CF9AE}" pid="3" name="ODSRefJobNo">
    <vt:lpwstr>1526635F</vt:lpwstr>
  </property>
  <property fmtid="{D5CDD505-2E9C-101B-9397-08002B2CF9AE}" pid="4" name="Symbol1">
    <vt:lpwstr>ECE/TRANS/WP.29/GRRF/2016/19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C. ROBERT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16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161215</vt:lpwstr>
  </property>
</Properties>
</file>