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FA8" w:rsidRPr="0072005C" w:rsidRDefault="00343FA8" w:rsidP="00343FA8">
      <w:pPr>
        <w:spacing w:line="60" w:lineRule="exact"/>
        <w:rPr>
          <w:color w:val="010000"/>
          <w:sz w:val="6"/>
        </w:rPr>
        <w:sectPr w:rsidR="00343FA8" w:rsidRPr="0072005C" w:rsidSect="00343F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72005C" w:rsidRPr="0093308B" w:rsidRDefault="0072005C" w:rsidP="0072005C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2005C">
        <w:lastRenderedPageBreak/>
        <w:t>Европейская экономическая комиссия</w:t>
      </w:r>
    </w:p>
    <w:p w:rsidR="0072005C" w:rsidRPr="0093308B" w:rsidRDefault="0072005C" w:rsidP="0072005C">
      <w:pPr>
        <w:spacing w:line="120" w:lineRule="exact"/>
        <w:rPr>
          <w:sz w:val="10"/>
        </w:rPr>
      </w:pPr>
    </w:p>
    <w:p w:rsidR="0072005C" w:rsidRPr="0093308B" w:rsidRDefault="0072005C" w:rsidP="0072005C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72005C">
        <w:rPr>
          <w:b w:val="0"/>
          <w:bCs/>
        </w:rPr>
        <w:t>Комитет по внутреннему транспорту</w:t>
      </w:r>
    </w:p>
    <w:p w:rsidR="0072005C" w:rsidRPr="0093308B" w:rsidRDefault="0072005C" w:rsidP="0072005C">
      <w:pPr>
        <w:spacing w:line="120" w:lineRule="exact"/>
        <w:rPr>
          <w:sz w:val="10"/>
        </w:rPr>
      </w:pPr>
    </w:p>
    <w:p w:rsidR="0072005C" w:rsidRPr="0093308B" w:rsidRDefault="0072005C" w:rsidP="0072005C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2005C">
        <w:t>Всемирный форум для согласования правил</w:t>
      </w:r>
      <w:r w:rsidRPr="0072005C">
        <w:br/>
        <w:t>в области транспортных средств</w:t>
      </w:r>
    </w:p>
    <w:p w:rsidR="0072005C" w:rsidRPr="0093308B" w:rsidRDefault="0072005C" w:rsidP="0072005C">
      <w:pPr>
        <w:spacing w:line="120" w:lineRule="exact"/>
        <w:rPr>
          <w:sz w:val="10"/>
        </w:rPr>
      </w:pPr>
    </w:p>
    <w:p w:rsidR="0072005C" w:rsidRPr="0093308B" w:rsidRDefault="0072005C" w:rsidP="0072005C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2005C">
        <w:t xml:space="preserve">Рабочая группа по вопросам торможения </w:t>
      </w:r>
      <w:r w:rsidRPr="0072005C">
        <w:br/>
        <w:t>и ходовой части</w:t>
      </w:r>
    </w:p>
    <w:p w:rsidR="0072005C" w:rsidRPr="0093308B" w:rsidRDefault="0072005C" w:rsidP="0072005C">
      <w:pPr>
        <w:spacing w:line="120" w:lineRule="exact"/>
        <w:rPr>
          <w:sz w:val="10"/>
        </w:rPr>
      </w:pPr>
    </w:p>
    <w:p w:rsidR="0072005C" w:rsidRPr="0072005C" w:rsidRDefault="0072005C" w:rsidP="0072005C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2005C">
        <w:t>Восемьдесят первая сессия</w:t>
      </w:r>
    </w:p>
    <w:p w:rsidR="0072005C" w:rsidRPr="0072005C" w:rsidRDefault="0072005C" w:rsidP="0072005C">
      <w:r w:rsidRPr="0072005C">
        <w:t>Женева, 1−5 февраля 2016 года</w:t>
      </w:r>
    </w:p>
    <w:p w:rsidR="0072005C" w:rsidRPr="0072005C" w:rsidRDefault="0072005C" w:rsidP="0072005C">
      <w:r w:rsidRPr="0072005C">
        <w:t>Пункт 10 с) предварительной повестки дня</w:t>
      </w:r>
    </w:p>
    <w:p w:rsidR="0072005C" w:rsidRPr="0072005C" w:rsidRDefault="0072005C" w:rsidP="0072005C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2005C">
        <w:t xml:space="preserve">Международное официальное утверждение типа </w:t>
      </w:r>
    </w:p>
    <w:p w:rsidR="0072005C" w:rsidRPr="0072005C" w:rsidRDefault="0072005C" w:rsidP="0072005C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2005C">
        <w:t xml:space="preserve">комплектного транспортного средства (МОУТКТС) – </w:t>
      </w:r>
    </w:p>
    <w:p w:rsidR="0072005C" w:rsidRPr="0072005C" w:rsidRDefault="0072005C" w:rsidP="0072005C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2005C">
        <w:t xml:space="preserve">Правила № 13-H </w:t>
      </w:r>
    </w:p>
    <w:p w:rsidR="0072005C" w:rsidRPr="0072005C" w:rsidRDefault="0072005C" w:rsidP="0072005C">
      <w:pPr>
        <w:pStyle w:val="SingleTxt"/>
        <w:spacing w:after="0" w:line="120" w:lineRule="exact"/>
        <w:rPr>
          <w:b/>
          <w:bCs/>
          <w:sz w:val="10"/>
        </w:rPr>
      </w:pPr>
    </w:p>
    <w:p w:rsidR="0072005C" w:rsidRPr="0072005C" w:rsidRDefault="0072005C" w:rsidP="0072005C">
      <w:pPr>
        <w:pStyle w:val="SingleTxt"/>
        <w:spacing w:after="0" w:line="120" w:lineRule="exact"/>
        <w:rPr>
          <w:b/>
          <w:bCs/>
          <w:sz w:val="10"/>
        </w:rPr>
      </w:pPr>
    </w:p>
    <w:p w:rsidR="0072005C" w:rsidRPr="0072005C" w:rsidRDefault="0072005C" w:rsidP="0072005C">
      <w:pPr>
        <w:pStyle w:val="SingleTxt"/>
        <w:spacing w:after="0" w:line="120" w:lineRule="exact"/>
        <w:rPr>
          <w:b/>
          <w:bCs/>
          <w:sz w:val="10"/>
        </w:rPr>
      </w:pPr>
    </w:p>
    <w:p w:rsidR="0072005C" w:rsidRPr="0072005C" w:rsidRDefault="0072005C" w:rsidP="0072005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1" w:name="OLE_LINK2"/>
      <w:r w:rsidRPr="0072005C">
        <w:tab/>
      </w:r>
      <w:r w:rsidRPr="0072005C">
        <w:tab/>
      </w:r>
      <w:bookmarkEnd w:id="1"/>
      <w:r w:rsidRPr="0072005C">
        <w:t xml:space="preserve">Предложение по поправкам к Правилам № 13-Н (тормозные системы </w:t>
      </w:r>
      <w:r>
        <w:t>транспортных средств</w:t>
      </w:r>
      <w:r w:rsidRPr="0072005C">
        <w:br/>
        <w:t>категорий М</w:t>
      </w:r>
      <w:r w:rsidRPr="0072005C">
        <w:rPr>
          <w:vertAlign w:val="subscript"/>
        </w:rPr>
        <w:t>1</w:t>
      </w:r>
      <w:r w:rsidRPr="0072005C">
        <w:t xml:space="preserve"> и </w:t>
      </w:r>
      <w:r w:rsidRPr="0072005C">
        <w:rPr>
          <w:lang w:val="en-US"/>
        </w:rPr>
        <w:t>N</w:t>
      </w:r>
      <w:r w:rsidRPr="0072005C">
        <w:rPr>
          <w:vertAlign w:val="subscript"/>
        </w:rPr>
        <w:t>1</w:t>
      </w:r>
      <w:r w:rsidRPr="0072005C">
        <w:t>)</w:t>
      </w:r>
    </w:p>
    <w:p w:rsidR="0072005C" w:rsidRPr="0072005C" w:rsidRDefault="0072005C" w:rsidP="0072005C">
      <w:pPr>
        <w:pStyle w:val="SingleTxt"/>
        <w:spacing w:after="0" w:line="120" w:lineRule="exact"/>
        <w:rPr>
          <w:b/>
          <w:sz w:val="10"/>
        </w:rPr>
      </w:pPr>
    </w:p>
    <w:p w:rsidR="0072005C" w:rsidRPr="0072005C" w:rsidRDefault="0072005C" w:rsidP="0072005C">
      <w:pPr>
        <w:pStyle w:val="SingleTxt"/>
        <w:spacing w:after="0" w:line="120" w:lineRule="exact"/>
        <w:rPr>
          <w:b/>
          <w:sz w:val="10"/>
        </w:rPr>
      </w:pPr>
    </w:p>
    <w:p w:rsidR="0072005C" w:rsidRPr="0072005C" w:rsidRDefault="0072005C" w:rsidP="0072005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2005C">
        <w:tab/>
      </w:r>
      <w:r w:rsidRPr="0072005C">
        <w:tab/>
        <w:t xml:space="preserve">Представлено экспертами от </w:t>
      </w:r>
      <w:r w:rsidRPr="0072005C">
        <w:rPr>
          <w:lang w:val="en-US"/>
        </w:rPr>
        <w:t>C</w:t>
      </w:r>
      <w:r w:rsidRPr="0072005C">
        <w:t>оединенного Королевства Великобритании и Северной Ирландии</w:t>
      </w:r>
      <w:r w:rsidRPr="0072005C">
        <w:rPr>
          <w:b w:val="0"/>
          <w:bCs/>
          <w:sz w:val="20"/>
          <w:szCs w:val="20"/>
        </w:rPr>
        <w:footnoteReference w:customMarkFollows="1" w:id="1"/>
        <w:sym w:font="Symbol" w:char="F02A"/>
      </w:r>
    </w:p>
    <w:p w:rsidR="0072005C" w:rsidRPr="0072005C" w:rsidRDefault="0072005C" w:rsidP="0072005C">
      <w:pPr>
        <w:pStyle w:val="SingleTxt"/>
        <w:spacing w:after="0" w:line="120" w:lineRule="exact"/>
        <w:rPr>
          <w:sz w:val="10"/>
        </w:rPr>
      </w:pPr>
    </w:p>
    <w:p w:rsidR="0072005C" w:rsidRPr="0072005C" w:rsidRDefault="0072005C" w:rsidP="0072005C">
      <w:pPr>
        <w:pStyle w:val="SingleTxt"/>
        <w:spacing w:after="0" w:line="120" w:lineRule="exact"/>
        <w:rPr>
          <w:sz w:val="10"/>
        </w:rPr>
      </w:pPr>
    </w:p>
    <w:p w:rsidR="0072005C" w:rsidRPr="0093308B" w:rsidRDefault="0072005C" w:rsidP="0072005C">
      <w:pPr>
        <w:pStyle w:val="SingleTxt"/>
        <w:rPr>
          <w:spacing w:val="2"/>
        </w:rPr>
      </w:pPr>
      <w:r w:rsidRPr="0072005C">
        <w:tab/>
        <w:t xml:space="preserve">Воспроизведенный ниже текст был подготовлен экспертами от </w:t>
      </w:r>
      <w:r w:rsidRPr="0072005C">
        <w:rPr>
          <w:lang w:val="en-US"/>
        </w:rPr>
        <w:t>C</w:t>
      </w:r>
      <w:r w:rsidRPr="0072005C">
        <w:t xml:space="preserve">оединенного Королевства Великобритании и Северной Ирландии и содержит пересмотренные переходные положения. Изменения к нынешнему тексту Правил выделены </w:t>
      </w:r>
      <w:r w:rsidRPr="0093308B">
        <w:rPr>
          <w:spacing w:val="2"/>
        </w:rPr>
        <w:t>жирным шрифтом</w:t>
      </w:r>
      <w:r w:rsidRPr="0072005C">
        <w:t xml:space="preserve"> </w:t>
      </w:r>
      <w:r w:rsidRPr="0093308B">
        <w:rPr>
          <w:spacing w:val="2"/>
        </w:rPr>
        <w:t>(новые положения)</w:t>
      </w:r>
      <w:r w:rsidRPr="0072005C">
        <w:t xml:space="preserve"> </w:t>
      </w:r>
      <w:r w:rsidRPr="0093308B">
        <w:rPr>
          <w:spacing w:val="2"/>
        </w:rPr>
        <w:t>или зачеркиванием</w:t>
      </w:r>
      <w:r w:rsidRPr="0072005C">
        <w:t xml:space="preserve"> </w:t>
      </w:r>
      <w:r w:rsidRPr="0093308B">
        <w:rPr>
          <w:spacing w:val="2"/>
        </w:rPr>
        <w:t>(исключенные элементы).</w:t>
      </w:r>
    </w:p>
    <w:p w:rsidR="0072005C" w:rsidRPr="0072005C" w:rsidRDefault="0072005C" w:rsidP="0072005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3308B">
        <w:br w:type="page"/>
      </w:r>
      <w:r w:rsidRPr="0072005C">
        <w:lastRenderedPageBreak/>
        <w:tab/>
        <w:t>I.</w:t>
      </w:r>
      <w:r w:rsidRPr="0072005C">
        <w:tab/>
        <w:t>Предложение</w:t>
      </w:r>
    </w:p>
    <w:p w:rsidR="0072005C" w:rsidRPr="0072005C" w:rsidRDefault="0072005C" w:rsidP="0072005C">
      <w:pPr>
        <w:pStyle w:val="SingleTxt"/>
        <w:spacing w:after="0" w:line="120" w:lineRule="exact"/>
        <w:rPr>
          <w:i/>
          <w:sz w:val="10"/>
        </w:rPr>
      </w:pPr>
    </w:p>
    <w:p w:rsidR="0072005C" w:rsidRPr="0072005C" w:rsidRDefault="0072005C" w:rsidP="0072005C">
      <w:pPr>
        <w:pStyle w:val="SingleTxt"/>
        <w:spacing w:after="0" w:line="120" w:lineRule="exact"/>
        <w:rPr>
          <w:i/>
          <w:sz w:val="10"/>
        </w:rPr>
      </w:pPr>
    </w:p>
    <w:p w:rsidR="0072005C" w:rsidRPr="0093308B" w:rsidRDefault="0072005C" w:rsidP="0072005C">
      <w:pPr>
        <w:pStyle w:val="SingleTxt"/>
        <w:rPr>
          <w:iCs/>
        </w:rPr>
      </w:pPr>
      <w:r w:rsidRPr="0072005C">
        <w:rPr>
          <w:i/>
        </w:rPr>
        <w:t xml:space="preserve">Включить новый пункт 1.2.3 </w:t>
      </w:r>
      <w:r w:rsidRPr="0072005C">
        <w:rPr>
          <w:iCs/>
        </w:rPr>
        <w:t>следующего содержания (сноска остается без изменений):</w:t>
      </w:r>
    </w:p>
    <w:p w:rsidR="003505AD" w:rsidRPr="0093308B" w:rsidRDefault="003505AD" w:rsidP="003505AD">
      <w:pPr>
        <w:pStyle w:val="SingleTxt"/>
        <w:spacing w:after="0" w:line="120" w:lineRule="exact"/>
        <w:rPr>
          <w:iCs/>
          <w:sz w:val="10"/>
        </w:rPr>
      </w:pPr>
    </w:p>
    <w:p w:rsidR="003505AD" w:rsidRPr="0093308B" w:rsidRDefault="003505AD" w:rsidP="003505AD">
      <w:pPr>
        <w:pStyle w:val="SingleTxt"/>
        <w:spacing w:after="0" w:line="120" w:lineRule="exact"/>
        <w:rPr>
          <w:iCs/>
          <w:sz w:val="10"/>
        </w:rPr>
      </w:pPr>
    </w:p>
    <w:p w:rsidR="0072005C" w:rsidRPr="0093308B" w:rsidRDefault="003505AD" w:rsidP="003505AD">
      <w:pPr>
        <w:pStyle w:val="H1"/>
        <w:tabs>
          <w:tab w:val="right" w:pos="1022"/>
          <w:tab w:val="left" w:pos="1267"/>
          <w:tab w:val="left" w:pos="198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3308B">
        <w:tab/>
      </w:r>
      <w:r w:rsidRPr="0093308B">
        <w:tab/>
      </w:r>
      <w:r w:rsidR="0072005C" w:rsidRPr="003505AD">
        <w:rPr>
          <w:b w:val="0"/>
          <w:bCs/>
          <w:sz w:val="20"/>
          <w:szCs w:val="20"/>
        </w:rPr>
        <w:t>«</w:t>
      </w:r>
      <w:r w:rsidR="0072005C" w:rsidRPr="0072005C">
        <w:t>1.</w:t>
      </w:r>
      <w:r w:rsidR="0072005C" w:rsidRPr="0072005C">
        <w:tab/>
        <w:t>Область применения</w:t>
      </w:r>
    </w:p>
    <w:p w:rsidR="003505AD" w:rsidRPr="0093308B" w:rsidRDefault="003505AD" w:rsidP="003505AD">
      <w:pPr>
        <w:pStyle w:val="SingleTxt"/>
        <w:tabs>
          <w:tab w:val="clear" w:pos="1742"/>
          <w:tab w:val="left" w:pos="1989"/>
        </w:tabs>
        <w:spacing w:after="0" w:line="120" w:lineRule="exact"/>
        <w:rPr>
          <w:b/>
          <w:sz w:val="10"/>
        </w:rPr>
      </w:pPr>
    </w:p>
    <w:p w:rsidR="003505AD" w:rsidRPr="0093308B" w:rsidRDefault="003505AD" w:rsidP="003505AD">
      <w:pPr>
        <w:pStyle w:val="SingleTxt"/>
        <w:tabs>
          <w:tab w:val="clear" w:pos="1742"/>
          <w:tab w:val="left" w:pos="1989"/>
        </w:tabs>
        <w:spacing w:after="0" w:line="120" w:lineRule="exact"/>
        <w:rPr>
          <w:b/>
          <w:sz w:val="10"/>
        </w:rPr>
      </w:pPr>
    </w:p>
    <w:p w:rsidR="0072005C" w:rsidRPr="0072005C" w:rsidRDefault="0072005C" w:rsidP="0072005C">
      <w:pPr>
        <w:pStyle w:val="SingleTxt"/>
        <w:tabs>
          <w:tab w:val="clear" w:pos="1742"/>
          <w:tab w:val="left" w:pos="1980"/>
        </w:tabs>
        <w:ind w:left="1980" w:hanging="713"/>
      </w:pPr>
      <w:r w:rsidRPr="0072005C">
        <w:t>1.1</w:t>
      </w:r>
      <w:r w:rsidRPr="0072005C">
        <w:tab/>
        <w:t xml:space="preserve">Настоящие Правила применяются в отношении торможения транспортных средств категорий </w:t>
      </w:r>
      <w:r w:rsidRPr="0072005C">
        <w:rPr>
          <w:lang w:val="en-US"/>
        </w:rPr>
        <w:t>M</w:t>
      </w:r>
      <w:r w:rsidRPr="0072005C">
        <w:rPr>
          <w:vertAlign w:val="subscript"/>
        </w:rPr>
        <w:t>1</w:t>
      </w:r>
      <w:r w:rsidRPr="0072005C">
        <w:t xml:space="preserve"> и </w:t>
      </w:r>
      <w:r w:rsidRPr="0072005C">
        <w:rPr>
          <w:lang w:val="en-US"/>
        </w:rPr>
        <w:t>N</w:t>
      </w:r>
      <w:r w:rsidRPr="0072005C">
        <w:rPr>
          <w:vertAlign w:val="subscript"/>
        </w:rPr>
        <w:t>1</w:t>
      </w:r>
      <w:r w:rsidRPr="0072005C">
        <w:rPr>
          <w:vertAlign w:val="superscript"/>
        </w:rPr>
        <w:t>1</w:t>
      </w:r>
      <w:r w:rsidRPr="0072005C">
        <w:t>.</w:t>
      </w:r>
    </w:p>
    <w:p w:rsidR="0072005C" w:rsidRPr="0072005C" w:rsidRDefault="0072005C" w:rsidP="0072005C">
      <w:pPr>
        <w:pStyle w:val="SingleTxt"/>
        <w:tabs>
          <w:tab w:val="clear" w:pos="1742"/>
          <w:tab w:val="left" w:pos="1989"/>
        </w:tabs>
      </w:pPr>
      <w:r w:rsidRPr="0072005C">
        <w:t>1.2</w:t>
      </w:r>
      <w:r w:rsidRPr="0072005C">
        <w:tab/>
        <w:t>Настоящие Правила не распространяются:</w:t>
      </w:r>
    </w:p>
    <w:p w:rsidR="0072005C" w:rsidRPr="0072005C" w:rsidRDefault="0072005C" w:rsidP="0072005C">
      <w:pPr>
        <w:pStyle w:val="SingleTxt"/>
        <w:tabs>
          <w:tab w:val="clear" w:pos="1742"/>
          <w:tab w:val="left" w:pos="1980"/>
        </w:tabs>
        <w:ind w:left="1980" w:hanging="713"/>
      </w:pPr>
      <w:r w:rsidRPr="0072005C">
        <w:t>1.2.1</w:t>
      </w:r>
      <w:r w:rsidRPr="0072005C">
        <w:tab/>
        <w:t>на транспортные средства, расчетная скорость которых не превышает 25 км/ч;</w:t>
      </w:r>
    </w:p>
    <w:p w:rsidR="0072005C" w:rsidRPr="0072005C" w:rsidRDefault="0072005C" w:rsidP="0072005C">
      <w:pPr>
        <w:pStyle w:val="SingleTxt"/>
        <w:tabs>
          <w:tab w:val="clear" w:pos="1742"/>
          <w:tab w:val="left" w:pos="1980"/>
        </w:tabs>
      </w:pPr>
      <w:r w:rsidRPr="0072005C">
        <w:t>1.2.2</w:t>
      </w:r>
      <w:r w:rsidRPr="0072005C">
        <w:tab/>
        <w:t>на транспортные средства, приспособленные для вождения инвалидами.</w:t>
      </w:r>
    </w:p>
    <w:p w:rsidR="0072005C" w:rsidRPr="0072005C" w:rsidRDefault="0072005C" w:rsidP="0072005C">
      <w:pPr>
        <w:pStyle w:val="SingleTxt"/>
        <w:tabs>
          <w:tab w:val="clear" w:pos="1742"/>
          <w:tab w:val="left" w:pos="1989"/>
        </w:tabs>
        <w:ind w:left="1989" w:hanging="722"/>
        <w:rPr>
          <w:b/>
          <w:bCs/>
        </w:rPr>
      </w:pPr>
      <w:r w:rsidRPr="0072005C">
        <w:rPr>
          <w:b/>
          <w:bCs/>
        </w:rPr>
        <w:t>1.2.3</w:t>
      </w:r>
      <w:r w:rsidRPr="0072005C">
        <w:rPr>
          <w:b/>
          <w:bCs/>
        </w:rPr>
        <w:tab/>
        <w:t>официальное утверждение систем электронного контроля устойчивости (ЭКУ) и вспомогательного торможения (СВТ) транспортного средства</w:t>
      </w:r>
      <w:r w:rsidRPr="0072005C">
        <w:t>».</w:t>
      </w:r>
    </w:p>
    <w:p w:rsidR="0072005C" w:rsidRPr="0093308B" w:rsidRDefault="0072005C" w:rsidP="0072005C">
      <w:pPr>
        <w:pStyle w:val="SingleTxt"/>
      </w:pPr>
      <w:r w:rsidRPr="0072005C">
        <w:rPr>
          <w:i/>
        </w:rPr>
        <w:t>Пункт 12</w:t>
      </w:r>
      <w:r w:rsidRPr="0072005C">
        <w:t xml:space="preserve"> изменить следующим образом (исключение всех предыдущих пунктов):</w:t>
      </w:r>
    </w:p>
    <w:p w:rsidR="003505AD" w:rsidRPr="0093308B" w:rsidRDefault="003505AD" w:rsidP="003505AD">
      <w:pPr>
        <w:pStyle w:val="SingleTxt"/>
        <w:spacing w:after="0" w:line="120" w:lineRule="exact"/>
        <w:rPr>
          <w:sz w:val="10"/>
        </w:rPr>
      </w:pPr>
    </w:p>
    <w:p w:rsidR="003505AD" w:rsidRPr="0093308B" w:rsidRDefault="003505AD" w:rsidP="003505AD">
      <w:pPr>
        <w:pStyle w:val="SingleTxt"/>
        <w:spacing w:after="0" w:line="120" w:lineRule="exact"/>
        <w:rPr>
          <w:sz w:val="10"/>
        </w:rPr>
      </w:pPr>
    </w:p>
    <w:p w:rsidR="0072005C" w:rsidRPr="0093308B" w:rsidRDefault="003505AD" w:rsidP="003505AD">
      <w:pPr>
        <w:pStyle w:val="H1"/>
        <w:tabs>
          <w:tab w:val="right" w:pos="1022"/>
          <w:tab w:val="left" w:pos="1267"/>
          <w:tab w:val="left" w:pos="198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3308B">
        <w:tab/>
      </w:r>
      <w:r w:rsidRPr="0093308B">
        <w:tab/>
      </w:r>
      <w:r w:rsidR="0072005C" w:rsidRPr="003505AD">
        <w:rPr>
          <w:b w:val="0"/>
          <w:bCs/>
          <w:sz w:val="20"/>
          <w:szCs w:val="20"/>
        </w:rPr>
        <w:t>«</w:t>
      </w:r>
      <w:r w:rsidR="0072005C" w:rsidRPr="0072005C">
        <w:t>12.</w:t>
      </w:r>
      <w:r w:rsidR="0072005C" w:rsidRPr="0072005C">
        <w:tab/>
        <w:t>Переходные положения</w:t>
      </w:r>
    </w:p>
    <w:p w:rsidR="003505AD" w:rsidRPr="0093308B" w:rsidRDefault="003505AD" w:rsidP="003505AD">
      <w:pPr>
        <w:pStyle w:val="SingleTxt"/>
        <w:tabs>
          <w:tab w:val="clear" w:pos="1742"/>
          <w:tab w:val="left" w:pos="1989"/>
        </w:tabs>
        <w:spacing w:after="0" w:line="120" w:lineRule="exact"/>
        <w:rPr>
          <w:b/>
          <w:sz w:val="10"/>
        </w:rPr>
      </w:pPr>
    </w:p>
    <w:p w:rsidR="003505AD" w:rsidRPr="0093308B" w:rsidRDefault="003505AD" w:rsidP="003505AD">
      <w:pPr>
        <w:pStyle w:val="SingleTxt"/>
        <w:tabs>
          <w:tab w:val="clear" w:pos="1742"/>
          <w:tab w:val="left" w:pos="1989"/>
        </w:tabs>
        <w:spacing w:after="0" w:line="120" w:lineRule="exact"/>
        <w:rPr>
          <w:b/>
          <w:sz w:val="10"/>
        </w:rPr>
      </w:pPr>
    </w:p>
    <w:p w:rsidR="0072005C" w:rsidRPr="0072005C" w:rsidRDefault="0072005C" w:rsidP="0072005C">
      <w:pPr>
        <w:pStyle w:val="SingleTxt"/>
        <w:tabs>
          <w:tab w:val="clear" w:pos="1742"/>
          <w:tab w:val="left" w:pos="1980"/>
        </w:tabs>
        <w:ind w:left="1980" w:hanging="713"/>
      </w:pPr>
      <w:r w:rsidRPr="0072005C">
        <w:t>12.1</w:t>
      </w:r>
      <w:r w:rsidRPr="0072005C">
        <w:tab/>
        <w:t xml:space="preserve">Начиная с [1 сентября 2017 года] ни одна Договаривающаяся сторона, применяющая настоящие Правила, не отказывает в предоставлении </w:t>
      </w:r>
      <w:r w:rsidRPr="0072005C">
        <w:rPr>
          <w:b/>
          <w:bCs/>
        </w:rPr>
        <w:t>или признании</w:t>
      </w:r>
      <w:r w:rsidRPr="0072005C">
        <w:t xml:space="preserve"> официальных утверждений типа на основании настоящих Правил с внесенными в них поправками серии 01.</w:t>
      </w:r>
    </w:p>
    <w:p w:rsidR="0072005C" w:rsidRPr="0072005C" w:rsidRDefault="00410C7C" w:rsidP="003505AD">
      <w:pPr>
        <w:pStyle w:val="SingleTxt"/>
        <w:tabs>
          <w:tab w:val="clear" w:pos="1742"/>
          <w:tab w:val="left" w:pos="1980"/>
        </w:tabs>
        <w:ind w:left="1987" w:hanging="720"/>
      </w:pPr>
      <w:r>
        <w:t>12.2</w:t>
      </w:r>
      <w:r w:rsidR="0072005C">
        <w:tab/>
      </w:r>
      <w:r w:rsidR="0072005C" w:rsidRPr="0072005C">
        <w:t xml:space="preserve">Даже после 1 сентября 2017 года </w:t>
      </w:r>
      <w:r w:rsidR="0072005C" w:rsidRPr="0072005C">
        <w:rPr>
          <w:b/>
          <w:bCs/>
        </w:rPr>
        <w:t>Договаривающиеся стороны</w:t>
      </w:r>
      <w:r w:rsidR="0072005C" w:rsidRPr="0072005C">
        <w:t xml:space="preserve">, применяющие настоящие Правила, продолжают признавать официальные утверждения типа, предоставленные на основании поправок серии 00 к настоящим Правилам. </w:t>
      </w:r>
    </w:p>
    <w:p w:rsidR="0072005C" w:rsidRPr="0072005C" w:rsidRDefault="00410C7C" w:rsidP="003505AD">
      <w:pPr>
        <w:pStyle w:val="SingleTxt"/>
        <w:tabs>
          <w:tab w:val="clear" w:pos="1742"/>
          <w:tab w:val="left" w:pos="1980"/>
        </w:tabs>
        <w:ind w:left="1987" w:hanging="720"/>
      </w:pPr>
      <w:r>
        <w:tab/>
      </w:r>
      <w:r w:rsidR="0072005C" w:rsidRPr="0072005C">
        <w:t xml:space="preserve">Однако Договаривающиеся стороны, применяющие настоящие Правила, не обязаны признавать, для цели национального или регионального официального утверждения типа, официальные утверждения типа, предоставленные на основании поправок серии 00 к настоящим Правилам типам транспортных средств, которые не оснащены функцией обеспечения устойчивости транспортного средства или ЭКУ и СВТ. </w:t>
      </w:r>
    </w:p>
    <w:p w:rsidR="0072005C" w:rsidRPr="0072005C" w:rsidRDefault="00410C7C" w:rsidP="003505AD">
      <w:pPr>
        <w:pStyle w:val="SingleTxt"/>
        <w:tabs>
          <w:tab w:val="clear" w:pos="1742"/>
          <w:tab w:val="left" w:pos="1989"/>
        </w:tabs>
        <w:ind w:left="1989" w:hanging="722"/>
      </w:pPr>
      <w:r>
        <w:t>12.3</w:t>
      </w:r>
      <w:r>
        <w:tab/>
      </w:r>
      <w:r w:rsidR="0072005C" w:rsidRPr="00410C7C">
        <w:rPr>
          <w:strike/>
        </w:rPr>
        <w:t>Начиная с [даты вступления в силу поправок серии 01 к настоящим Правилам/1 сентября 2017 года] ни одна из Договаривающихся сторон, применяющих настоящие Правила, не обязана признавать официальные утверждения типа на основании наст</w:t>
      </w:r>
      <w:r w:rsidR="00621782">
        <w:rPr>
          <w:strike/>
        </w:rPr>
        <w:t>оящих Правил с поправками серии</w:t>
      </w:r>
      <w:r w:rsidR="00621782">
        <w:rPr>
          <w:strike/>
          <w:lang w:val="en-US"/>
        </w:rPr>
        <w:t> </w:t>
      </w:r>
      <w:r w:rsidR="0072005C" w:rsidRPr="00410C7C">
        <w:rPr>
          <w:strike/>
        </w:rPr>
        <w:t xml:space="preserve">01 </w:t>
      </w:r>
      <w:r w:rsidR="0072005C" w:rsidRPr="00410C7C">
        <w:rPr>
          <w:b/>
          <w:bCs/>
          <w:strike/>
        </w:rPr>
        <w:t>[за исключением случаев, когда данное транспортное средство также официально утверждено на основании Правил по [ЭКУ] и/или [СВТ]]</w:t>
      </w:r>
      <w:r w:rsidR="0072005C" w:rsidRPr="00410C7C">
        <w:rPr>
          <w:strike/>
        </w:rPr>
        <w:t>.</w:t>
      </w:r>
      <w:r w:rsidR="0072005C" w:rsidRPr="0072005C">
        <w:t xml:space="preserve"> </w:t>
      </w:r>
    </w:p>
    <w:p w:rsidR="0072005C" w:rsidRPr="00410C7C" w:rsidRDefault="00410C7C" w:rsidP="003505AD">
      <w:pPr>
        <w:pStyle w:val="SingleTxt"/>
        <w:tabs>
          <w:tab w:val="clear" w:pos="1742"/>
          <w:tab w:val="left" w:pos="1980"/>
        </w:tabs>
        <w:ind w:left="1980" w:hanging="713"/>
        <w:rPr>
          <w:strike/>
        </w:rPr>
      </w:pPr>
      <w:r w:rsidRPr="00410C7C">
        <w:rPr>
          <w:strike/>
        </w:rPr>
        <w:t>12.4</w:t>
      </w:r>
      <w:r w:rsidRPr="00410C7C">
        <w:rPr>
          <w:strike/>
        </w:rPr>
        <w:tab/>
      </w:r>
      <w:r w:rsidR="0072005C" w:rsidRPr="00410C7C">
        <w:rPr>
          <w:strike/>
        </w:rPr>
        <w:t>Начиная с 15 июня 2015 года Договаривающиеся стороны, применяющие настоящие Правила, предоставляют официальные утверждения типа на основании поправок серии 00 только в том случае, если данный тип транспортного средства, подлежащий официальному утверждению, удовлетворяет требованиям дополнения 16 к первоначальному варианту настоящих Правил.</w:t>
      </w:r>
    </w:p>
    <w:p w:rsidR="0072005C" w:rsidRPr="0072005C" w:rsidRDefault="00410C7C" w:rsidP="003505AD">
      <w:pPr>
        <w:pStyle w:val="SingleTxt"/>
        <w:tabs>
          <w:tab w:val="clear" w:pos="1742"/>
          <w:tab w:val="left" w:pos="1989"/>
        </w:tabs>
        <w:ind w:left="1989" w:hanging="722"/>
      </w:pPr>
      <w:r>
        <w:lastRenderedPageBreak/>
        <w:t>12.5</w:t>
      </w:r>
      <w:r>
        <w:tab/>
      </w:r>
      <w:r w:rsidR="0072005C" w:rsidRPr="0072005C">
        <w:t>Начиная с [</w:t>
      </w:r>
      <w:r w:rsidR="0072005C" w:rsidRPr="00410C7C">
        <w:rPr>
          <w:strike/>
        </w:rPr>
        <w:t>даты вступления в силу поправок серии 01 к настоящим Правилам</w:t>
      </w:r>
      <w:r w:rsidR="0072005C" w:rsidRPr="0072005C">
        <w:t xml:space="preserve">/1 сентября 2017 года] Договаривающиеся стороны, применяющие настоящие Правила, предоставляют официальные утверждения типа ООН только в том случае, если данный тип транспортного средства, подлежащий официальному утверждению, отвечает требованиям настоящих Правил с внесенными в них поправками серии 01. </w:t>
      </w:r>
    </w:p>
    <w:p w:rsidR="0072005C" w:rsidRPr="0093308B" w:rsidRDefault="00410C7C" w:rsidP="00410C7C">
      <w:pPr>
        <w:pStyle w:val="SingleTxt"/>
        <w:tabs>
          <w:tab w:val="clear" w:pos="1742"/>
          <w:tab w:val="left" w:pos="1980"/>
        </w:tabs>
        <w:ind w:left="1980" w:hanging="713"/>
      </w:pPr>
      <w:r>
        <w:t>12.6</w:t>
      </w:r>
      <w:r w:rsidR="0072005C" w:rsidRPr="0072005C">
        <w:tab/>
        <w:t>Договаривающиеся стороны, применяющие настоящие Правила, не отказывают в распространении официального утверждения существующим типам независимо от того, оснащены они функцией обеспечения устойчивости транспортного средства или ЭКУ и СВТ или нет, на основании положений, действовавших в момент предоставления первоначального официального утверждения».</w:t>
      </w:r>
    </w:p>
    <w:p w:rsidR="00410C7C" w:rsidRPr="0093308B" w:rsidRDefault="00410C7C" w:rsidP="00410C7C">
      <w:pPr>
        <w:pStyle w:val="SingleTxt"/>
        <w:tabs>
          <w:tab w:val="clear" w:pos="1742"/>
          <w:tab w:val="left" w:pos="1980"/>
        </w:tabs>
        <w:spacing w:after="0" w:line="120" w:lineRule="exact"/>
        <w:ind w:left="1980" w:hanging="713"/>
        <w:rPr>
          <w:sz w:val="10"/>
        </w:rPr>
      </w:pPr>
    </w:p>
    <w:p w:rsidR="00410C7C" w:rsidRPr="0093308B" w:rsidRDefault="00410C7C" w:rsidP="00410C7C">
      <w:pPr>
        <w:pStyle w:val="SingleTxt"/>
        <w:tabs>
          <w:tab w:val="clear" w:pos="1742"/>
          <w:tab w:val="left" w:pos="1980"/>
        </w:tabs>
        <w:spacing w:after="0" w:line="120" w:lineRule="exact"/>
        <w:ind w:left="1980" w:hanging="713"/>
        <w:rPr>
          <w:sz w:val="10"/>
        </w:rPr>
      </w:pPr>
    </w:p>
    <w:p w:rsidR="0072005C" w:rsidRPr="0093308B" w:rsidRDefault="0072005C" w:rsidP="00410C7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2005C">
        <w:tab/>
        <w:t>II.</w:t>
      </w:r>
      <w:r w:rsidRPr="0072005C">
        <w:tab/>
        <w:t>Обоснование</w:t>
      </w:r>
    </w:p>
    <w:p w:rsidR="00410C7C" w:rsidRPr="0093308B" w:rsidRDefault="00410C7C" w:rsidP="00410C7C">
      <w:pPr>
        <w:pStyle w:val="SingleTxt"/>
        <w:spacing w:after="0" w:line="120" w:lineRule="exact"/>
        <w:rPr>
          <w:b/>
          <w:sz w:val="10"/>
        </w:rPr>
      </w:pPr>
    </w:p>
    <w:p w:rsidR="00410C7C" w:rsidRPr="0093308B" w:rsidRDefault="00410C7C" w:rsidP="00410C7C">
      <w:pPr>
        <w:pStyle w:val="SingleTxt"/>
        <w:spacing w:after="0" w:line="120" w:lineRule="exact"/>
        <w:rPr>
          <w:b/>
          <w:sz w:val="10"/>
        </w:rPr>
      </w:pPr>
    </w:p>
    <w:p w:rsidR="0072005C" w:rsidRPr="0072005C" w:rsidRDefault="0072005C" w:rsidP="0072005C">
      <w:pPr>
        <w:pStyle w:val="SingleTxt"/>
      </w:pPr>
      <w:r w:rsidRPr="0072005C">
        <w:t>1.</w:t>
      </w:r>
      <w:r w:rsidRPr="0072005C">
        <w:tab/>
        <w:t>Пункт 1. (область применения): предлагаемое дополнение к подпункту 1.2.3 уточняет для органов по официальному утверждению, что новый вариант Правил больше не распространяется на ЭКУ и СВТ.</w:t>
      </w:r>
    </w:p>
    <w:p w:rsidR="0072005C" w:rsidRPr="0072005C" w:rsidRDefault="0072005C" w:rsidP="0072005C">
      <w:pPr>
        <w:pStyle w:val="SingleTxt"/>
      </w:pPr>
      <w:r w:rsidRPr="0072005C">
        <w:t>2.</w:t>
      </w:r>
      <w:r w:rsidRPr="0072005C">
        <w:tab/>
        <w:t>Для большей ясности следует указать, что предлагаемый пункт 12 заменяет существующий пункт 12, включенный в соответствии с дополнением 16 к первоначальному варианту Правил № 13-Н (</w:t>
      </w:r>
      <w:r w:rsidRPr="0072005C">
        <w:rPr>
          <w:iCs/>
        </w:rPr>
        <w:t>ECE/TRANS/WP.29/2014/46/Rev.1</w:t>
      </w:r>
      <w:r w:rsidRPr="0072005C">
        <w:t>).</w:t>
      </w:r>
    </w:p>
    <w:p w:rsidR="0072005C" w:rsidRPr="0072005C" w:rsidRDefault="0072005C" w:rsidP="0072005C">
      <w:pPr>
        <w:pStyle w:val="SingleTxt"/>
      </w:pPr>
      <w:r w:rsidRPr="0072005C">
        <w:t>3.</w:t>
      </w:r>
      <w:r w:rsidRPr="0072005C">
        <w:tab/>
        <w:t>В результате разделения Правил № 13-Н на три разных правила ООН, касающиеся торможения, систем вспомогательного торможения (СВТ) и электронного контроля устойчивости (ЭКУ), Договаривающиеся стороны, вводящие требование обязательного использования СВТ или ЭКУ, должны будут своевременно предпринять необходимые действия для включения всех трех упомянутых выше правил ООН на национальном/региональном уровне в перечень обязательных правил для целей национального/регионального официального утверждения типа. Надлежит рекомендовать, чтобы Договаривающиеся стороны приняли такие законодательные меры, однако эта рекомендация не может быть сформулирована в тексте поправок серии 01 к Правилам № 13-Н.</w:t>
      </w:r>
    </w:p>
    <w:p w:rsidR="0072005C" w:rsidRPr="0072005C" w:rsidRDefault="0072005C" w:rsidP="0072005C">
      <w:pPr>
        <w:pStyle w:val="SingleTxt"/>
      </w:pPr>
      <w:r w:rsidRPr="0072005C">
        <w:t>4.</w:t>
      </w:r>
      <w:r w:rsidRPr="0072005C">
        <w:tab/>
        <w:t xml:space="preserve">Если предусмотреть определенное </w:t>
      </w:r>
      <w:r w:rsidR="00621782">
        <w:t>время на подготовку к реализации</w:t>
      </w:r>
      <w:r w:rsidRPr="0072005C">
        <w:t xml:space="preserve"> поправок серии 01, это поможет Договаривающимся сторонам завершить необходимые юридические процедуры.</w:t>
      </w:r>
    </w:p>
    <w:p w:rsidR="0072005C" w:rsidRPr="0072005C" w:rsidRDefault="0072005C" w:rsidP="0072005C">
      <w:pPr>
        <w:pStyle w:val="SingleTxt"/>
      </w:pPr>
      <w:r w:rsidRPr="0072005C">
        <w:t>5.</w:t>
      </w:r>
      <w:r w:rsidRPr="0072005C">
        <w:tab/>
        <w:t>Дату введения в действие поправок серии 01 можно выбрать с учетом следующего:</w:t>
      </w:r>
    </w:p>
    <w:p w:rsidR="0072005C" w:rsidRPr="0072005C" w:rsidRDefault="00410C7C" w:rsidP="0072005C">
      <w:pPr>
        <w:pStyle w:val="SingleTxt"/>
      </w:pPr>
      <w:r w:rsidRPr="0093308B">
        <w:tab/>
      </w:r>
      <w:r w:rsidR="0072005C" w:rsidRPr="0072005C">
        <w:t>а)</w:t>
      </w:r>
      <w:r w:rsidR="0072005C" w:rsidRPr="0072005C">
        <w:tab/>
        <w:t>отдельные правила ООН по ЭКУ и СВТ уже применяются;</w:t>
      </w:r>
    </w:p>
    <w:p w:rsidR="0072005C" w:rsidRPr="0072005C" w:rsidRDefault="00410C7C" w:rsidP="00410C7C">
      <w:pPr>
        <w:pStyle w:val="SingleTxt"/>
        <w:spacing w:line="230" w:lineRule="exact"/>
      </w:pPr>
      <w:r w:rsidRPr="0093308B">
        <w:tab/>
      </w:r>
      <w:r w:rsidR="0072005C" w:rsidRPr="0072005C">
        <w:rPr>
          <w:lang w:val="en-US"/>
        </w:rPr>
        <w:t>b</w:t>
      </w:r>
      <w:r w:rsidR="0072005C" w:rsidRPr="0072005C">
        <w:t>)</w:t>
      </w:r>
      <w:r w:rsidR="0072005C" w:rsidRPr="0072005C">
        <w:tab/>
        <w:t>процесс транспонирования отдельных правил ООН по ЭКУ и СВТ в национальное/региональное законодательство, вероятно, будет завершен. Возможно, ориентировочное время на подготовку к реализации может быть определено Договаривающимися сторонами.</w:t>
      </w:r>
    </w:p>
    <w:p w:rsidR="0072005C" w:rsidRPr="0072005C" w:rsidRDefault="0072005C" w:rsidP="00410C7C">
      <w:pPr>
        <w:pStyle w:val="SingleTxt"/>
        <w:spacing w:line="230" w:lineRule="exact"/>
      </w:pPr>
      <w:r w:rsidRPr="0072005C">
        <w:t>6.</w:t>
      </w:r>
      <w:r w:rsidRPr="0072005C">
        <w:tab/>
      </w:r>
      <w:r w:rsidRPr="0072005C">
        <w:rPr>
          <w:u w:val="single"/>
        </w:rPr>
        <w:t>Пункт 12.1</w:t>
      </w:r>
      <w:r w:rsidRPr="0072005C">
        <w:t xml:space="preserve">: этот пункт фактически вводит в действие поправки серии 01. </w:t>
      </w:r>
      <w:r w:rsidR="00410C7C">
        <w:t>В</w:t>
      </w:r>
      <w:r w:rsidR="00410C7C">
        <w:rPr>
          <w:lang w:val="en-US"/>
        </w:rPr>
        <w:t> </w:t>
      </w:r>
      <w:r w:rsidRPr="0072005C">
        <w:t xml:space="preserve">нем предусмотрена дата, с которой поправки серии 01 могут применяться для целей официального утверждения. Целевая группа следует рекомендации WP.29 использовать конкретную дату (по сравнению с неопределенной датой административного вступления документа в силу) для введения новой серии поправок. Дата 1 сентября 2017 года предлагается в квадратных скобках, с тем чтобы заинтересованные эксперты могли высказать свое мнение в связи с </w:t>
      </w:r>
      <w:r w:rsidRPr="0072005C">
        <w:lastRenderedPageBreak/>
        <w:t>процессом разделения правил (например, по дате вступления в силу отдельных правил по ЭКУ и СВТ).</w:t>
      </w:r>
    </w:p>
    <w:p w:rsidR="0072005C" w:rsidRPr="0072005C" w:rsidRDefault="0072005C" w:rsidP="00410C7C">
      <w:pPr>
        <w:pStyle w:val="SingleTxt"/>
        <w:spacing w:line="230" w:lineRule="exact"/>
      </w:pPr>
      <w:r w:rsidRPr="0072005C">
        <w:t>7.</w:t>
      </w:r>
      <w:r w:rsidRPr="0072005C">
        <w:tab/>
      </w:r>
      <w:r w:rsidRPr="0072005C">
        <w:rPr>
          <w:u w:val="single"/>
        </w:rPr>
        <w:t>Пункт 12.2</w:t>
      </w:r>
      <w:r w:rsidRPr="0072005C">
        <w:t>: первым подпунктом устанавливается общее требование о том, что официальные утверждения на основании поправок серии 00 должны по-прежнему признаваться. Во втором подпункте предусмотрено освобождение от этого общего требования, с тем чтобы некоторые Договаривающиеся стороны (например, Европейский союз и Япония) могли в обязательном порядке предписать применение ЭКУ/СВТ, даже если в поправках серии 00 их использование факультативно.</w:t>
      </w:r>
    </w:p>
    <w:p w:rsidR="0072005C" w:rsidRPr="0072005C" w:rsidRDefault="0072005C" w:rsidP="0072005C">
      <w:pPr>
        <w:pStyle w:val="SingleTxt"/>
      </w:pPr>
      <w:r w:rsidRPr="0072005C">
        <w:t>8.</w:t>
      </w:r>
      <w:r w:rsidRPr="0072005C">
        <w:tab/>
      </w:r>
      <w:r w:rsidRPr="0072005C">
        <w:rPr>
          <w:u w:val="single"/>
        </w:rPr>
        <w:t>Пункт 12.3</w:t>
      </w:r>
      <w:r w:rsidRPr="0072005C">
        <w:t xml:space="preserve"> является частью первоначального предложения Соединенного Королевства (первоначальный документ </w:t>
      </w:r>
      <w:r w:rsidRPr="0072005C">
        <w:rPr>
          <w:iCs/>
        </w:rPr>
        <w:t>ECE/TRANS/WP.29/</w:t>
      </w:r>
      <w:r w:rsidRPr="0072005C">
        <w:t>GRRF/2015/33). Он преследовал ту же цель, что и второй подпункт пункта 12.2, и поэтому становится неактуальным.</w:t>
      </w:r>
    </w:p>
    <w:p w:rsidR="0072005C" w:rsidRPr="0072005C" w:rsidRDefault="0072005C" w:rsidP="0072005C">
      <w:pPr>
        <w:pStyle w:val="SingleTxt"/>
      </w:pPr>
      <w:r w:rsidRPr="0072005C">
        <w:t>9.</w:t>
      </w:r>
      <w:r w:rsidRPr="0072005C">
        <w:tab/>
      </w:r>
      <w:r w:rsidRPr="0072005C">
        <w:rPr>
          <w:u w:val="single"/>
        </w:rPr>
        <w:t>Пункт 12.4</w:t>
      </w:r>
      <w:r w:rsidRPr="0072005C">
        <w:t>: этот пункт является частью существующих переходных положений поправок серии 00 и направлен на то, чтобы предоставить отрасли время для адаптации производства к новым требованиям в отношении символов и контрольных сигналов. Этот пункт можно исключить, поскольку он станет неактуальным, когда начнут применяться поправки серии 01.</w:t>
      </w:r>
    </w:p>
    <w:p w:rsidR="0072005C" w:rsidRPr="0072005C" w:rsidRDefault="0072005C" w:rsidP="0072005C">
      <w:pPr>
        <w:pStyle w:val="SingleTxt"/>
      </w:pPr>
      <w:r w:rsidRPr="0072005C">
        <w:t>10.</w:t>
      </w:r>
      <w:r w:rsidRPr="0072005C">
        <w:tab/>
      </w:r>
      <w:r w:rsidRPr="0072005C">
        <w:rPr>
          <w:u w:val="single"/>
        </w:rPr>
        <w:t>Пункт 12.5</w:t>
      </w:r>
      <w:r w:rsidRPr="0072005C">
        <w:t>: этот пункт фактически вводит в действие поправки серии 00</w:t>
      </w:r>
      <w:r w:rsidR="00410C7C">
        <w:t>,</w:t>
      </w:r>
      <w:r w:rsidR="00410C7C" w:rsidRPr="00410C7C">
        <w:br/>
      </w:r>
      <w:r w:rsidRPr="0072005C">
        <w:t>т.е. с даты, указанной в этом пункте, Договаривающиеся стороны, применяющие поправки серии 01, не могут предоставлять официальные утверждения ООН в соответствии с поправками серии 00. Учитывая разделение Правил № 13-Н, целевая группа выбрала ту же дату, которая была предусмотрена для введения в действие поправок серии 01 (пункт 12.1), однако эта дата может быть перенесена на более поздний срок (см</w:t>
      </w:r>
      <w:r w:rsidR="00621782">
        <w:t>.</w:t>
      </w:r>
      <w:r w:rsidRPr="0072005C">
        <w:t xml:space="preserve"> также пункты 4 и 5 обоснования).</w:t>
      </w:r>
    </w:p>
    <w:p w:rsidR="00343FA8" w:rsidRPr="0093308B" w:rsidRDefault="0072005C" w:rsidP="0072005C">
      <w:pPr>
        <w:pStyle w:val="SingleTxt"/>
      </w:pPr>
      <w:r w:rsidRPr="0072005C">
        <w:t>11.</w:t>
      </w:r>
      <w:r w:rsidRPr="0072005C">
        <w:tab/>
      </w:r>
      <w:r w:rsidRPr="0072005C">
        <w:rPr>
          <w:u w:val="single"/>
        </w:rPr>
        <w:t>Пункт 12.6</w:t>
      </w:r>
      <w:r w:rsidRPr="0072005C">
        <w:t>: стандартная формулировка для распространения официальных утверждений, взятая из нынешнего текста Правил.</w:t>
      </w:r>
    </w:p>
    <w:p w:rsidR="00410C7C" w:rsidRPr="00410C7C" w:rsidRDefault="00410C7C" w:rsidP="00410C7C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0165A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410C7C" w:rsidRPr="00410C7C" w:rsidSect="00343FA8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91B" w:rsidRDefault="001A491B" w:rsidP="008A1A7A">
      <w:pPr>
        <w:spacing w:line="240" w:lineRule="auto"/>
      </w:pPr>
      <w:r>
        <w:separator/>
      </w:r>
    </w:p>
  </w:endnote>
  <w:endnote w:type="continuationSeparator" w:id="0">
    <w:p w:rsidR="001A491B" w:rsidRDefault="001A491B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343FA8" w:rsidTr="00343FA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343FA8" w:rsidRPr="00343FA8" w:rsidRDefault="00343FA8" w:rsidP="00343FA8">
          <w:pPr>
            <w:pStyle w:val="Pieddepage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B591B">
            <w:rPr>
              <w:noProof/>
            </w:rPr>
            <w:t>2</w:t>
          </w:r>
          <w:r>
            <w:fldChar w:fldCharType="end"/>
          </w:r>
          <w:r>
            <w:t>/</w:t>
          </w:r>
          <w:r w:rsidR="001A491B">
            <w:fldChar w:fldCharType="begin"/>
          </w:r>
          <w:r w:rsidR="001A491B">
            <w:instrText xml:space="preserve"> NUMPAGES  \* Arabic  \* MERGEFORMAT </w:instrText>
          </w:r>
          <w:r w:rsidR="001A491B">
            <w:fldChar w:fldCharType="separate"/>
          </w:r>
          <w:r w:rsidR="009B591B">
            <w:rPr>
              <w:noProof/>
            </w:rPr>
            <w:t>4</w:t>
          </w:r>
          <w:r w:rsidR="001A491B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43FA8" w:rsidRPr="00343FA8" w:rsidRDefault="00343FA8" w:rsidP="00343FA8">
          <w:pPr>
            <w:pStyle w:val="Pieddepage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D3BE8">
            <w:rPr>
              <w:b w:val="0"/>
              <w:color w:val="000000"/>
              <w:sz w:val="14"/>
            </w:rPr>
            <w:t>GE.15-20486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343FA8" w:rsidRPr="00343FA8" w:rsidRDefault="00343FA8" w:rsidP="00343F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343FA8" w:rsidTr="00343FA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343FA8" w:rsidRPr="00343FA8" w:rsidRDefault="00343FA8" w:rsidP="00343FA8">
          <w:pPr>
            <w:pStyle w:val="Pieddepage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D3BE8">
            <w:rPr>
              <w:b w:val="0"/>
              <w:color w:val="000000"/>
              <w:sz w:val="14"/>
            </w:rPr>
            <w:t>GE.15-20486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43FA8" w:rsidRPr="00343FA8" w:rsidRDefault="00343FA8" w:rsidP="00343FA8">
          <w:pPr>
            <w:pStyle w:val="Pieddepag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B591B">
            <w:rPr>
              <w:noProof/>
            </w:rPr>
            <w:t>3</w:t>
          </w:r>
          <w:r>
            <w:fldChar w:fldCharType="end"/>
          </w:r>
          <w:r>
            <w:t>/</w:t>
          </w:r>
          <w:r w:rsidR="001A491B">
            <w:fldChar w:fldCharType="begin"/>
          </w:r>
          <w:r w:rsidR="001A491B">
            <w:instrText xml:space="preserve"> NUMPAGES  \* Arabic  \* MERGEFORMAT </w:instrText>
          </w:r>
          <w:r w:rsidR="001A491B">
            <w:fldChar w:fldCharType="separate"/>
          </w:r>
          <w:r w:rsidR="009B591B">
            <w:rPr>
              <w:noProof/>
            </w:rPr>
            <w:t>4</w:t>
          </w:r>
          <w:r w:rsidR="001A491B">
            <w:rPr>
              <w:noProof/>
            </w:rPr>
            <w:fldChar w:fldCharType="end"/>
          </w:r>
        </w:p>
      </w:tc>
    </w:tr>
  </w:tbl>
  <w:p w:rsidR="00343FA8" w:rsidRPr="00343FA8" w:rsidRDefault="00343FA8" w:rsidP="00343FA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343FA8" w:rsidTr="00343FA8">
      <w:tc>
        <w:tcPr>
          <w:tcW w:w="3873" w:type="dxa"/>
        </w:tcPr>
        <w:p w:rsidR="00343FA8" w:rsidRDefault="00343FA8" w:rsidP="00343FA8">
          <w:pPr>
            <w:pStyle w:val="ReleaseDate"/>
            <w:rPr>
              <w:color w:val="010000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0" locked="0" layoutInCell="1" allowOverlap="1" wp14:anchorId="3D2E6590" wp14:editId="37FB1663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RF/2016/10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RF/2016/10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GE.15-20486 (R)</w:t>
          </w:r>
          <w:r w:rsidR="00354FB3">
            <w:rPr>
              <w:color w:val="010000"/>
            </w:rPr>
            <w:t xml:space="preserve">    031215    0</w:t>
          </w:r>
          <w:r w:rsidR="00354FB3">
            <w:rPr>
              <w:color w:val="010000"/>
              <w:lang w:val="en-US"/>
            </w:rPr>
            <w:t>4</w:t>
          </w:r>
          <w:r>
            <w:rPr>
              <w:color w:val="010000"/>
            </w:rPr>
            <w:t>1215</w:t>
          </w:r>
        </w:p>
        <w:p w:rsidR="00343FA8" w:rsidRPr="00343FA8" w:rsidRDefault="00343FA8" w:rsidP="00343FA8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*1520486*</w:t>
          </w:r>
        </w:p>
      </w:tc>
      <w:tc>
        <w:tcPr>
          <w:tcW w:w="5127" w:type="dxa"/>
        </w:tcPr>
        <w:p w:rsidR="00343FA8" w:rsidRDefault="00343FA8" w:rsidP="00343FA8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 wp14:anchorId="36969BF9" wp14:editId="4AEA6849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43FA8" w:rsidRPr="00343FA8" w:rsidRDefault="00343FA8" w:rsidP="00343FA8">
    <w:pPr>
      <w:pStyle w:val="Pieddepage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91B" w:rsidRPr="0072005C" w:rsidRDefault="001A491B" w:rsidP="0072005C">
      <w:pPr>
        <w:pStyle w:val="Pieddepage"/>
        <w:spacing w:after="80"/>
        <w:ind w:left="792"/>
        <w:rPr>
          <w:sz w:val="16"/>
        </w:rPr>
      </w:pPr>
      <w:r w:rsidRPr="0072005C">
        <w:rPr>
          <w:sz w:val="16"/>
        </w:rPr>
        <w:t>__________________</w:t>
      </w:r>
    </w:p>
  </w:footnote>
  <w:footnote w:type="continuationSeparator" w:id="0">
    <w:p w:rsidR="001A491B" w:rsidRPr="0072005C" w:rsidRDefault="001A491B" w:rsidP="0072005C">
      <w:pPr>
        <w:pStyle w:val="Pieddepage"/>
        <w:spacing w:after="80"/>
        <w:ind w:left="792"/>
        <w:rPr>
          <w:sz w:val="16"/>
        </w:rPr>
      </w:pPr>
      <w:r w:rsidRPr="0072005C">
        <w:rPr>
          <w:sz w:val="16"/>
        </w:rPr>
        <w:t>__________________</w:t>
      </w:r>
    </w:p>
  </w:footnote>
  <w:footnote w:id="1">
    <w:p w:rsidR="0072005C" w:rsidRPr="00FC0356" w:rsidRDefault="0072005C" w:rsidP="0072005C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line="220" w:lineRule="atLeast"/>
        <w:ind w:left="1267" w:right="1260" w:hanging="432"/>
        <w:rPr>
          <w:rStyle w:val="Appelnotedebasdep"/>
          <w:sz w:val="20"/>
          <w:vertAlign w:val="baseline"/>
        </w:rPr>
      </w:pPr>
      <w:r>
        <w:rPr>
          <w:sz w:val="20"/>
        </w:rPr>
        <w:tab/>
      </w:r>
      <w:r w:rsidRPr="00FC0356">
        <w:rPr>
          <w:w w:val="100"/>
        </w:rPr>
        <w:sym w:font="Symbol" w:char="F02A"/>
      </w:r>
      <w:r w:rsidRPr="00FC0356">
        <w:rPr>
          <w:rStyle w:val="Appelnotedebasdep"/>
          <w:sz w:val="20"/>
          <w:vertAlign w:val="baseline"/>
        </w:rPr>
        <w:tab/>
      </w:r>
      <w:r w:rsidRPr="00FC0356">
        <w:rPr>
          <w:rStyle w:val="Appelnotedebasdep"/>
          <w:szCs w:val="18"/>
          <w:vertAlign w:val="baseline"/>
        </w:rPr>
        <w:t xml:space="preserve">В соответствии с программой работы Комитета по внутреннему транспорту </w:t>
      </w:r>
      <w:r w:rsidRPr="00FC0356">
        <w:rPr>
          <w:szCs w:val="18"/>
        </w:rPr>
        <w:br/>
      </w:r>
      <w:r w:rsidRPr="00FC0356">
        <w:rPr>
          <w:rStyle w:val="Appelnotedebasdep"/>
          <w:szCs w:val="18"/>
          <w:vertAlign w:val="baseline"/>
        </w:rPr>
        <w:t>на 201</w:t>
      </w:r>
      <w:r w:rsidRPr="00FC0356">
        <w:rPr>
          <w:szCs w:val="18"/>
        </w:rPr>
        <w:t>4</w:t>
      </w:r>
      <w:r w:rsidRPr="00FC0356">
        <w:rPr>
          <w:rStyle w:val="Appelnotedebasdep"/>
          <w:szCs w:val="18"/>
          <w:vertAlign w:val="baseline"/>
        </w:rPr>
        <w:t>−201</w:t>
      </w:r>
      <w:r w:rsidRPr="00FC0356">
        <w:rPr>
          <w:szCs w:val="18"/>
        </w:rPr>
        <w:t>8</w:t>
      </w:r>
      <w:r w:rsidRPr="00FC0356">
        <w:rPr>
          <w:rStyle w:val="Appelnotedebasdep"/>
          <w:szCs w:val="18"/>
          <w:vertAlign w:val="baseline"/>
        </w:rPr>
        <w:t xml:space="preserve"> годы (ECE/TRANS/24</w:t>
      </w:r>
      <w:r w:rsidRPr="00FC0356">
        <w:rPr>
          <w:szCs w:val="18"/>
        </w:rPr>
        <w:t>0</w:t>
      </w:r>
      <w:r w:rsidRPr="00FC0356">
        <w:rPr>
          <w:rStyle w:val="Appelnotedebasdep"/>
          <w:szCs w:val="18"/>
          <w:vertAlign w:val="baseline"/>
        </w:rPr>
        <w:t>, пункт 1</w:t>
      </w:r>
      <w:r w:rsidRPr="00FC0356">
        <w:rPr>
          <w:szCs w:val="18"/>
        </w:rPr>
        <w:t>05</w:t>
      </w:r>
      <w:r w:rsidRPr="00FC0356">
        <w:rPr>
          <w:rStyle w:val="Appelnotedebasdep"/>
          <w:szCs w:val="18"/>
          <w:vertAlign w:val="baseline"/>
        </w:rPr>
        <w:t>, и ECE/TRANS/201</w:t>
      </w:r>
      <w:r w:rsidRPr="00FC0356">
        <w:rPr>
          <w:szCs w:val="18"/>
        </w:rPr>
        <w:t>4</w:t>
      </w:r>
      <w:r w:rsidRPr="00FC0356">
        <w:rPr>
          <w:rStyle w:val="Appelnotedebasdep"/>
          <w:szCs w:val="18"/>
          <w:vertAlign w:val="baseline"/>
        </w:rPr>
        <w:t>/26, подпрограмма</w:t>
      </w:r>
      <w:r w:rsidRPr="00FC0356">
        <w:rPr>
          <w:szCs w:val="18"/>
        </w:rPr>
        <w:t> </w:t>
      </w:r>
      <w:r w:rsidRPr="00FC0356">
        <w:rPr>
          <w:rStyle w:val="Appelnotedebasdep"/>
          <w:szCs w:val="18"/>
          <w:vertAlign w:val="baseline"/>
        </w:rPr>
        <w:t>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</w:t>
      </w:r>
      <w:r w:rsidRPr="00FC0356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343FA8" w:rsidTr="00343FA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343FA8" w:rsidRPr="00343FA8" w:rsidRDefault="00343FA8" w:rsidP="00343FA8">
          <w:pPr>
            <w:pStyle w:val="En-tte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D3BE8">
            <w:rPr>
              <w:b/>
            </w:rPr>
            <w:t>ECE/TRANS/WP.29/GRRF/2016/10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43FA8" w:rsidRDefault="00343FA8" w:rsidP="00343FA8">
          <w:pPr>
            <w:pStyle w:val="En-tte"/>
          </w:pPr>
        </w:p>
      </w:tc>
    </w:tr>
  </w:tbl>
  <w:p w:rsidR="00343FA8" w:rsidRPr="00343FA8" w:rsidRDefault="00343FA8" w:rsidP="00343F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343FA8" w:rsidTr="00343FA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343FA8" w:rsidRDefault="00343FA8" w:rsidP="00343FA8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343FA8" w:rsidRPr="00343FA8" w:rsidRDefault="00343FA8" w:rsidP="00343FA8">
          <w:pPr>
            <w:pStyle w:val="En-tte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D3BE8">
            <w:rPr>
              <w:b/>
            </w:rPr>
            <w:t>ECE/TRANS/WP.29/GRRF/2016/10</w:t>
          </w:r>
          <w:r>
            <w:rPr>
              <w:b/>
            </w:rPr>
            <w:fldChar w:fldCharType="end"/>
          </w:r>
        </w:p>
      </w:tc>
    </w:tr>
  </w:tbl>
  <w:p w:rsidR="00343FA8" w:rsidRPr="00343FA8" w:rsidRDefault="00343FA8" w:rsidP="00343FA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343FA8" w:rsidTr="00343FA8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343FA8" w:rsidRPr="00343FA8" w:rsidRDefault="00343FA8" w:rsidP="00343FA8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43FA8" w:rsidRDefault="00343FA8" w:rsidP="00343FA8">
          <w:pPr>
            <w:pStyle w:val="En-tte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343FA8" w:rsidRPr="00343FA8" w:rsidRDefault="00343FA8" w:rsidP="00343FA8">
          <w:pPr>
            <w:pStyle w:val="En-tte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/TRANS/WP.29/GRRF/2016/10</w:t>
          </w:r>
        </w:p>
      </w:tc>
    </w:tr>
    <w:tr w:rsidR="00343FA8" w:rsidRPr="0071235A" w:rsidTr="00343FA8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43FA8" w:rsidRPr="00343FA8" w:rsidRDefault="00343FA8" w:rsidP="00343FA8">
          <w:pPr>
            <w:pStyle w:val="En-tte"/>
            <w:spacing w:before="120"/>
            <w:jc w:val="center"/>
          </w:pPr>
          <w:r>
            <w:t xml:space="preserve"> </w:t>
          </w:r>
          <w:r>
            <w:rPr>
              <w:noProof/>
              <w:lang w:val="fr-FR" w:eastAsia="fr-FR"/>
            </w:rPr>
            <w:drawing>
              <wp:inline distT="0" distB="0" distL="0" distR="0" wp14:anchorId="1DE0AABD" wp14:editId="4F02E595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43FA8" w:rsidRPr="00343FA8" w:rsidRDefault="00343FA8" w:rsidP="00343FA8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43FA8" w:rsidRPr="00343FA8" w:rsidRDefault="00343FA8" w:rsidP="00343FA8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43FA8" w:rsidRPr="0072005C" w:rsidRDefault="00343FA8" w:rsidP="00343FA8">
          <w:pPr>
            <w:pStyle w:val="Distribution"/>
            <w:rPr>
              <w:color w:val="000000"/>
              <w:lang w:val="en-US"/>
            </w:rPr>
          </w:pPr>
          <w:r w:rsidRPr="0072005C">
            <w:rPr>
              <w:color w:val="000000"/>
              <w:lang w:val="en-US"/>
            </w:rPr>
            <w:t>Distr.: General</w:t>
          </w:r>
        </w:p>
        <w:p w:rsidR="00343FA8" w:rsidRPr="0072005C" w:rsidRDefault="00343FA8" w:rsidP="00343FA8">
          <w:pPr>
            <w:pStyle w:val="Publication"/>
            <w:rPr>
              <w:color w:val="000000"/>
              <w:lang w:val="en-US"/>
            </w:rPr>
          </w:pPr>
          <w:r w:rsidRPr="0072005C">
            <w:rPr>
              <w:color w:val="000000"/>
              <w:lang w:val="en-US"/>
            </w:rPr>
            <w:t>20 November 2015</w:t>
          </w:r>
        </w:p>
        <w:p w:rsidR="00343FA8" w:rsidRPr="0072005C" w:rsidRDefault="00343FA8" w:rsidP="00343FA8">
          <w:pPr>
            <w:rPr>
              <w:color w:val="000000"/>
              <w:lang w:val="en-US"/>
            </w:rPr>
          </w:pPr>
          <w:r w:rsidRPr="0072005C">
            <w:rPr>
              <w:color w:val="000000"/>
              <w:lang w:val="en-US"/>
            </w:rPr>
            <w:t>Russian</w:t>
          </w:r>
        </w:p>
        <w:p w:rsidR="00343FA8" w:rsidRPr="0072005C" w:rsidRDefault="00343FA8" w:rsidP="00343FA8">
          <w:pPr>
            <w:pStyle w:val="Original"/>
            <w:rPr>
              <w:color w:val="000000"/>
              <w:lang w:val="en-US"/>
            </w:rPr>
          </w:pPr>
          <w:r w:rsidRPr="0072005C">
            <w:rPr>
              <w:color w:val="000000"/>
              <w:lang w:val="en-US"/>
            </w:rPr>
            <w:t>Original: English</w:t>
          </w:r>
        </w:p>
        <w:p w:rsidR="00343FA8" w:rsidRPr="0072005C" w:rsidRDefault="00343FA8" w:rsidP="00343FA8">
          <w:pPr>
            <w:rPr>
              <w:lang w:val="en-US"/>
            </w:rPr>
          </w:pPr>
        </w:p>
      </w:tc>
    </w:tr>
  </w:tbl>
  <w:p w:rsidR="00343FA8" w:rsidRPr="0072005C" w:rsidRDefault="00343FA8" w:rsidP="00343FA8">
    <w:pPr>
      <w:pStyle w:val="En-tte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 w15:restartNumberingAfterBreak="0">
    <w:nsid w:val="44E42048"/>
    <w:multiLevelType w:val="hybridMultilevel"/>
    <w:tmpl w:val="5534289A"/>
    <w:lvl w:ilvl="0" w:tplc="9432CEA0">
      <w:start w:val="1"/>
      <w:numFmt w:val="decimal"/>
      <w:pStyle w:val="Liste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0486*"/>
    <w:docVar w:name="CreationDt" w:val="12/3/2015 5:13: PM"/>
    <w:docVar w:name="DocCategory" w:val="Doc"/>
    <w:docVar w:name="DocType" w:val="Final"/>
    <w:docVar w:name="DutyStation" w:val="Geneva"/>
    <w:docVar w:name="FooterJN" w:val="GE.15-20486"/>
    <w:docVar w:name="jobn" w:val="GE.15-20486 (R)"/>
    <w:docVar w:name="jobnDT" w:val="GE.15-20486 (R)   031215"/>
    <w:docVar w:name="jobnDTDT" w:val="GE.15-20486 (R)   031215   031215"/>
    <w:docVar w:name="JobNo" w:val="GE.1520486R"/>
    <w:docVar w:name="JobNo2" w:val="1526565R"/>
    <w:docVar w:name="LocalDrive" w:val="0"/>
    <w:docVar w:name="OandT" w:val="U.A."/>
    <w:docVar w:name="PaperSize" w:val="A4"/>
    <w:docVar w:name="sss1" w:val="ECE/TRANS/WP.29/GRRF/2016/10"/>
    <w:docVar w:name="sss2" w:val="-"/>
    <w:docVar w:name="Symbol1" w:val="ECE/TRANS/WP.29/GRRF/2016/10"/>
    <w:docVar w:name="Symbol2" w:val="-"/>
  </w:docVars>
  <w:rsids>
    <w:rsidRoot w:val="005A1620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491B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3FA8"/>
    <w:rsid w:val="00346BFB"/>
    <w:rsid w:val="003505AD"/>
    <w:rsid w:val="00350756"/>
    <w:rsid w:val="003542EE"/>
    <w:rsid w:val="00354FB3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0C7C"/>
    <w:rsid w:val="00415DEC"/>
    <w:rsid w:val="00427FE5"/>
    <w:rsid w:val="00433222"/>
    <w:rsid w:val="00436A23"/>
    <w:rsid w:val="00436F13"/>
    <w:rsid w:val="00437F47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3DBD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620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1782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3BE8"/>
    <w:rsid w:val="006D58BE"/>
    <w:rsid w:val="006E09D5"/>
    <w:rsid w:val="006E12EC"/>
    <w:rsid w:val="006E1418"/>
    <w:rsid w:val="006F3683"/>
    <w:rsid w:val="00700738"/>
    <w:rsid w:val="007042EA"/>
    <w:rsid w:val="007043B9"/>
    <w:rsid w:val="00705549"/>
    <w:rsid w:val="0071210D"/>
    <w:rsid w:val="0071235A"/>
    <w:rsid w:val="00716BC5"/>
    <w:rsid w:val="007170E5"/>
    <w:rsid w:val="0072005C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2768C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308B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91B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577F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9228B0-6F4F-48BD-8938-815FF49E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page number" w:semiHidden="1" w:unhideWhenUsed="1"/>
    <w:lsdException w:name="endnote reference" w:uiPriority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Titre1">
    <w:name w:val="heading 1"/>
    <w:basedOn w:val="Normal"/>
    <w:next w:val="Normal"/>
    <w:link w:val="Titre1C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Pieddepage">
    <w:name w:val="footer"/>
    <w:basedOn w:val="Normal"/>
    <w:link w:val="PieddepageC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PieddepageCar">
    <w:name w:val="Pied de page Car"/>
    <w:basedOn w:val="Policepardfaut"/>
    <w:link w:val="Pieddepage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En-tte">
    <w:name w:val="header"/>
    <w:basedOn w:val="Normal"/>
    <w:link w:val="En-tteC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En-tteCar">
    <w:name w:val="En-tête Car"/>
    <w:basedOn w:val="Policepardfaut"/>
    <w:link w:val="En-tte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Titre1Car">
    <w:name w:val="Titre 1 Car"/>
    <w:basedOn w:val="Policepardfaut"/>
    <w:link w:val="Titre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e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e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enumros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enumros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enumros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enumros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enumros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Notedebasdepage">
    <w:name w:val="footnote text"/>
    <w:basedOn w:val="Normal"/>
    <w:link w:val="NotedebasdepageC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Appelnotedebasdep">
    <w:name w:val="footnote reference"/>
    <w:aliases w:val="4_GR"/>
    <w:basedOn w:val="Policepardfaut"/>
    <w:uiPriority w:val="1"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Notedefin">
    <w:name w:val="endnote text"/>
    <w:basedOn w:val="Normal"/>
    <w:link w:val="NotedefinC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NotedefinCar">
    <w:name w:val="Note de fin Car"/>
    <w:basedOn w:val="Policepardfaut"/>
    <w:link w:val="Notedefin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Appeldenotedefin">
    <w:name w:val="endnote reference"/>
    <w:basedOn w:val="Policepardfau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Marquedecommentaire">
    <w:name w:val="annotation reference"/>
    <w:basedOn w:val="Policepardfaut"/>
    <w:uiPriority w:val="1"/>
    <w:semiHidden/>
    <w:unhideWhenUsed/>
    <w:rsid w:val="00343F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3FA8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3FA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3F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3FA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59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91B"/>
    <w:rPr>
      <w:rFonts w:ascii="Segoe UI" w:hAnsi="Segoe UI" w:cs="Segoe UI"/>
      <w:spacing w:val="4"/>
      <w:w w:val="103"/>
      <w:kern w:val="14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F05D4-07EE-4A00-A3FC-EFC3F752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6633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Revised 20150602</vt:lpstr>
      <vt:lpstr>Revised 20150602</vt:lpstr>
    </vt:vector>
  </TitlesOfParts>
  <Company>DCM</Company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Uliana Antipova</dc:creator>
  <cp:lastModifiedBy>Bénédicte Boudol</cp:lastModifiedBy>
  <cp:revision>2</cp:revision>
  <cp:lastPrinted>2015-12-04T08:05:00Z</cp:lastPrinted>
  <dcterms:created xsi:type="dcterms:W3CDTF">2015-12-21T10:16:00Z</dcterms:created>
  <dcterms:modified xsi:type="dcterms:W3CDTF">2015-12-21T10:16:00Z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1520486R</vt:lpwstr>
  </property>
  <property fmtid="{D5CDD505-2E9C-101B-9397-08002B2CF9AE}" pid="3" name="ODSRefJobNo">
    <vt:lpwstr>1526565R</vt:lpwstr>
  </property>
  <property fmtid="{D5CDD505-2E9C-101B-9397-08002B2CF9AE}" pid="4" name="Symbol1">
    <vt:lpwstr>ECE/TRANS/WP.29/GRRF/2016/10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U.A.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20 November 2015</vt:lpwstr>
  </property>
  <property fmtid="{D5CDD505-2E9C-101B-9397-08002B2CF9AE}" pid="12" name="Original">
    <vt:lpwstr>English</vt:lpwstr>
  </property>
  <property fmtid="{D5CDD505-2E9C-101B-9397-08002B2CF9AE}" pid="13" name="Release Date">
    <vt:lpwstr>031215</vt:lpwstr>
  </property>
</Properties>
</file>