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D0" w:rsidRDefault="00594AD0" w:rsidP="00594AD0">
      <w:pPr>
        <w:spacing w:line="240" w:lineRule="auto"/>
        <w:rPr>
          <w:sz w:val="2"/>
        </w:rPr>
        <w:sectPr w:rsidR="00594AD0" w:rsidSect="00594AD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594AD0" w:rsidRDefault="00594AD0" w:rsidP="00594AD0">
      <w:pPr>
        <w:pStyle w:val="H1"/>
        <w:spacing w:after="120"/>
        <w:rPr>
          <w:sz w:val="28"/>
        </w:rPr>
      </w:pPr>
      <w:r>
        <w:rPr>
          <w:sz w:val="28"/>
        </w:rPr>
        <w:lastRenderedPageBreak/>
        <w:t>Commission économique pour l’Europe</w:t>
      </w:r>
    </w:p>
    <w:p w:rsidR="00594AD0" w:rsidRDefault="00594AD0" w:rsidP="00594AD0">
      <w:pPr>
        <w:pStyle w:val="H1"/>
        <w:spacing w:after="120" w:line="300" w:lineRule="exact"/>
        <w:rPr>
          <w:b w:val="0"/>
          <w:sz w:val="28"/>
        </w:rPr>
      </w:pPr>
      <w:r>
        <w:rPr>
          <w:b w:val="0"/>
          <w:sz w:val="28"/>
        </w:rPr>
        <w:t>Comité des transports intérieurs</w:t>
      </w:r>
    </w:p>
    <w:p w:rsidR="00C76474" w:rsidRDefault="00C76474" w:rsidP="007C32F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76474">
        <w:t>Forum mondial de l’harmonisation</w:t>
      </w:r>
      <w:r>
        <w:t xml:space="preserve"> </w:t>
      </w:r>
      <w:r>
        <w:br/>
      </w:r>
      <w:r w:rsidRPr="00C76474">
        <w:t>des Règlements concernant les véhicules</w:t>
      </w:r>
    </w:p>
    <w:p w:rsidR="00C76474" w:rsidRPr="00C76474" w:rsidRDefault="00C76474" w:rsidP="00C76474">
      <w:pPr>
        <w:spacing w:line="120" w:lineRule="exact"/>
        <w:rPr>
          <w:sz w:val="10"/>
        </w:rPr>
      </w:pPr>
    </w:p>
    <w:p w:rsidR="00C76474" w:rsidRDefault="00C76474" w:rsidP="007C32F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76474">
        <w:t>Groupe de travail en matière de roulement et de freinage</w:t>
      </w:r>
    </w:p>
    <w:p w:rsidR="00C76474" w:rsidRPr="00C76474" w:rsidRDefault="00C76474" w:rsidP="00C76474">
      <w:pPr>
        <w:spacing w:line="120" w:lineRule="exact"/>
        <w:rPr>
          <w:sz w:val="10"/>
        </w:rPr>
      </w:pPr>
    </w:p>
    <w:p w:rsidR="00C76474" w:rsidRPr="00C76474" w:rsidRDefault="00C76474" w:rsidP="00C7647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76474">
        <w:t>Quatre-vingt-unième session</w:t>
      </w:r>
    </w:p>
    <w:p w:rsidR="00C76474" w:rsidRPr="00C76474" w:rsidRDefault="00C76474" w:rsidP="00C76474">
      <w:r w:rsidRPr="00C76474">
        <w:t>Genève, 1</w:t>
      </w:r>
      <w:r w:rsidRPr="00C76474">
        <w:rPr>
          <w:vertAlign w:val="superscript"/>
        </w:rPr>
        <w:t>er</w:t>
      </w:r>
      <w:r>
        <w:t>-5 </w:t>
      </w:r>
      <w:r w:rsidRPr="00C76474">
        <w:t>février 2016</w:t>
      </w:r>
    </w:p>
    <w:p w:rsidR="00C76474" w:rsidRPr="00C76474" w:rsidRDefault="00C76474" w:rsidP="00C76474">
      <w:r w:rsidRPr="00C76474">
        <w:t>Point 10 d) de l’ordre du jour provisoire</w:t>
      </w:r>
    </w:p>
    <w:p w:rsidR="00C76474" w:rsidRDefault="00C76474" w:rsidP="00C7647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76474">
        <w:t xml:space="preserve">Homologation de type internationale de l’ensemble </w:t>
      </w:r>
      <w:r>
        <w:br/>
      </w:r>
      <w:r w:rsidRPr="00C76474">
        <w:t xml:space="preserve">du véhicule (IWVTA) </w:t>
      </w:r>
      <w:r>
        <w:t xml:space="preserve">– </w:t>
      </w:r>
      <w:r w:rsidRPr="00C76474">
        <w:t xml:space="preserve">Règlement </w:t>
      </w:r>
      <w:r>
        <w:t>n</w:t>
      </w:r>
      <w:r w:rsidRPr="00C76474">
        <w:rPr>
          <w:vertAlign w:val="superscript"/>
        </w:rPr>
        <w:t>o</w:t>
      </w:r>
      <w:r>
        <w:t> </w:t>
      </w:r>
      <w:r w:rsidRPr="00C76474">
        <w:t>64</w:t>
      </w:r>
    </w:p>
    <w:p w:rsidR="00C76474" w:rsidRPr="00C76474" w:rsidRDefault="00C76474" w:rsidP="00C76474">
      <w:pPr>
        <w:spacing w:line="120" w:lineRule="exact"/>
        <w:rPr>
          <w:sz w:val="10"/>
        </w:rPr>
      </w:pPr>
    </w:p>
    <w:p w:rsidR="00C76474" w:rsidRPr="00C76474" w:rsidRDefault="00C76474" w:rsidP="00C76474">
      <w:pPr>
        <w:spacing w:line="120" w:lineRule="exact"/>
        <w:rPr>
          <w:sz w:val="10"/>
        </w:rPr>
      </w:pPr>
    </w:p>
    <w:p w:rsidR="00C76474" w:rsidRPr="00C76474" w:rsidRDefault="00C76474" w:rsidP="00C76474">
      <w:pPr>
        <w:spacing w:line="120" w:lineRule="exact"/>
        <w:rPr>
          <w:sz w:val="10"/>
        </w:rPr>
      </w:pPr>
    </w:p>
    <w:p w:rsidR="00C76474" w:rsidRDefault="00C76474" w:rsidP="00C764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76474">
        <w:tab/>
      </w:r>
      <w:r w:rsidRPr="00C76474">
        <w:tab/>
        <w:t xml:space="preserve">Proposition de nouveau Règlement </w:t>
      </w:r>
      <w:r>
        <w:t>n</w:t>
      </w:r>
      <w:r w:rsidRPr="00C76474">
        <w:rPr>
          <w:vertAlign w:val="superscript"/>
        </w:rPr>
        <w:t>o</w:t>
      </w:r>
      <w:r>
        <w:t> </w:t>
      </w:r>
      <w:r w:rsidRPr="00C76474">
        <w:t>[</w:t>
      </w:r>
      <w:r w:rsidR="00C32F8E">
        <w:t>TPMS</w:t>
      </w:r>
      <w:r w:rsidRPr="00C76474">
        <w:t>]</w:t>
      </w:r>
    </w:p>
    <w:p w:rsidR="00C76474" w:rsidRPr="00C76474" w:rsidRDefault="00C76474" w:rsidP="00C76474">
      <w:pPr>
        <w:pStyle w:val="SingleTxt"/>
        <w:spacing w:after="0" w:line="120" w:lineRule="exact"/>
        <w:rPr>
          <w:sz w:val="10"/>
        </w:rPr>
      </w:pPr>
    </w:p>
    <w:p w:rsidR="00C76474" w:rsidRPr="00C76474" w:rsidRDefault="00C76474" w:rsidP="00C76474">
      <w:pPr>
        <w:pStyle w:val="SingleTxt"/>
        <w:spacing w:after="0" w:line="120" w:lineRule="exact"/>
        <w:rPr>
          <w:sz w:val="10"/>
        </w:rPr>
      </w:pPr>
    </w:p>
    <w:p w:rsidR="00C76474" w:rsidRDefault="00C76474" w:rsidP="00C764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76474">
        <w:tab/>
      </w:r>
      <w:r w:rsidRPr="00C76474">
        <w:tab/>
        <w:t xml:space="preserve">Prescriptions uniformes relatives à l’homologation </w:t>
      </w:r>
      <w:r>
        <w:br/>
      </w:r>
      <w:r w:rsidRPr="00C76474">
        <w:t xml:space="preserve">des véhicules en ce qui concerne leur système </w:t>
      </w:r>
      <w:r>
        <w:br/>
      </w:r>
      <w:r w:rsidRPr="00C76474">
        <w:t>de surveillance de la pression des pneumatiques</w:t>
      </w:r>
    </w:p>
    <w:p w:rsidR="00C76474" w:rsidRPr="00C76474" w:rsidRDefault="00C76474" w:rsidP="00C76474">
      <w:pPr>
        <w:pStyle w:val="SingleTxt"/>
        <w:spacing w:after="0" w:line="120" w:lineRule="exact"/>
        <w:rPr>
          <w:sz w:val="10"/>
        </w:rPr>
      </w:pPr>
    </w:p>
    <w:p w:rsidR="00C76474" w:rsidRPr="00C76474" w:rsidRDefault="00C76474" w:rsidP="00C76474">
      <w:pPr>
        <w:pStyle w:val="SingleTxt"/>
        <w:spacing w:after="0" w:line="120" w:lineRule="exact"/>
        <w:rPr>
          <w:sz w:val="10"/>
        </w:rPr>
      </w:pPr>
    </w:p>
    <w:p w:rsidR="00C76474" w:rsidRDefault="00C76474" w:rsidP="00C764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rPr>
      </w:pPr>
      <w:r w:rsidRPr="00C76474">
        <w:tab/>
      </w:r>
      <w:r w:rsidRPr="00C76474">
        <w:tab/>
        <w:t xml:space="preserve">Communication des experts de l’Organisation internationale </w:t>
      </w:r>
      <w:r>
        <w:br/>
      </w:r>
      <w:r w:rsidRPr="00C76474">
        <w:t>des constructeurs d’automobiles</w:t>
      </w:r>
      <w:r w:rsidRPr="00681E37">
        <w:rPr>
          <w:rStyle w:val="FootnoteReference"/>
          <w:b w:val="0"/>
          <w:sz w:val="20"/>
          <w:szCs w:val="20"/>
          <w:vertAlign w:val="baseline"/>
        </w:rPr>
        <w:footnoteReference w:customMarkFollows="1" w:id="1"/>
        <w:t>*</w:t>
      </w:r>
    </w:p>
    <w:p w:rsidR="00C76474" w:rsidRPr="00C76474" w:rsidRDefault="00C76474" w:rsidP="00C76474">
      <w:pPr>
        <w:pStyle w:val="SingleTxt"/>
        <w:spacing w:after="0" w:line="120" w:lineRule="exact"/>
        <w:rPr>
          <w:sz w:val="10"/>
        </w:rPr>
      </w:pPr>
    </w:p>
    <w:p w:rsidR="00C76474" w:rsidRPr="00C76474" w:rsidRDefault="00C76474" w:rsidP="00C76474">
      <w:pPr>
        <w:pStyle w:val="SingleTxt"/>
        <w:spacing w:after="0" w:line="120" w:lineRule="exact"/>
        <w:rPr>
          <w:sz w:val="10"/>
        </w:rPr>
      </w:pPr>
    </w:p>
    <w:p w:rsidR="00C76474" w:rsidRPr="00C76474" w:rsidRDefault="00C76474" w:rsidP="00C76474">
      <w:pPr>
        <w:pStyle w:val="SingleTxt"/>
        <w:rPr>
          <w:lang w:val="en-US"/>
        </w:rPr>
      </w:pPr>
      <w:r>
        <w:tab/>
      </w:r>
      <w:r w:rsidRPr="00C76474">
        <w:t xml:space="preserve">Le texte reproduit ci-après, établi par l’expert de l’Organisation internationale des constructeurs d’automobiles (OICA) sur la base de la version existante du Règlement </w:t>
      </w:r>
      <w:r>
        <w:t>n</w:t>
      </w:r>
      <w:r w:rsidRPr="00C76474">
        <w:rPr>
          <w:vertAlign w:val="superscript"/>
        </w:rPr>
        <w:t>o</w:t>
      </w:r>
      <w:r>
        <w:t> </w:t>
      </w:r>
      <w:r w:rsidRPr="00C76474">
        <w:t xml:space="preserve">64, a pour but de transférer </w:t>
      </w:r>
      <w:r w:rsidR="00C32F8E" w:rsidRPr="00C76474">
        <w:t xml:space="preserve">dans un Règlement distinct </w:t>
      </w:r>
      <w:r w:rsidRPr="00C76474">
        <w:t>les dispositions relatives aux systèmes de surveillance de la pression des pneumatiques. Il est fondé sur les documents ECE/TRANS/WP.29/GRRF/2015/13 et GRRF-80-34, compte tenu des observations reçues à la soixante-dix-huitième session du GRRF (GRRF-78). Les modifications qu’il est proposé d’apporter au texte du document ECE/TRANS/</w:t>
      </w:r>
      <w:r w:rsidR="00C32F8E">
        <w:br/>
      </w:r>
      <w:r w:rsidRPr="00C76474">
        <w:t>WP.29/GR</w:t>
      </w:r>
      <w:r w:rsidR="005011BF">
        <w:t>RF</w:t>
      </w:r>
      <w:r w:rsidRPr="00C76474">
        <w:t>/2015/13 sont signalées en caractères gras pour les ajouts ou biffés pour les suppressions.</w:t>
      </w:r>
    </w:p>
    <w:p w:rsidR="00B6191E" w:rsidRDefault="00B6191E">
      <w:pPr>
        <w:spacing w:line="240" w:lineRule="auto"/>
        <w:sectPr w:rsidR="00B6191E" w:rsidSect="00594AD0">
          <w:endnotePr>
            <w:numFmt w:val="decimal"/>
          </w:endnotePr>
          <w:type w:val="continuous"/>
          <w:pgSz w:w="11909" w:h="16834"/>
          <w:pgMar w:top="1742" w:right="936" w:bottom="1898" w:left="936" w:header="576" w:footer="1030" w:gutter="0"/>
          <w:cols w:space="720"/>
          <w:noEndnote/>
          <w:docGrid w:linePitch="360"/>
        </w:sectPr>
      </w:pPr>
    </w:p>
    <w:p w:rsidR="00747176" w:rsidRDefault="008677DD" w:rsidP="007471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sz w:val="20"/>
          <w:szCs w:val="20"/>
        </w:rPr>
        <w:lastRenderedPageBreak/>
        <w:tab/>
      </w:r>
      <w:r w:rsidR="00747176" w:rsidRPr="00747176">
        <w:rPr>
          <w:b w:val="0"/>
          <w:sz w:val="20"/>
          <w:szCs w:val="20"/>
        </w:rPr>
        <w:t>« </w:t>
      </w:r>
      <w:r w:rsidR="00747176" w:rsidRPr="00747176">
        <w:t xml:space="preserve">Règlement </w:t>
      </w:r>
      <w:r w:rsidR="00747176">
        <w:t>n</w:t>
      </w:r>
      <w:r w:rsidR="00747176" w:rsidRPr="00747176">
        <w:rPr>
          <w:vertAlign w:val="superscript"/>
        </w:rPr>
        <w:t>o</w:t>
      </w:r>
      <w:r w:rsidR="00747176">
        <w:t> </w:t>
      </w:r>
      <w:r w:rsidR="00747176" w:rsidRPr="00747176">
        <w:t>[</w:t>
      </w:r>
      <w:r w:rsidR="00747176">
        <w:t>TPMS]</w:t>
      </w:r>
    </w:p>
    <w:p w:rsidR="00967192" w:rsidRPr="00967192" w:rsidRDefault="00967192" w:rsidP="00967192">
      <w:pPr>
        <w:pStyle w:val="SingleTxt"/>
        <w:spacing w:after="0" w:line="120" w:lineRule="exact"/>
        <w:rPr>
          <w:sz w:val="10"/>
        </w:rPr>
      </w:pPr>
    </w:p>
    <w:p w:rsidR="00967192" w:rsidRPr="00967192" w:rsidRDefault="00967192" w:rsidP="00967192">
      <w:pPr>
        <w:pStyle w:val="SingleTxt"/>
        <w:spacing w:after="0" w:line="120" w:lineRule="exact"/>
        <w:rPr>
          <w:sz w:val="10"/>
        </w:rPr>
      </w:pPr>
    </w:p>
    <w:p w:rsidR="00747176" w:rsidRDefault="00747176" w:rsidP="009671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7176">
        <w:tab/>
      </w:r>
      <w:r w:rsidRPr="00747176">
        <w:tab/>
        <w:t xml:space="preserve">Prescriptions uniformes relatives à l’homologation </w:t>
      </w:r>
      <w:r w:rsidR="00967192">
        <w:br/>
      </w:r>
      <w:r w:rsidRPr="00747176">
        <w:t xml:space="preserve">des véhicules en ce qui concerne leur système </w:t>
      </w:r>
      <w:r w:rsidR="00967192">
        <w:br/>
      </w:r>
      <w:r w:rsidRPr="00747176">
        <w:t>de surveillance de la pression des pneumatiques</w:t>
      </w:r>
    </w:p>
    <w:p w:rsidR="00967192" w:rsidRPr="00967192" w:rsidRDefault="00967192" w:rsidP="00967192">
      <w:pPr>
        <w:pStyle w:val="SingleTxt"/>
        <w:spacing w:after="0" w:line="120" w:lineRule="exact"/>
        <w:rPr>
          <w:sz w:val="10"/>
        </w:rPr>
      </w:pPr>
    </w:p>
    <w:p w:rsidR="00967192" w:rsidRPr="00967192" w:rsidRDefault="00967192" w:rsidP="00967192">
      <w:pPr>
        <w:pStyle w:val="SingleTxt"/>
        <w:spacing w:after="0" w:line="120" w:lineRule="exact"/>
        <w:rPr>
          <w:sz w:val="10"/>
        </w:rPr>
      </w:pPr>
    </w:p>
    <w:p w:rsidR="00967192" w:rsidRPr="00967192" w:rsidRDefault="00967192" w:rsidP="00967192">
      <w:pPr>
        <w:pStyle w:val="HCH"/>
        <w:spacing w:after="120"/>
        <w:rPr>
          <w:b w:val="0"/>
        </w:rPr>
      </w:pPr>
      <w:r w:rsidRPr="00967192">
        <w:rPr>
          <w:b w:val="0"/>
        </w:rPr>
        <w:t>Table des matières</w:t>
      </w:r>
    </w:p>
    <w:tbl>
      <w:tblPr>
        <w:tblW w:w="10044" w:type="dxa"/>
        <w:tblLayout w:type="fixed"/>
        <w:tblCellMar>
          <w:left w:w="0" w:type="dxa"/>
          <w:right w:w="0" w:type="dxa"/>
        </w:tblCellMar>
        <w:tblLook w:val="0000" w:firstRow="0" w:lastRow="0" w:firstColumn="0" w:lastColumn="0" w:noHBand="0" w:noVBand="0"/>
      </w:tblPr>
      <w:tblGrid>
        <w:gridCol w:w="1058"/>
        <w:gridCol w:w="7317"/>
        <w:gridCol w:w="994"/>
        <w:gridCol w:w="675"/>
      </w:tblGrid>
      <w:tr w:rsidR="00967192" w:rsidRPr="00967192" w:rsidTr="00D40AA1">
        <w:tc>
          <w:tcPr>
            <w:tcW w:w="1058" w:type="dxa"/>
            <w:shd w:val="clear" w:color="auto" w:fill="auto"/>
          </w:tcPr>
          <w:p w:rsidR="00967192" w:rsidRPr="00967192" w:rsidRDefault="00967192" w:rsidP="00967192">
            <w:pPr>
              <w:spacing w:after="120" w:line="240" w:lineRule="auto"/>
              <w:jc w:val="right"/>
              <w:rPr>
                <w:i/>
                <w:sz w:val="14"/>
              </w:rPr>
            </w:pPr>
          </w:p>
        </w:tc>
        <w:tc>
          <w:tcPr>
            <w:tcW w:w="7317" w:type="dxa"/>
            <w:shd w:val="clear" w:color="auto" w:fill="auto"/>
          </w:tcPr>
          <w:p w:rsidR="00967192" w:rsidRPr="00967192" w:rsidRDefault="00967192" w:rsidP="00967192">
            <w:pPr>
              <w:spacing w:after="120" w:line="240" w:lineRule="auto"/>
              <w:rPr>
                <w:i/>
                <w:sz w:val="14"/>
              </w:rPr>
            </w:pPr>
          </w:p>
        </w:tc>
        <w:tc>
          <w:tcPr>
            <w:tcW w:w="994" w:type="dxa"/>
            <w:shd w:val="clear" w:color="auto" w:fill="auto"/>
          </w:tcPr>
          <w:p w:rsidR="00967192" w:rsidRPr="00967192" w:rsidRDefault="00967192" w:rsidP="00967192">
            <w:pPr>
              <w:spacing w:after="120" w:line="240" w:lineRule="auto"/>
              <w:jc w:val="right"/>
              <w:rPr>
                <w:i/>
                <w:sz w:val="14"/>
              </w:rPr>
            </w:pPr>
          </w:p>
        </w:tc>
        <w:tc>
          <w:tcPr>
            <w:tcW w:w="675" w:type="dxa"/>
            <w:shd w:val="clear" w:color="auto" w:fill="auto"/>
          </w:tcPr>
          <w:p w:rsidR="00967192" w:rsidRPr="00967192" w:rsidRDefault="00967192" w:rsidP="00967192">
            <w:pPr>
              <w:spacing w:after="120" w:line="240" w:lineRule="auto"/>
              <w:jc w:val="right"/>
              <w:rPr>
                <w:i/>
                <w:sz w:val="14"/>
              </w:rPr>
            </w:pPr>
            <w:r>
              <w:rPr>
                <w:i/>
                <w:sz w:val="14"/>
              </w:rPr>
              <w:t>Page</w:t>
            </w:r>
          </w:p>
        </w:tc>
      </w:tr>
      <w:tr w:rsidR="00967192" w:rsidRPr="00967192" w:rsidTr="00967192">
        <w:tc>
          <w:tcPr>
            <w:tcW w:w="9369" w:type="dxa"/>
            <w:gridSpan w:val="3"/>
            <w:shd w:val="clear" w:color="auto" w:fill="auto"/>
          </w:tcPr>
          <w:p w:rsidR="00967192" w:rsidRPr="00967192" w:rsidRDefault="007C32F9" w:rsidP="007C32F9">
            <w:pPr>
              <w:pStyle w:val="ListParagraph"/>
              <w:numPr>
                <w:ilvl w:val="0"/>
                <w:numId w:val="6"/>
              </w:numPr>
              <w:tabs>
                <w:tab w:val="left" w:pos="1296"/>
                <w:tab w:val="left" w:pos="1728"/>
                <w:tab w:val="left" w:pos="2160"/>
                <w:tab w:val="left" w:pos="2592"/>
                <w:tab w:val="left" w:pos="3024"/>
                <w:tab w:val="right" w:leader="dot" w:pos="9360"/>
              </w:tabs>
              <w:suppressAutoHyphens/>
              <w:spacing w:after="120"/>
            </w:pPr>
            <w:r w:rsidRPr="00E608A9">
              <w:t>Champ d’application</w:t>
            </w:r>
            <w:r>
              <w:rPr>
                <w:spacing w:val="60"/>
                <w:sz w:val="17"/>
              </w:rPr>
              <w:tab/>
            </w:r>
          </w:p>
        </w:tc>
        <w:tc>
          <w:tcPr>
            <w:tcW w:w="675" w:type="dxa"/>
            <w:shd w:val="clear" w:color="auto" w:fill="auto"/>
            <w:vAlign w:val="bottom"/>
          </w:tcPr>
          <w:p w:rsidR="00967192" w:rsidRPr="00967192" w:rsidRDefault="007C32F9" w:rsidP="00967192">
            <w:pPr>
              <w:spacing w:after="120"/>
              <w:ind w:right="40"/>
              <w:jc w:val="right"/>
            </w:pPr>
            <w:r>
              <w:t>3</w:t>
            </w:r>
          </w:p>
        </w:tc>
      </w:tr>
      <w:tr w:rsidR="00967192" w:rsidRPr="00967192" w:rsidTr="00967192">
        <w:tc>
          <w:tcPr>
            <w:tcW w:w="9369" w:type="dxa"/>
            <w:gridSpan w:val="3"/>
            <w:shd w:val="clear" w:color="auto" w:fill="auto"/>
          </w:tcPr>
          <w:p w:rsidR="00967192" w:rsidRPr="00967192" w:rsidRDefault="007C32F9" w:rsidP="007C32F9">
            <w:pPr>
              <w:pStyle w:val="ListParagraph"/>
              <w:numPr>
                <w:ilvl w:val="0"/>
                <w:numId w:val="6"/>
              </w:numPr>
              <w:tabs>
                <w:tab w:val="left" w:pos="1296"/>
                <w:tab w:val="left" w:pos="1728"/>
                <w:tab w:val="right" w:leader="dot" w:pos="9360"/>
              </w:tabs>
              <w:suppressAutoHyphens/>
              <w:spacing w:after="120"/>
            </w:pPr>
            <w:r w:rsidRPr="007C32F9">
              <w:t>Définitions</w:t>
            </w:r>
            <w:r>
              <w:rPr>
                <w:spacing w:val="60"/>
                <w:sz w:val="17"/>
              </w:rPr>
              <w:tab/>
            </w:r>
          </w:p>
        </w:tc>
        <w:tc>
          <w:tcPr>
            <w:tcW w:w="675" w:type="dxa"/>
            <w:shd w:val="clear" w:color="auto" w:fill="auto"/>
            <w:vAlign w:val="bottom"/>
          </w:tcPr>
          <w:p w:rsidR="00967192" w:rsidRPr="00967192" w:rsidRDefault="007C32F9" w:rsidP="00967192">
            <w:pPr>
              <w:spacing w:after="120"/>
              <w:ind w:right="40"/>
              <w:jc w:val="right"/>
            </w:pPr>
            <w:r>
              <w:t>3</w:t>
            </w:r>
          </w:p>
        </w:tc>
      </w:tr>
      <w:tr w:rsidR="00967192" w:rsidRPr="00967192" w:rsidTr="00967192">
        <w:tc>
          <w:tcPr>
            <w:tcW w:w="9369" w:type="dxa"/>
            <w:gridSpan w:val="3"/>
            <w:shd w:val="clear" w:color="auto" w:fill="auto"/>
          </w:tcPr>
          <w:p w:rsidR="00967192" w:rsidRPr="00967192" w:rsidRDefault="007C32F9" w:rsidP="007C32F9">
            <w:pPr>
              <w:pStyle w:val="ListParagraph"/>
              <w:numPr>
                <w:ilvl w:val="0"/>
                <w:numId w:val="6"/>
              </w:numPr>
              <w:tabs>
                <w:tab w:val="left" w:pos="1296"/>
                <w:tab w:val="left" w:pos="1728"/>
                <w:tab w:val="left" w:pos="2160"/>
                <w:tab w:val="left" w:pos="2592"/>
                <w:tab w:val="left" w:pos="3024"/>
                <w:tab w:val="right" w:leader="dot" w:pos="9360"/>
              </w:tabs>
              <w:suppressAutoHyphens/>
              <w:spacing w:after="120"/>
            </w:pPr>
            <w:r w:rsidRPr="007C32F9">
              <w:t>Demande d’homologation</w:t>
            </w:r>
            <w:r>
              <w:rPr>
                <w:spacing w:val="60"/>
                <w:sz w:val="17"/>
              </w:rPr>
              <w:tab/>
            </w:r>
          </w:p>
        </w:tc>
        <w:tc>
          <w:tcPr>
            <w:tcW w:w="675" w:type="dxa"/>
            <w:shd w:val="clear" w:color="auto" w:fill="auto"/>
            <w:vAlign w:val="bottom"/>
          </w:tcPr>
          <w:p w:rsidR="00967192" w:rsidRPr="00967192" w:rsidRDefault="007C32F9" w:rsidP="00967192">
            <w:pPr>
              <w:spacing w:after="120"/>
              <w:ind w:right="40"/>
              <w:jc w:val="right"/>
            </w:pPr>
            <w:r>
              <w:t>4</w:t>
            </w:r>
          </w:p>
        </w:tc>
      </w:tr>
      <w:tr w:rsidR="00967192" w:rsidRPr="00967192" w:rsidTr="00967192">
        <w:tc>
          <w:tcPr>
            <w:tcW w:w="9369" w:type="dxa"/>
            <w:gridSpan w:val="3"/>
            <w:shd w:val="clear" w:color="auto" w:fill="auto"/>
          </w:tcPr>
          <w:p w:rsidR="00967192" w:rsidRPr="00967192" w:rsidRDefault="007C32F9" w:rsidP="007C32F9">
            <w:pPr>
              <w:pStyle w:val="ListParagraph"/>
              <w:numPr>
                <w:ilvl w:val="0"/>
                <w:numId w:val="6"/>
              </w:numPr>
              <w:tabs>
                <w:tab w:val="left" w:pos="1296"/>
                <w:tab w:val="left" w:pos="1728"/>
                <w:tab w:val="left" w:pos="2160"/>
                <w:tab w:val="right" w:leader="dot" w:pos="9360"/>
              </w:tabs>
              <w:suppressAutoHyphens/>
              <w:spacing w:after="120"/>
            </w:pPr>
            <w:r w:rsidRPr="007C32F9">
              <w:t>Homologation</w:t>
            </w:r>
            <w:r>
              <w:rPr>
                <w:spacing w:val="60"/>
                <w:sz w:val="17"/>
              </w:rPr>
              <w:tab/>
            </w:r>
          </w:p>
        </w:tc>
        <w:tc>
          <w:tcPr>
            <w:tcW w:w="675" w:type="dxa"/>
            <w:shd w:val="clear" w:color="auto" w:fill="auto"/>
            <w:vAlign w:val="bottom"/>
          </w:tcPr>
          <w:p w:rsidR="00967192" w:rsidRPr="00967192" w:rsidRDefault="007C32F9" w:rsidP="00967192">
            <w:pPr>
              <w:spacing w:after="120"/>
              <w:ind w:right="40"/>
              <w:jc w:val="right"/>
            </w:pPr>
            <w:r>
              <w:t>5</w:t>
            </w:r>
          </w:p>
        </w:tc>
      </w:tr>
      <w:tr w:rsidR="00967192" w:rsidRPr="00967192" w:rsidTr="00967192">
        <w:tc>
          <w:tcPr>
            <w:tcW w:w="9369" w:type="dxa"/>
            <w:gridSpan w:val="3"/>
            <w:shd w:val="clear" w:color="auto" w:fill="auto"/>
          </w:tcPr>
          <w:p w:rsidR="00967192" w:rsidRPr="00967192" w:rsidRDefault="007C32F9" w:rsidP="007C32F9">
            <w:pPr>
              <w:pStyle w:val="ListParagraph"/>
              <w:numPr>
                <w:ilvl w:val="0"/>
                <w:numId w:val="6"/>
              </w:numPr>
              <w:tabs>
                <w:tab w:val="left" w:pos="1296"/>
                <w:tab w:val="left" w:pos="1728"/>
                <w:tab w:val="left" w:pos="2160"/>
                <w:tab w:val="left" w:pos="2592"/>
                <w:tab w:val="left" w:pos="3024"/>
                <w:tab w:val="right" w:leader="dot" w:pos="9360"/>
              </w:tabs>
              <w:suppressAutoHyphens/>
              <w:spacing w:after="120"/>
            </w:pPr>
            <w:r w:rsidRPr="007C32F9">
              <w:t>Spécifications et essais</w:t>
            </w:r>
            <w:r>
              <w:rPr>
                <w:spacing w:val="60"/>
                <w:sz w:val="17"/>
              </w:rPr>
              <w:tab/>
            </w:r>
          </w:p>
        </w:tc>
        <w:tc>
          <w:tcPr>
            <w:tcW w:w="675" w:type="dxa"/>
            <w:shd w:val="clear" w:color="auto" w:fill="auto"/>
            <w:vAlign w:val="bottom"/>
          </w:tcPr>
          <w:p w:rsidR="00967192" w:rsidRPr="00967192" w:rsidRDefault="007C32F9" w:rsidP="00967192">
            <w:pPr>
              <w:spacing w:after="120"/>
              <w:ind w:right="40"/>
              <w:jc w:val="right"/>
            </w:pPr>
            <w:r>
              <w:t>6</w:t>
            </w:r>
          </w:p>
        </w:tc>
      </w:tr>
      <w:tr w:rsidR="00967192" w:rsidRPr="00967192" w:rsidTr="00967192">
        <w:tc>
          <w:tcPr>
            <w:tcW w:w="9369" w:type="dxa"/>
            <w:gridSpan w:val="3"/>
            <w:shd w:val="clear" w:color="auto" w:fill="auto"/>
          </w:tcPr>
          <w:p w:rsidR="00967192" w:rsidRPr="00967192" w:rsidRDefault="007C32F9" w:rsidP="007C32F9">
            <w:pPr>
              <w:pStyle w:val="ListParagraph"/>
              <w:numPr>
                <w:ilvl w:val="0"/>
                <w:numId w:val="6"/>
              </w:numPr>
              <w:tabs>
                <w:tab w:val="left" w:pos="1296"/>
                <w:tab w:val="left" w:pos="1728"/>
                <w:tab w:val="left" w:pos="2160"/>
                <w:tab w:val="left" w:pos="2592"/>
                <w:tab w:val="left" w:pos="3024"/>
                <w:tab w:val="left" w:pos="3456"/>
                <w:tab w:val="right" w:leader="dot" w:pos="9360"/>
              </w:tabs>
              <w:suppressAutoHyphens/>
              <w:spacing w:after="120"/>
            </w:pPr>
            <w:r w:rsidRPr="007C32F9">
              <w:t>Renseignements supplémentaires</w:t>
            </w:r>
            <w:r>
              <w:rPr>
                <w:spacing w:val="60"/>
                <w:sz w:val="17"/>
              </w:rPr>
              <w:tab/>
            </w:r>
          </w:p>
        </w:tc>
        <w:tc>
          <w:tcPr>
            <w:tcW w:w="675" w:type="dxa"/>
            <w:shd w:val="clear" w:color="auto" w:fill="auto"/>
            <w:vAlign w:val="bottom"/>
          </w:tcPr>
          <w:p w:rsidR="00967192" w:rsidRPr="00967192" w:rsidRDefault="007C32F9" w:rsidP="00967192">
            <w:pPr>
              <w:spacing w:after="120"/>
              <w:ind w:right="40"/>
              <w:jc w:val="right"/>
            </w:pPr>
            <w:r>
              <w:t>7</w:t>
            </w:r>
          </w:p>
        </w:tc>
      </w:tr>
      <w:tr w:rsidR="00967192" w:rsidRPr="00967192" w:rsidTr="00967192">
        <w:tc>
          <w:tcPr>
            <w:tcW w:w="9369" w:type="dxa"/>
            <w:gridSpan w:val="3"/>
            <w:shd w:val="clear" w:color="auto" w:fill="auto"/>
          </w:tcPr>
          <w:p w:rsidR="00967192" w:rsidRPr="00967192" w:rsidRDefault="007C32F9" w:rsidP="007C32F9">
            <w:pPr>
              <w:pStyle w:val="ListParagraph"/>
              <w:numPr>
                <w:ilvl w:val="0"/>
                <w:numId w:val="6"/>
              </w:numPr>
              <w:tabs>
                <w:tab w:val="left" w:pos="1296"/>
                <w:tab w:val="left" w:pos="1728"/>
                <w:tab w:val="left" w:pos="2160"/>
                <w:tab w:val="left" w:pos="2592"/>
                <w:tab w:val="left" w:pos="3024"/>
                <w:tab w:val="right" w:leader="dot" w:pos="9360"/>
              </w:tabs>
              <w:suppressAutoHyphens/>
              <w:spacing w:after="120"/>
            </w:pPr>
            <w:r w:rsidRPr="007C32F9">
              <w:t>Modifications et extension de l’homologation d’un type de véhicule</w:t>
            </w:r>
            <w:r>
              <w:rPr>
                <w:spacing w:val="60"/>
                <w:sz w:val="17"/>
              </w:rPr>
              <w:tab/>
            </w:r>
          </w:p>
        </w:tc>
        <w:tc>
          <w:tcPr>
            <w:tcW w:w="675" w:type="dxa"/>
            <w:shd w:val="clear" w:color="auto" w:fill="auto"/>
            <w:vAlign w:val="bottom"/>
          </w:tcPr>
          <w:p w:rsidR="00967192" w:rsidRPr="00967192" w:rsidRDefault="007C32F9" w:rsidP="00967192">
            <w:pPr>
              <w:spacing w:after="120"/>
              <w:ind w:right="40"/>
              <w:jc w:val="right"/>
            </w:pPr>
            <w:r>
              <w:t>7</w:t>
            </w:r>
          </w:p>
        </w:tc>
      </w:tr>
      <w:tr w:rsidR="00967192" w:rsidRPr="00967192" w:rsidTr="00967192">
        <w:tc>
          <w:tcPr>
            <w:tcW w:w="9369" w:type="dxa"/>
            <w:gridSpan w:val="3"/>
            <w:shd w:val="clear" w:color="auto" w:fill="auto"/>
          </w:tcPr>
          <w:p w:rsidR="00967192" w:rsidRPr="00967192" w:rsidRDefault="007C32F9" w:rsidP="007C32F9">
            <w:pPr>
              <w:pStyle w:val="ListParagraph"/>
              <w:numPr>
                <w:ilvl w:val="0"/>
                <w:numId w:val="6"/>
              </w:numPr>
              <w:tabs>
                <w:tab w:val="left" w:pos="1296"/>
                <w:tab w:val="left" w:pos="1728"/>
                <w:tab w:val="left" w:pos="2160"/>
                <w:tab w:val="left" w:pos="2592"/>
                <w:tab w:val="left" w:pos="3024"/>
                <w:tab w:val="left" w:pos="3456"/>
                <w:tab w:val="right" w:leader="dot" w:pos="9360"/>
              </w:tabs>
              <w:suppressAutoHyphens/>
              <w:spacing w:after="120"/>
            </w:pPr>
            <w:r w:rsidRPr="007C32F9">
              <w:t>Conformité de la production</w:t>
            </w:r>
            <w:r>
              <w:rPr>
                <w:spacing w:val="60"/>
                <w:sz w:val="17"/>
              </w:rPr>
              <w:tab/>
            </w:r>
          </w:p>
        </w:tc>
        <w:tc>
          <w:tcPr>
            <w:tcW w:w="675" w:type="dxa"/>
            <w:shd w:val="clear" w:color="auto" w:fill="auto"/>
            <w:vAlign w:val="bottom"/>
          </w:tcPr>
          <w:p w:rsidR="00967192" w:rsidRPr="00967192" w:rsidRDefault="007C32F9" w:rsidP="00967192">
            <w:pPr>
              <w:spacing w:after="120"/>
              <w:ind w:right="40"/>
              <w:jc w:val="right"/>
            </w:pPr>
            <w:r>
              <w:t>8</w:t>
            </w:r>
          </w:p>
        </w:tc>
      </w:tr>
      <w:tr w:rsidR="00967192" w:rsidRPr="00967192" w:rsidTr="00967192">
        <w:tc>
          <w:tcPr>
            <w:tcW w:w="9369" w:type="dxa"/>
            <w:gridSpan w:val="3"/>
            <w:shd w:val="clear" w:color="auto" w:fill="auto"/>
          </w:tcPr>
          <w:p w:rsidR="00967192" w:rsidRPr="00967192" w:rsidRDefault="007C32F9" w:rsidP="007C32F9">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7C32F9">
              <w:t>Sanctions pour non-conformité de la production</w:t>
            </w:r>
            <w:r>
              <w:rPr>
                <w:spacing w:val="60"/>
                <w:sz w:val="17"/>
              </w:rPr>
              <w:tab/>
            </w:r>
          </w:p>
        </w:tc>
        <w:tc>
          <w:tcPr>
            <w:tcW w:w="675" w:type="dxa"/>
            <w:shd w:val="clear" w:color="auto" w:fill="auto"/>
            <w:vAlign w:val="bottom"/>
          </w:tcPr>
          <w:p w:rsidR="00967192" w:rsidRPr="00967192" w:rsidRDefault="007C32F9" w:rsidP="00967192">
            <w:pPr>
              <w:spacing w:after="120"/>
              <w:ind w:right="40"/>
              <w:jc w:val="right"/>
            </w:pPr>
            <w:r>
              <w:t>8</w:t>
            </w:r>
          </w:p>
        </w:tc>
      </w:tr>
      <w:tr w:rsidR="00967192" w:rsidRPr="00967192" w:rsidTr="00967192">
        <w:tc>
          <w:tcPr>
            <w:tcW w:w="9369" w:type="dxa"/>
            <w:gridSpan w:val="3"/>
            <w:shd w:val="clear" w:color="auto" w:fill="auto"/>
          </w:tcPr>
          <w:p w:rsidR="00967192" w:rsidRPr="00967192" w:rsidRDefault="007C32F9" w:rsidP="007C32F9">
            <w:pPr>
              <w:pStyle w:val="ListParagraph"/>
              <w:numPr>
                <w:ilvl w:val="0"/>
                <w:numId w:val="6"/>
              </w:numPr>
              <w:tabs>
                <w:tab w:val="left" w:pos="1296"/>
                <w:tab w:val="left" w:pos="1728"/>
                <w:tab w:val="left" w:pos="2160"/>
                <w:tab w:val="left" w:pos="2592"/>
                <w:tab w:val="left" w:pos="3024"/>
                <w:tab w:val="left" w:pos="3456"/>
                <w:tab w:val="right" w:leader="dot" w:pos="9360"/>
              </w:tabs>
              <w:suppressAutoHyphens/>
              <w:spacing w:after="120"/>
            </w:pPr>
            <w:r w:rsidRPr="007C32F9">
              <w:t>Arrêt définitif de la production</w:t>
            </w:r>
            <w:r>
              <w:rPr>
                <w:spacing w:val="60"/>
                <w:sz w:val="17"/>
              </w:rPr>
              <w:tab/>
            </w:r>
          </w:p>
        </w:tc>
        <w:tc>
          <w:tcPr>
            <w:tcW w:w="675" w:type="dxa"/>
            <w:shd w:val="clear" w:color="auto" w:fill="auto"/>
            <w:vAlign w:val="bottom"/>
          </w:tcPr>
          <w:p w:rsidR="00967192" w:rsidRPr="00967192" w:rsidRDefault="007C32F9" w:rsidP="00967192">
            <w:pPr>
              <w:spacing w:after="120"/>
              <w:ind w:right="40"/>
              <w:jc w:val="right"/>
            </w:pPr>
            <w:r>
              <w:t>8</w:t>
            </w:r>
          </w:p>
        </w:tc>
      </w:tr>
      <w:tr w:rsidR="00967192" w:rsidRPr="00967192" w:rsidTr="00967192">
        <w:tc>
          <w:tcPr>
            <w:tcW w:w="9369" w:type="dxa"/>
            <w:gridSpan w:val="3"/>
            <w:shd w:val="clear" w:color="auto" w:fill="auto"/>
          </w:tcPr>
          <w:p w:rsidR="00967192" w:rsidRPr="00967192" w:rsidRDefault="007C32F9" w:rsidP="007C32F9">
            <w:pPr>
              <w:pStyle w:val="ListParagraph"/>
              <w:numPr>
                <w:ilvl w:val="0"/>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7C32F9">
              <w:t xml:space="preserve">Noms et adresses des services techniques chargés des essais d’homologation </w:t>
            </w:r>
            <w:r>
              <w:br/>
            </w:r>
            <w:r w:rsidRPr="007C32F9">
              <w:t>et de l’autorité d’homologation de type</w:t>
            </w:r>
            <w:r>
              <w:rPr>
                <w:spacing w:val="60"/>
                <w:sz w:val="17"/>
              </w:rPr>
              <w:tab/>
            </w:r>
          </w:p>
        </w:tc>
        <w:tc>
          <w:tcPr>
            <w:tcW w:w="675" w:type="dxa"/>
            <w:shd w:val="clear" w:color="auto" w:fill="auto"/>
            <w:vAlign w:val="bottom"/>
          </w:tcPr>
          <w:p w:rsidR="00967192" w:rsidRPr="00967192" w:rsidRDefault="009F1A17" w:rsidP="00967192">
            <w:pPr>
              <w:spacing w:after="120"/>
              <w:ind w:right="40"/>
              <w:jc w:val="right"/>
            </w:pPr>
            <w:r>
              <w:t>8</w:t>
            </w:r>
          </w:p>
        </w:tc>
      </w:tr>
      <w:tr w:rsidR="005F3CD5" w:rsidRPr="00967192" w:rsidTr="00967192">
        <w:tc>
          <w:tcPr>
            <w:tcW w:w="9369" w:type="dxa"/>
            <w:gridSpan w:val="3"/>
            <w:shd w:val="clear" w:color="auto" w:fill="auto"/>
          </w:tcPr>
          <w:p w:rsidR="005F3CD5" w:rsidRPr="007C32F9" w:rsidRDefault="005F3CD5" w:rsidP="005F3CD5">
            <w:pPr>
              <w:pStyle w:val="ListParagraph"/>
              <w:tabs>
                <w:tab w:val="right" w:pos="1080"/>
                <w:tab w:val="left" w:pos="1296"/>
                <w:tab w:val="right" w:pos="1714"/>
                <w:tab w:val="left" w:pos="2160"/>
                <w:tab w:val="left" w:pos="2592"/>
                <w:tab w:val="left" w:pos="3024"/>
                <w:tab w:val="left" w:pos="3456"/>
              </w:tabs>
              <w:suppressAutoHyphens/>
              <w:spacing w:after="120"/>
              <w:ind w:left="0"/>
            </w:pPr>
            <w:r>
              <w:tab/>
              <w:t>Annexes</w:t>
            </w:r>
          </w:p>
        </w:tc>
        <w:tc>
          <w:tcPr>
            <w:tcW w:w="675" w:type="dxa"/>
            <w:shd w:val="clear" w:color="auto" w:fill="auto"/>
            <w:vAlign w:val="bottom"/>
          </w:tcPr>
          <w:p w:rsidR="005F3CD5" w:rsidRDefault="005F3CD5" w:rsidP="005F3CD5">
            <w:pPr>
              <w:spacing w:after="120"/>
              <w:ind w:right="40"/>
              <w:jc w:val="right"/>
            </w:pPr>
          </w:p>
        </w:tc>
      </w:tr>
      <w:tr w:rsidR="005F3CD5" w:rsidRPr="00967192" w:rsidTr="00967192">
        <w:tc>
          <w:tcPr>
            <w:tcW w:w="9369" w:type="dxa"/>
            <w:gridSpan w:val="3"/>
            <w:shd w:val="clear" w:color="auto" w:fill="auto"/>
          </w:tcPr>
          <w:p w:rsidR="005F3CD5" w:rsidRDefault="009A349E" w:rsidP="009A349E">
            <w:pPr>
              <w:pStyle w:val="ListParagraph"/>
              <w:numPr>
                <w:ilvl w:val="0"/>
                <w:numId w:val="9"/>
              </w:numPr>
              <w:tabs>
                <w:tab w:val="left" w:pos="1296"/>
                <w:tab w:val="left" w:pos="1728"/>
                <w:tab w:val="left" w:pos="2160"/>
                <w:tab w:val="left" w:pos="2592"/>
                <w:tab w:val="right" w:leader="dot" w:pos="9360"/>
              </w:tabs>
              <w:suppressAutoHyphens/>
              <w:spacing w:after="120"/>
            </w:pPr>
            <w:r>
              <w:t>Communication</w:t>
            </w:r>
            <w:r>
              <w:rPr>
                <w:spacing w:val="60"/>
                <w:sz w:val="17"/>
              </w:rPr>
              <w:tab/>
            </w:r>
          </w:p>
        </w:tc>
        <w:tc>
          <w:tcPr>
            <w:tcW w:w="675" w:type="dxa"/>
            <w:shd w:val="clear" w:color="auto" w:fill="auto"/>
            <w:vAlign w:val="bottom"/>
          </w:tcPr>
          <w:p w:rsidR="005F3CD5" w:rsidRDefault="009F1A17" w:rsidP="005F3CD5">
            <w:pPr>
              <w:spacing w:after="120"/>
              <w:ind w:right="40"/>
              <w:jc w:val="right"/>
            </w:pPr>
            <w:r>
              <w:t>9</w:t>
            </w:r>
          </w:p>
        </w:tc>
      </w:tr>
      <w:tr w:rsidR="009A349E" w:rsidRPr="00967192" w:rsidTr="00967192">
        <w:tc>
          <w:tcPr>
            <w:tcW w:w="9369" w:type="dxa"/>
            <w:gridSpan w:val="3"/>
            <w:shd w:val="clear" w:color="auto" w:fill="auto"/>
          </w:tcPr>
          <w:p w:rsidR="009A349E" w:rsidRDefault="009A349E" w:rsidP="009A349E">
            <w:pPr>
              <w:pStyle w:val="ListParagraph"/>
              <w:numPr>
                <w:ilvl w:val="0"/>
                <w:numId w:val="9"/>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9A349E">
              <w:t>Exemples de marques d’homologation</w:t>
            </w:r>
            <w:r>
              <w:rPr>
                <w:spacing w:val="60"/>
                <w:sz w:val="17"/>
              </w:rPr>
              <w:tab/>
            </w:r>
          </w:p>
        </w:tc>
        <w:tc>
          <w:tcPr>
            <w:tcW w:w="675" w:type="dxa"/>
            <w:shd w:val="clear" w:color="auto" w:fill="auto"/>
            <w:vAlign w:val="bottom"/>
          </w:tcPr>
          <w:p w:rsidR="009A349E" w:rsidRDefault="009A349E" w:rsidP="009F1A17">
            <w:pPr>
              <w:spacing w:after="120"/>
              <w:ind w:right="40"/>
              <w:jc w:val="right"/>
            </w:pPr>
            <w:r>
              <w:t>1</w:t>
            </w:r>
            <w:r w:rsidR="009F1A17">
              <w:t>1</w:t>
            </w:r>
          </w:p>
        </w:tc>
      </w:tr>
      <w:tr w:rsidR="009A349E" w:rsidRPr="00967192" w:rsidTr="00967192">
        <w:tc>
          <w:tcPr>
            <w:tcW w:w="9369" w:type="dxa"/>
            <w:gridSpan w:val="3"/>
            <w:shd w:val="clear" w:color="auto" w:fill="auto"/>
          </w:tcPr>
          <w:p w:rsidR="009A349E" w:rsidRPr="009A349E" w:rsidRDefault="00D21C94" w:rsidP="009A349E">
            <w:pPr>
              <w:pStyle w:val="ListParagraph"/>
              <w:numPr>
                <w:ilvl w:val="0"/>
                <w:numId w:val="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pPr>
            <w:r w:rsidRPr="009A349E">
              <w:t>Essais des systèmes de surveillance de la pression des pneus</w:t>
            </w:r>
            <w:r w:rsidR="009A349E" w:rsidRPr="009A349E">
              <w:rPr>
                <w:spacing w:val="60"/>
                <w:sz w:val="17"/>
              </w:rPr>
              <w:tab/>
            </w:r>
          </w:p>
        </w:tc>
        <w:tc>
          <w:tcPr>
            <w:tcW w:w="675" w:type="dxa"/>
            <w:shd w:val="clear" w:color="auto" w:fill="auto"/>
            <w:vAlign w:val="bottom"/>
          </w:tcPr>
          <w:p w:rsidR="009A349E" w:rsidRDefault="009A349E" w:rsidP="009F1A17">
            <w:pPr>
              <w:spacing w:after="120"/>
              <w:ind w:right="40"/>
              <w:jc w:val="right"/>
            </w:pPr>
            <w:r>
              <w:t>1</w:t>
            </w:r>
            <w:r w:rsidR="009F1A17">
              <w:t>2</w:t>
            </w:r>
          </w:p>
        </w:tc>
      </w:tr>
    </w:tbl>
    <w:p w:rsidR="00E608A9" w:rsidRDefault="00E608A9" w:rsidP="00967192"/>
    <w:p w:rsidR="00B6191E" w:rsidRDefault="00B6191E" w:rsidP="00E608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B6191E" w:rsidSect="00B6191E">
          <w:headerReference w:type="even" r:id="rId16"/>
          <w:endnotePr>
            <w:numFmt w:val="decimal"/>
          </w:endnotePr>
          <w:pgSz w:w="11909" w:h="16834"/>
          <w:pgMar w:top="1742" w:right="936" w:bottom="1898" w:left="936" w:header="576" w:footer="1030" w:gutter="0"/>
          <w:cols w:space="720"/>
          <w:noEndnote/>
          <w:docGrid w:linePitch="360"/>
        </w:sectPr>
      </w:pPr>
    </w:p>
    <w:p w:rsidR="00E608A9" w:rsidRDefault="00E608A9" w:rsidP="00E608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08A9">
        <w:lastRenderedPageBreak/>
        <w:tab/>
      </w:r>
      <w:r w:rsidRPr="00E608A9">
        <w:tab/>
        <w:t>1.</w:t>
      </w:r>
      <w:r w:rsidRPr="00E608A9">
        <w:tab/>
      </w:r>
      <w:r w:rsidRPr="00E608A9">
        <w:tab/>
        <w:t>Champ d’application</w:t>
      </w:r>
    </w:p>
    <w:p w:rsidR="00E608A9" w:rsidRPr="00E608A9" w:rsidRDefault="00E608A9" w:rsidP="00E608A9">
      <w:pPr>
        <w:pStyle w:val="SingleTxt"/>
        <w:spacing w:after="0" w:line="120" w:lineRule="exact"/>
        <w:rPr>
          <w:sz w:val="10"/>
        </w:rPr>
      </w:pPr>
    </w:p>
    <w:p w:rsidR="00E608A9" w:rsidRPr="00E608A9" w:rsidRDefault="00E608A9" w:rsidP="00E608A9">
      <w:pPr>
        <w:pStyle w:val="SingleTxt"/>
        <w:spacing w:after="0" w:line="120" w:lineRule="exact"/>
        <w:rPr>
          <w:sz w:val="10"/>
        </w:rPr>
      </w:pPr>
    </w:p>
    <w:p w:rsidR="00E608A9" w:rsidRDefault="00E608A9" w:rsidP="00E608A9">
      <w:pPr>
        <w:pStyle w:val="SingleTxt"/>
        <w:ind w:left="2218" w:hanging="951"/>
      </w:pPr>
      <w:r w:rsidRPr="00E608A9">
        <w:t>1.</w:t>
      </w:r>
      <w:r w:rsidRPr="00E608A9">
        <w:tab/>
      </w:r>
      <w:r w:rsidRPr="00E608A9">
        <w:tab/>
        <w:t>Le présent Règlement s’applique à l’homologation des véhicules des catégories M</w:t>
      </w:r>
      <w:r w:rsidRPr="00E608A9">
        <w:rPr>
          <w:vertAlign w:val="subscript"/>
        </w:rPr>
        <w:t>1</w:t>
      </w:r>
      <w:r w:rsidRPr="00E608A9">
        <w:t xml:space="preserve"> dont la masse maximale est de 3</w:t>
      </w:r>
      <w:r>
        <w:t> 500 </w:t>
      </w:r>
      <w:r w:rsidRPr="00E608A9">
        <w:t>kg et N</w:t>
      </w:r>
      <w:r w:rsidRPr="00E608A9">
        <w:rPr>
          <w:vertAlign w:val="subscript"/>
        </w:rPr>
        <w:t>1</w:t>
      </w:r>
      <w:r w:rsidRPr="005011BF">
        <w:rPr>
          <w:rStyle w:val="FootnoteReference"/>
          <w:u w:val="single"/>
        </w:rPr>
        <w:footnoteReference w:id="2"/>
      </w:r>
      <w:r w:rsidRPr="00E608A9">
        <w:t xml:space="preserve"> équipés d’un système de surveillance de la pression des pneumatiques, à l’exception des véhicules qui ont un essieu à roues jumelées.</w:t>
      </w:r>
    </w:p>
    <w:p w:rsidR="0060033E" w:rsidRPr="0060033E" w:rsidRDefault="0060033E" w:rsidP="0060033E">
      <w:pPr>
        <w:pStyle w:val="SingleTxt"/>
        <w:spacing w:after="0" w:line="120" w:lineRule="exact"/>
        <w:ind w:left="2218" w:hanging="951"/>
        <w:rPr>
          <w:sz w:val="10"/>
        </w:rPr>
      </w:pPr>
    </w:p>
    <w:p w:rsidR="0060033E" w:rsidRPr="0060033E" w:rsidRDefault="0060033E" w:rsidP="0060033E">
      <w:pPr>
        <w:pStyle w:val="SingleTxt"/>
        <w:spacing w:after="0" w:line="120" w:lineRule="exact"/>
        <w:ind w:left="2218" w:hanging="951"/>
        <w:rPr>
          <w:sz w:val="10"/>
        </w:rPr>
      </w:pPr>
    </w:p>
    <w:p w:rsidR="00E608A9" w:rsidRDefault="00E608A9" w:rsidP="006003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08A9">
        <w:tab/>
      </w:r>
      <w:r w:rsidRPr="00E608A9">
        <w:tab/>
        <w:t>2.</w:t>
      </w:r>
      <w:r w:rsidRPr="00E608A9">
        <w:tab/>
      </w:r>
      <w:r w:rsidRPr="00E608A9">
        <w:tab/>
        <w:t>Définitions</w:t>
      </w:r>
    </w:p>
    <w:p w:rsidR="0060033E" w:rsidRPr="0060033E" w:rsidRDefault="0060033E" w:rsidP="0060033E">
      <w:pPr>
        <w:pStyle w:val="SingleTxt"/>
        <w:spacing w:after="0" w:line="120" w:lineRule="exact"/>
        <w:rPr>
          <w:sz w:val="10"/>
        </w:rPr>
      </w:pPr>
    </w:p>
    <w:p w:rsidR="0060033E" w:rsidRPr="0060033E" w:rsidRDefault="0060033E" w:rsidP="0060033E">
      <w:pPr>
        <w:pStyle w:val="SingleTxt"/>
        <w:spacing w:after="0" w:line="120" w:lineRule="exact"/>
        <w:rPr>
          <w:sz w:val="10"/>
        </w:rPr>
      </w:pPr>
    </w:p>
    <w:p w:rsidR="00E608A9" w:rsidRPr="00E608A9" w:rsidRDefault="00E608A9" w:rsidP="00E608A9">
      <w:pPr>
        <w:pStyle w:val="SingleTxt"/>
      </w:pPr>
      <w:r w:rsidRPr="00E608A9">
        <w:tab/>
      </w:r>
      <w:r w:rsidRPr="00E608A9">
        <w:tab/>
        <w:t>Au sens du présent Règlement, on entend par</w:t>
      </w:r>
      <w:r w:rsidR="0060033E">
        <w:t> </w:t>
      </w:r>
      <w:r w:rsidRPr="00E608A9">
        <w:t>:</w:t>
      </w:r>
    </w:p>
    <w:p w:rsidR="00E608A9" w:rsidRPr="00E608A9" w:rsidRDefault="00E608A9" w:rsidP="0060033E">
      <w:pPr>
        <w:pStyle w:val="SingleTxt"/>
        <w:ind w:left="2218" w:hanging="951"/>
      </w:pPr>
      <w:r w:rsidRPr="00E608A9">
        <w:t>2.1</w:t>
      </w:r>
      <w:r w:rsidRPr="00E608A9">
        <w:tab/>
      </w:r>
      <w:r w:rsidR="0060033E">
        <w:tab/>
        <w:t>“</w:t>
      </w:r>
      <w:r w:rsidRPr="00E608A9">
        <w:rPr>
          <w:i/>
        </w:rPr>
        <w:t>Homologation d’un véhicule</w:t>
      </w:r>
      <w:r w:rsidR="0060033E">
        <w:t>”</w:t>
      </w:r>
      <w:r w:rsidRPr="00E608A9">
        <w:t xml:space="preserve">, l’homologation d’un type de véhicule en ce qui concerne </w:t>
      </w:r>
      <w:r w:rsidRPr="005011BF">
        <w:t>son</w:t>
      </w:r>
      <w:r w:rsidRPr="006E4FAE">
        <w:rPr>
          <w:strike/>
        </w:rPr>
        <w:t xml:space="preserve"> équipement roue/pneumatique de secours à usage temporaire</w:t>
      </w:r>
      <w:r w:rsidRPr="00E608A9">
        <w:t xml:space="preserve"> </w:t>
      </w:r>
      <w:r w:rsidRPr="00E608A9">
        <w:rPr>
          <w:b/>
        </w:rPr>
        <w:t>système de surveillance de la pression des pneumatiques</w:t>
      </w:r>
      <w:r w:rsidRPr="00E608A9">
        <w:t>.</w:t>
      </w:r>
    </w:p>
    <w:p w:rsidR="00E608A9" w:rsidRPr="00E608A9" w:rsidRDefault="00E608A9" w:rsidP="006E4FAE">
      <w:pPr>
        <w:pStyle w:val="SingleTxt"/>
        <w:ind w:left="2218" w:hanging="951"/>
      </w:pPr>
      <w:r w:rsidRPr="00E608A9">
        <w:t>2.2</w:t>
      </w:r>
      <w:r w:rsidRPr="00E608A9">
        <w:tab/>
      </w:r>
      <w:r w:rsidRPr="00E608A9">
        <w:tab/>
      </w:r>
      <w:r w:rsidR="006E4FAE">
        <w:t>“</w:t>
      </w:r>
      <w:r w:rsidRPr="005011BF">
        <w:rPr>
          <w:b/>
          <w:i/>
        </w:rPr>
        <w:t>Type de</w:t>
      </w:r>
      <w:r w:rsidRPr="00E608A9">
        <w:rPr>
          <w:i/>
        </w:rPr>
        <w:t xml:space="preserve"> véhicule</w:t>
      </w:r>
      <w:r w:rsidRPr="00E608A9">
        <w:rPr>
          <w:b/>
          <w:i/>
        </w:rPr>
        <w:t xml:space="preserve"> pour ce qui concerne son système de surveillance de la pression des pneumatiques</w:t>
      </w:r>
      <w:r w:rsidR="006E4FAE">
        <w:t>”</w:t>
      </w:r>
      <w:r w:rsidRPr="00E608A9">
        <w:t>, les véhicules ne présentant pas entre eux de différences significatives concernant des aspects essentiels tels que</w:t>
      </w:r>
      <w:r w:rsidR="006E4FAE">
        <w:t> </w:t>
      </w:r>
      <w:r w:rsidRPr="00E608A9">
        <w:t>:</w:t>
      </w:r>
    </w:p>
    <w:p w:rsidR="00E608A9" w:rsidRPr="001024F3" w:rsidRDefault="00E608A9" w:rsidP="006E4FAE">
      <w:pPr>
        <w:pStyle w:val="SingleTxt"/>
        <w:ind w:left="2218" w:hanging="951"/>
        <w:rPr>
          <w:strike/>
        </w:rPr>
      </w:pPr>
      <w:r w:rsidRPr="001024F3">
        <w:rPr>
          <w:strike/>
        </w:rPr>
        <w:t>2.2.2</w:t>
      </w:r>
      <w:r w:rsidRPr="001024F3">
        <w:rPr>
          <w:strike/>
        </w:rPr>
        <w:tab/>
      </w:r>
      <w:r w:rsidRPr="001024F3">
        <w:rPr>
          <w:strike/>
        </w:rPr>
        <w:tab/>
      </w:r>
      <w:r w:rsidR="006E4FAE" w:rsidRPr="001024F3">
        <w:rPr>
          <w:strike/>
        </w:rPr>
        <w:t>“</w:t>
      </w:r>
      <w:r w:rsidRPr="001024F3">
        <w:rPr>
          <w:i/>
          <w:strike/>
        </w:rPr>
        <w:t>Type de véhicule pour ce qui concerne son système de surveillance de la pression des pneumatiques</w:t>
      </w:r>
      <w:r w:rsidR="006E4FAE" w:rsidRPr="001024F3">
        <w:rPr>
          <w:strike/>
        </w:rPr>
        <w:t>”</w:t>
      </w:r>
      <w:r w:rsidR="001024F3" w:rsidRPr="001024F3">
        <w:rPr>
          <w:i/>
          <w:strike/>
        </w:rPr>
        <w:t> </w:t>
      </w:r>
      <w:r w:rsidR="001024F3" w:rsidRPr="005011BF">
        <w:rPr>
          <w:strike/>
        </w:rPr>
        <w:t>:</w:t>
      </w:r>
    </w:p>
    <w:p w:rsidR="00E608A9" w:rsidRPr="00E608A9" w:rsidRDefault="00D058A4" w:rsidP="00E608A9">
      <w:pPr>
        <w:pStyle w:val="SingleTxt"/>
      </w:pPr>
      <w:r w:rsidRPr="00D058A4">
        <w:rPr>
          <w:strike/>
        </w:rPr>
        <w:t>2.2.2.1</w:t>
      </w:r>
      <w:r>
        <w:tab/>
      </w:r>
      <w:r w:rsidR="00E608A9" w:rsidRPr="00E608A9">
        <w:rPr>
          <w:b/>
        </w:rPr>
        <w:t>a)</w:t>
      </w:r>
      <w:r w:rsidR="00E608A9" w:rsidRPr="00E608A9">
        <w:tab/>
        <w:t>Le nom ou le marque du constructeur;</w:t>
      </w:r>
    </w:p>
    <w:p w:rsidR="00E608A9" w:rsidRPr="00E608A9" w:rsidRDefault="00E608A9" w:rsidP="00D058A4">
      <w:pPr>
        <w:pStyle w:val="SingleTxt"/>
        <w:ind w:left="2693" w:hanging="1426"/>
      </w:pPr>
      <w:r w:rsidRPr="00D058A4">
        <w:rPr>
          <w:strike/>
        </w:rPr>
        <w:t>2.2.2.2</w:t>
      </w:r>
      <w:r w:rsidRPr="00E608A9">
        <w:tab/>
      </w:r>
      <w:r w:rsidRPr="00E608A9">
        <w:rPr>
          <w:b/>
        </w:rPr>
        <w:t>b)</w:t>
      </w:r>
      <w:r w:rsidRPr="00E608A9">
        <w:tab/>
        <w:t>Les dispositifs du véhicule qui influent significativement sur les performances du système de surveillance de la pression des pneumatiques;</w:t>
      </w:r>
    </w:p>
    <w:p w:rsidR="00E608A9" w:rsidRPr="00E608A9" w:rsidRDefault="00E608A9" w:rsidP="00D058A4">
      <w:pPr>
        <w:pStyle w:val="SingleTxt"/>
        <w:ind w:left="2693" w:hanging="1426"/>
      </w:pPr>
      <w:r w:rsidRPr="00D058A4">
        <w:rPr>
          <w:strike/>
        </w:rPr>
        <w:t>2.2.2.3</w:t>
      </w:r>
      <w:r w:rsidR="00D058A4">
        <w:tab/>
      </w:r>
      <w:r w:rsidRPr="00E608A9">
        <w:rPr>
          <w:b/>
        </w:rPr>
        <w:t>c)</w:t>
      </w:r>
      <w:r w:rsidRPr="00E608A9">
        <w:tab/>
        <w:t>L</w:t>
      </w:r>
      <w:r w:rsidRPr="00D058A4">
        <w:rPr>
          <w:strike/>
        </w:rPr>
        <w:t>e type et l</w:t>
      </w:r>
      <w:r w:rsidRPr="00D058A4">
        <w:t xml:space="preserve">a </w:t>
      </w:r>
      <w:r w:rsidRPr="00E608A9">
        <w:t>conception du système de surveillance de la pression des pneumatiques.</w:t>
      </w:r>
    </w:p>
    <w:p w:rsidR="00E608A9" w:rsidRPr="00E608A9" w:rsidRDefault="00E608A9" w:rsidP="00E608A9">
      <w:pPr>
        <w:pStyle w:val="SingleTxt"/>
      </w:pPr>
      <w:r w:rsidRPr="00E608A9">
        <w:t>2.3</w:t>
      </w:r>
      <w:r w:rsidRPr="00E608A9">
        <w:tab/>
      </w:r>
      <w:r w:rsidRPr="00E608A9">
        <w:tab/>
      </w:r>
      <w:r w:rsidR="00FE0668">
        <w:t>“</w:t>
      </w:r>
      <w:r w:rsidRPr="00E608A9">
        <w:rPr>
          <w:i/>
        </w:rPr>
        <w:t>Roue</w:t>
      </w:r>
      <w:r w:rsidR="00FE0668">
        <w:t>”</w:t>
      </w:r>
      <w:r w:rsidRPr="00E608A9">
        <w:t>, une roue complète composée d’une jante et d’un voile de roue.</w:t>
      </w:r>
    </w:p>
    <w:p w:rsidR="00E608A9" w:rsidRPr="00E608A9" w:rsidRDefault="00E608A9" w:rsidP="00FE0668">
      <w:pPr>
        <w:pStyle w:val="SingleTxt"/>
        <w:ind w:left="2218" w:hanging="951"/>
      </w:pPr>
      <w:r w:rsidRPr="00E608A9">
        <w:t>2.4</w:t>
      </w:r>
      <w:r w:rsidRPr="00E608A9">
        <w:tab/>
      </w:r>
      <w:r w:rsidRPr="00E608A9">
        <w:tab/>
      </w:r>
      <w:r w:rsidR="00FE0668">
        <w:t>“</w:t>
      </w:r>
      <w:r w:rsidRPr="00E608A9">
        <w:rPr>
          <w:i/>
        </w:rPr>
        <w:t>Pneumatique</w:t>
      </w:r>
      <w:r w:rsidR="00FE0668">
        <w:t>”</w:t>
      </w:r>
      <w:r w:rsidRPr="00E608A9">
        <w:t>, un pneumatique constitué d’une enveloppe souple renforcée qui contient, ou qui forme avec la roue sur laquelle elle est montée, une chambre fermée continue, de forme sensiblement toroïdale, renfermant un gaz (généralement de l’air) ou un gaz et un liquide, qui est normalement conçu pour être utilisé à une pression supérieure à la pression atmosphérique.</w:t>
      </w:r>
      <w:r w:rsidRPr="009E4194">
        <w:rPr>
          <w:strike/>
        </w:rPr>
        <w:t xml:space="preserve"> Il peut s’agir</w:t>
      </w:r>
      <w:r w:rsidR="009E4194" w:rsidRPr="009E4194">
        <w:rPr>
          <w:strike/>
        </w:rPr>
        <w:t> </w:t>
      </w:r>
      <w:r w:rsidRPr="009E4194">
        <w:rPr>
          <w:strike/>
        </w:rPr>
        <w:t>:</w:t>
      </w:r>
    </w:p>
    <w:p w:rsidR="00E608A9" w:rsidRPr="00457BEC" w:rsidRDefault="00E608A9" w:rsidP="009E4194">
      <w:pPr>
        <w:pStyle w:val="SingleTxt"/>
        <w:ind w:left="2218" w:hanging="951"/>
        <w:rPr>
          <w:strike/>
        </w:rPr>
      </w:pPr>
      <w:r w:rsidRPr="00457BEC">
        <w:rPr>
          <w:strike/>
        </w:rPr>
        <w:t>2.4.1</w:t>
      </w:r>
      <w:r w:rsidRPr="00457BEC">
        <w:rPr>
          <w:strike/>
        </w:rPr>
        <w:tab/>
      </w:r>
      <w:r w:rsidRPr="00457BEC">
        <w:rPr>
          <w:strike/>
        </w:rPr>
        <w:tab/>
        <w:t xml:space="preserve">D’un </w:t>
      </w:r>
      <w:r w:rsidR="009E4194" w:rsidRPr="00457BEC">
        <w:rPr>
          <w:strike/>
        </w:rPr>
        <w:t>“</w:t>
      </w:r>
      <w:r w:rsidRPr="00457BEC">
        <w:rPr>
          <w:i/>
          <w:strike/>
        </w:rPr>
        <w:t>pneumatique normal</w:t>
      </w:r>
      <w:r w:rsidR="009E4194" w:rsidRPr="00457BEC">
        <w:rPr>
          <w:strike/>
        </w:rPr>
        <w:t>”</w:t>
      </w:r>
      <w:r w:rsidRPr="00457BEC">
        <w:rPr>
          <w:strike/>
        </w:rPr>
        <w:t>, c’est à dire un pneumatique qui satisfait à toutes les conditions d’utilisation normales sur route.</w:t>
      </w:r>
    </w:p>
    <w:p w:rsidR="00E608A9" w:rsidRPr="00457BEC" w:rsidRDefault="00E608A9" w:rsidP="00457BEC">
      <w:pPr>
        <w:pStyle w:val="SingleTxt"/>
        <w:ind w:left="2218" w:hanging="951"/>
        <w:rPr>
          <w:strike/>
        </w:rPr>
      </w:pPr>
      <w:r w:rsidRPr="00457BEC">
        <w:rPr>
          <w:strike/>
        </w:rPr>
        <w:t>2.5</w:t>
      </w:r>
      <w:r w:rsidR="00457BEC" w:rsidRPr="00457BEC">
        <w:rPr>
          <w:strike/>
        </w:rPr>
        <w:tab/>
      </w:r>
      <w:r w:rsidRPr="00457BEC">
        <w:rPr>
          <w:strike/>
        </w:rPr>
        <w:tab/>
      </w:r>
      <w:r w:rsidR="00457BEC" w:rsidRPr="00457BEC">
        <w:rPr>
          <w:strike/>
        </w:rPr>
        <w:t>“</w:t>
      </w:r>
      <w:r w:rsidRPr="00457BEC">
        <w:rPr>
          <w:strike/>
        </w:rPr>
        <w:t>F</w:t>
      </w:r>
      <w:r w:rsidRPr="00457BEC">
        <w:rPr>
          <w:i/>
          <w:strike/>
        </w:rPr>
        <w:t>onctions de base d’un pneumatique</w:t>
      </w:r>
      <w:r w:rsidR="00457BEC" w:rsidRPr="00457BEC">
        <w:rPr>
          <w:strike/>
        </w:rPr>
        <w:t>”</w:t>
      </w:r>
      <w:r w:rsidRPr="00457BEC">
        <w:rPr>
          <w:strike/>
        </w:rPr>
        <w:t>, la capacité normale d’un pneumatique gonflé à supporter une charge donnée jusqu’à une vitesse donnée et à transmettre les forces d’entraînement, de direction et de freinage au sol sur lequel il roule.</w:t>
      </w:r>
    </w:p>
    <w:p w:rsidR="00E608A9" w:rsidRPr="004D75EF" w:rsidRDefault="00E608A9" w:rsidP="004D75EF">
      <w:pPr>
        <w:pStyle w:val="SingleTxt"/>
        <w:ind w:left="2218" w:hanging="951"/>
        <w:rPr>
          <w:strike/>
        </w:rPr>
      </w:pPr>
      <w:r w:rsidRPr="004D75EF">
        <w:rPr>
          <w:strike/>
        </w:rPr>
        <w:t>2.6</w:t>
      </w:r>
      <w:r w:rsidRPr="004D75EF">
        <w:rPr>
          <w:strike/>
        </w:rPr>
        <w:tab/>
      </w:r>
      <w:r w:rsidR="004D75EF" w:rsidRPr="004D75EF">
        <w:rPr>
          <w:strike/>
        </w:rPr>
        <w:tab/>
        <w:t>“</w:t>
      </w:r>
      <w:r w:rsidRPr="004D75EF">
        <w:rPr>
          <w:i/>
          <w:strike/>
        </w:rPr>
        <w:t>Dimensions d’un pneumatique</w:t>
      </w:r>
      <w:r w:rsidR="004D75EF" w:rsidRPr="004D75EF">
        <w:rPr>
          <w:strike/>
        </w:rPr>
        <w:t>”</w:t>
      </w:r>
      <w:r w:rsidRPr="004D75EF">
        <w:rPr>
          <w:strike/>
        </w:rPr>
        <w:t>, un ensemble de chiffres qui indiquent sans ambiguïté les dimensions géométriques du pneumatique, à savoir la grosseur nominale de boudin, le rapport nominal hauteur/largeur, et le diamètre nominal. On trouvera des définitions précises de ces caractéristiques dans le Règlement</w:t>
      </w:r>
      <w:r w:rsidR="004D75EF" w:rsidRPr="004D75EF">
        <w:rPr>
          <w:strike/>
        </w:rPr>
        <w:t xml:space="preserve"> n</w:t>
      </w:r>
      <w:r w:rsidR="004D75EF" w:rsidRPr="004D75EF">
        <w:rPr>
          <w:strike/>
          <w:vertAlign w:val="superscript"/>
        </w:rPr>
        <w:t>o</w:t>
      </w:r>
      <w:r w:rsidR="004D75EF" w:rsidRPr="004D75EF">
        <w:rPr>
          <w:strike/>
        </w:rPr>
        <w:t> </w:t>
      </w:r>
      <w:r w:rsidRPr="004D75EF">
        <w:rPr>
          <w:strike/>
        </w:rPr>
        <w:t>30.</w:t>
      </w:r>
    </w:p>
    <w:p w:rsidR="00E608A9" w:rsidRPr="00117A14" w:rsidRDefault="00E608A9" w:rsidP="00117A14">
      <w:pPr>
        <w:pStyle w:val="SingleTxt"/>
        <w:ind w:left="2218" w:hanging="951"/>
        <w:rPr>
          <w:strike/>
        </w:rPr>
      </w:pPr>
      <w:r w:rsidRPr="00117A14">
        <w:rPr>
          <w:strike/>
        </w:rPr>
        <w:t>2.7</w:t>
      </w:r>
      <w:r w:rsidRPr="00117A14">
        <w:rPr>
          <w:strike/>
        </w:rPr>
        <w:tab/>
      </w:r>
      <w:r w:rsidRPr="00117A14">
        <w:rPr>
          <w:strike/>
        </w:rPr>
        <w:tab/>
        <w:t>“</w:t>
      </w:r>
      <w:r w:rsidRPr="00117A14">
        <w:rPr>
          <w:i/>
          <w:strike/>
        </w:rPr>
        <w:t>Structure du pneumatique</w:t>
      </w:r>
      <w:r w:rsidR="00117A14" w:rsidRPr="00117A14">
        <w:rPr>
          <w:strike/>
        </w:rPr>
        <w:t>”</w:t>
      </w:r>
      <w:r w:rsidRPr="00117A14">
        <w:rPr>
          <w:strike/>
        </w:rPr>
        <w:t xml:space="preserve">, les caractéristiques techniques de la structure du pneumatique. Il peut s’agir d’une structure diagonale, diagonale </w:t>
      </w:r>
      <w:r w:rsidRPr="00117A14">
        <w:rPr>
          <w:strike/>
        </w:rPr>
        <w:lastRenderedPageBreak/>
        <w:t xml:space="preserve">ceinturée, radiale ou pour roulage à plat, conformément aux définitions du Règlement </w:t>
      </w:r>
      <w:r w:rsidR="00117A14" w:rsidRPr="00117A14">
        <w:rPr>
          <w:strike/>
        </w:rPr>
        <w:t>n</w:t>
      </w:r>
      <w:r w:rsidR="00117A14" w:rsidRPr="00117A14">
        <w:rPr>
          <w:strike/>
          <w:vertAlign w:val="superscript"/>
        </w:rPr>
        <w:t>o</w:t>
      </w:r>
      <w:r w:rsidR="00117A14" w:rsidRPr="00117A14">
        <w:rPr>
          <w:strike/>
        </w:rPr>
        <w:t> </w:t>
      </w:r>
      <w:r w:rsidRPr="00117A14">
        <w:rPr>
          <w:strike/>
        </w:rPr>
        <w:t>30.</w:t>
      </w:r>
    </w:p>
    <w:p w:rsidR="00E608A9" w:rsidRPr="00E608A9" w:rsidRDefault="00E608A9" w:rsidP="007C3D62">
      <w:pPr>
        <w:pStyle w:val="SingleTxt"/>
        <w:ind w:left="2218" w:hanging="951"/>
      </w:pPr>
      <w:r w:rsidRPr="007C3D62">
        <w:rPr>
          <w:strike/>
        </w:rPr>
        <w:t>2.8</w:t>
      </w:r>
      <w:r w:rsidRPr="00E608A9">
        <w:t xml:space="preserve"> </w:t>
      </w:r>
      <w:r w:rsidRPr="00E608A9">
        <w:rPr>
          <w:b/>
        </w:rPr>
        <w:t>2.5</w:t>
      </w:r>
      <w:r w:rsidR="007C3D62">
        <w:tab/>
      </w:r>
      <w:r w:rsidRPr="00E608A9">
        <w:t>“</w:t>
      </w:r>
      <w:r w:rsidRPr="00E608A9">
        <w:rPr>
          <w:i/>
        </w:rPr>
        <w:t>Masse maximale</w:t>
      </w:r>
      <w:r w:rsidR="007C3D62">
        <w:t>”</w:t>
      </w:r>
      <w:r w:rsidRPr="00E608A9">
        <w:t xml:space="preserve">, la valeur maximale du véhicule déclarée techniquement admissible par le constructeur (elle peut être supérieure à la </w:t>
      </w:r>
      <w:r w:rsidR="007C3D62">
        <w:t>“</w:t>
      </w:r>
      <w:r w:rsidRPr="00E608A9">
        <w:t>masse maximale admissible</w:t>
      </w:r>
      <w:r w:rsidR="007C3D62">
        <w:t>”</w:t>
      </w:r>
      <w:r w:rsidRPr="00E608A9">
        <w:t xml:space="preserve"> fixée par l’administration nationale).</w:t>
      </w:r>
    </w:p>
    <w:p w:rsidR="00E608A9" w:rsidRPr="00E608A9" w:rsidRDefault="00E608A9" w:rsidP="007C3D62">
      <w:pPr>
        <w:pStyle w:val="SingleTxt"/>
        <w:ind w:left="2218" w:hanging="951"/>
      </w:pPr>
      <w:r w:rsidRPr="007C3D62">
        <w:rPr>
          <w:strike/>
        </w:rPr>
        <w:t>2.9</w:t>
      </w:r>
      <w:r w:rsidRPr="00E608A9">
        <w:t xml:space="preserve"> </w:t>
      </w:r>
      <w:r w:rsidRPr="00E608A9">
        <w:rPr>
          <w:b/>
        </w:rPr>
        <w:t>2.6</w:t>
      </w:r>
      <w:r w:rsidRPr="00E608A9">
        <w:tab/>
        <w:t>“</w:t>
      </w:r>
      <w:r w:rsidRPr="00E608A9">
        <w:rPr>
          <w:i/>
        </w:rPr>
        <w:t>Charge maximale par essieu</w:t>
      </w:r>
      <w:r w:rsidR="007C3D62">
        <w:rPr>
          <w:i/>
        </w:rPr>
        <w:t>”</w:t>
      </w:r>
      <w:r w:rsidRPr="00E608A9">
        <w:t>, la valeur maximale, telle qu’elle est déclarée par le constructeur, de la force verticale totale s’exerçant entre les surfaces de contact des pneus ou les chenilles d’un essieu et le sol et résultant de la partie de la masse du véhicule que supporte cet essieu; cette cha</w:t>
      </w:r>
      <w:r w:rsidR="007C3D62">
        <w:t>rge peut être supérieure à la “</w:t>
      </w:r>
      <w:r w:rsidRPr="00E608A9">
        <w:t>charge par essieu autorisée</w:t>
      </w:r>
      <w:r w:rsidR="007C3D62">
        <w:t>”</w:t>
      </w:r>
      <w:r w:rsidRPr="00E608A9">
        <w:t xml:space="preserve"> fixée par l’administration nationale. La somme des charges par essieu peut être supérieure à la valeur correspondant à la masse totale du véhicule.</w:t>
      </w:r>
    </w:p>
    <w:p w:rsidR="00E608A9" w:rsidRPr="00E608A9" w:rsidRDefault="00E608A9" w:rsidP="00FB36B8">
      <w:pPr>
        <w:pStyle w:val="SingleTxt"/>
        <w:ind w:left="2218" w:hanging="951"/>
      </w:pPr>
      <w:r w:rsidRPr="00FB36B8">
        <w:rPr>
          <w:strike/>
        </w:rPr>
        <w:t>2.10</w:t>
      </w:r>
      <w:r w:rsidRPr="00FB36B8">
        <w:t xml:space="preserve"> </w:t>
      </w:r>
      <w:r w:rsidRPr="00E608A9">
        <w:rPr>
          <w:b/>
        </w:rPr>
        <w:t>2.7</w:t>
      </w:r>
      <w:r w:rsidR="00FB36B8">
        <w:tab/>
        <w:t>“</w:t>
      </w:r>
      <w:r w:rsidRPr="00E608A9">
        <w:rPr>
          <w:i/>
        </w:rPr>
        <w:t>Système de surveillance de la pression des pneumatiques (TPMS)</w:t>
      </w:r>
      <w:r w:rsidR="00FB36B8">
        <w:t>”</w:t>
      </w:r>
      <w:r w:rsidRPr="00E608A9">
        <w:t>, un système monté sur un véhicule, capable d’assumer une fonction d’évaluation de la pression de gonflage des pneumatiques ou de la variation de cette pression dans le temps et de transmettre les renseignements correspondants à l’usager pendant que le véhicule roule.</w:t>
      </w:r>
    </w:p>
    <w:p w:rsidR="00E608A9" w:rsidRPr="00E608A9" w:rsidRDefault="00E608A9" w:rsidP="00FB36B8">
      <w:pPr>
        <w:pStyle w:val="SingleTxt"/>
        <w:ind w:left="2218" w:hanging="951"/>
      </w:pPr>
      <w:r w:rsidRPr="00FB36B8">
        <w:rPr>
          <w:strike/>
        </w:rPr>
        <w:t>2.11</w:t>
      </w:r>
      <w:r w:rsidRPr="00FB36B8">
        <w:t xml:space="preserve"> </w:t>
      </w:r>
      <w:r w:rsidRPr="00E608A9">
        <w:rPr>
          <w:b/>
        </w:rPr>
        <w:t>2.8</w:t>
      </w:r>
      <w:r w:rsidR="00FB36B8">
        <w:tab/>
        <w:t>“</w:t>
      </w:r>
      <w:r w:rsidRPr="00E608A9">
        <w:rPr>
          <w:i/>
        </w:rPr>
        <w:t>Pression de gonflage à froid du pneumatique</w:t>
      </w:r>
      <w:r w:rsidR="00FB36B8">
        <w:t>”</w:t>
      </w:r>
      <w:r w:rsidRPr="00E608A9">
        <w:t>, la pression du pneumatique à température ambiante en l’absence de toute montée en pression due à l’utilisation du pneumatique.</w:t>
      </w:r>
    </w:p>
    <w:p w:rsidR="00E608A9" w:rsidRPr="00E608A9" w:rsidRDefault="00E608A9" w:rsidP="00FB36B8">
      <w:pPr>
        <w:pStyle w:val="SingleTxt"/>
        <w:ind w:left="2218" w:hanging="951"/>
      </w:pPr>
      <w:r w:rsidRPr="00FB36B8">
        <w:rPr>
          <w:strike/>
        </w:rPr>
        <w:t>2.12</w:t>
      </w:r>
      <w:r w:rsidRPr="00FB36B8">
        <w:t xml:space="preserve"> </w:t>
      </w:r>
      <w:r w:rsidRPr="00E608A9">
        <w:rPr>
          <w:b/>
        </w:rPr>
        <w:t>2.9</w:t>
      </w:r>
      <w:r w:rsidR="00FB36B8">
        <w:tab/>
        <w:t>“</w:t>
      </w:r>
      <w:r w:rsidRPr="00E608A9">
        <w:rPr>
          <w:i/>
        </w:rPr>
        <w:t>Pression de gonflage à froid recommandée (P</w:t>
      </w:r>
      <w:r w:rsidRPr="00E608A9">
        <w:rPr>
          <w:i/>
          <w:vertAlign w:val="subscript"/>
        </w:rPr>
        <w:t>rec</w:t>
      </w:r>
      <w:r w:rsidRPr="00E608A9">
        <w:rPr>
          <w:i/>
        </w:rPr>
        <w:t>)</w:t>
      </w:r>
      <w:r w:rsidR="00FB36B8">
        <w:t>”</w:t>
      </w:r>
      <w:r w:rsidRPr="00E608A9">
        <w:t>, la pression recommandée par le constructeur du véhicule pour chacune des positions des pneumatiques, pour les conditions de service prévues (par exemple, vitesse et charge) du véhicule donné, tel que défini sur la plaque-étiquette et/ou dans le manuel destiné au propriétaire du véhicule.</w:t>
      </w:r>
    </w:p>
    <w:p w:rsidR="00E608A9" w:rsidRPr="00E608A9" w:rsidRDefault="00E608A9" w:rsidP="00FB36B8">
      <w:pPr>
        <w:pStyle w:val="SingleTxt"/>
        <w:ind w:left="2218" w:hanging="951"/>
      </w:pPr>
      <w:r w:rsidRPr="00FB36B8">
        <w:rPr>
          <w:strike/>
        </w:rPr>
        <w:t>2.13</w:t>
      </w:r>
      <w:r w:rsidRPr="00FB36B8">
        <w:t xml:space="preserve"> </w:t>
      </w:r>
      <w:r w:rsidRPr="00E608A9">
        <w:rPr>
          <w:b/>
        </w:rPr>
        <w:t>2.10</w:t>
      </w:r>
      <w:r w:rsidR="00FB36B8">
        <w:tab/>
        <w:t>“</w:t>
      </w:r>
      <w:r w:rsidRPr="00E608A9">
        <w:rPr>
          <w:i/>
        </w:rPr>
        <w:t>Pression d’utilisation (P</w:t>
      </w:r>
      <w:r w:rsidRPr="00E608A9">
        <w:rPr>
          <w:i/>
          <w:vertAlign w:val="subscript"/>
        </w:rPr>
        <w:t>warm</w:t>
      </w:r>
      <w:r w:rsidRPr="00E608A9">
        <w:rPr>
          <w:i/>
        </w:rPr>
        <w:t>)</w:t>
      </w:r>
      <w:r w:rsidR="00FB36B8">
        <w:t>”</w:t>
      </w:r>
      <w:r w:rsidRPr="00E608A9">
        <w:t>, la pression de gonflage pour chacune des positions des pneumatiques, supérieure à la pression à froid (P</w:t>
      </w:r>
      <w:r w:rsidRPr="00E608A9">
        <w:rPr>
          <w:vertAlign w:val="subscript"/>
        </w:rPr>
        <w:t>rec</w:t>
      </w:r>
      <w:r w:rsidRPr="00E608A9">
        <w:t>) du fait des effets de la température lors de l’utilisation du véhicule.</w:t>
      </w:r>
    </w:p>
    <w:p w:rsidR="00E608A9" w:rsidRPr="00E608A9" w:rsidRDefault="00E608A9" w:rsidP="00990A89">
      <w:pPr>
        <w:pStyle w:val="SingleTxt"/>
        <w:ind w:left="2218" w:hanging="951"/>
      </w:pPr>
      <w:r w:rsidRPr="00990A89">
        <w:rPr>
          <w:strike/>
        </w:rPr>
        <w:t>2.14</w:t>
      </w:r>
      <w:r w:rsidRPr="00FB36B8">
        <w:t xml:space="preserve"> </w:t>
      </w:r>
      <w:r w:rsidRPr="00E608A9">
        <w:rPr>
          <w:b/>
        </w:rPr>
        <w:t>2.11</w:t>
      </w:r>
      <w:r w:rsidR="00990A89">
        <w:tab/>
        <w:t>“</w:t>
      </w:r>
      <w:r w:rsidRPr="00E608A9">
        <w:rPr>
          <w:i/>
        </w:rPr>
        <w:t>Pression d’essai (P</w:t>
      </w:r>
      <w:r w:rsidRPr="00E608A9">
        <w:rPr>
          <w:i/>
          <w:vertAlign w:val="subscript"/>
        </w:rPr>
        <w:t>test</w:t>
      </w:r>
      <w:r w:rsidRPr="00E608A9">
        <w:rPr>
          <w:i/>
        </w:rPr>
        <w:t>)</w:t>
      </w:r>
      <w:r w:rsidR="00990A89">
        <w:t>”</w:t>
      </w:r>
      <w:r w:rsidRPr="00E608A9">
        <w:t>, la pression réelle à chaud du ou des pneumatiques choisis pour chacune des positions après dégonflage lors de la procédure d’essai.</w:t>
      </w:r>
    </w:p>
    <w:p w:rsidR="00E608A9" w:rsidRPr="001A2389" w:rsidRDefault="00E608A9" w:rsidP="00990A89">
      <w:pPr>
        <w:pStyle w:val="SingleTxt"/>
        <w:ind w:left="2218" w:hanging="951"/>
        <w:rPr>
          <w:strike/>
        </w:rPr>
      </w:pPr>
      <w:r w:rsidRPr="001A2389">
        <w:rPr>
          <w:strike/>
        </w:rPr>
        <w:t>2.15</w:t>
      </w:r>
      <w:r w:rsidRPr="001A2389">
        <w:rPr>
          <w:strike/>
        </w:rPr>
        <w:tab/>
      </w:r>
      <w:r w:rsidR="00990A89" w:rsidRPr="001A2389">
        <w:rPr>
          <w:strike/>
        </w:rPr>
        <w:tab/>
        <w:t>“</w:t>
      </w:r>
      <w:r w:rsidRPr="001A2389">
        <w:rPr>
          <w:i/>
          <w:strike/>
        </w:rPr>
        <w:t>Type des systèmes de surveillance de la pression des pneumatiques</w:t>
      </w:r>
      <w:r w:rsidR="00990A89" w:rsidRPr="001A2389">
        <w:rPr>
          <w:i/>
          <w:strike/>
        </w:rPr>
        <w:t>”</w:t>
      </w:r>
      <w:r w:rsidRPr="001A2389">
        <w:rPr>
          <w:strike/>
        </w:rPr>
        <w:t>, des systèmes qui ne diffèrent que peu en ce qui concerne des caractéristiques essentielles telles que</w:t>
      </w:r>
      <w:r w:rsidR="00990A89" w:rsidRPr="001A2389">
        <w:rPr>
          <w:strike/>
        </w:rPr>
        <w:t> </w:t>
      </w:r>
      <w:r w:rsidRPr="001A2389">
        <w:rPr>
          <w:strike/>
        </w:rPr>
        <w:t>:</w:t>
      </w:r>
    </w:p>
    <w:p w:rsidR="00E608A9" w:rsidRPr="001A2389" w:rsidRDefault="00E608A9" w:rsidP="00E608A9">
      <w:pPr>
        <w:pStyle w:val="SingleTxt"/>
        <w:rPr>
          <w:strike/>
        </w:rPr>
      </w:pPr>
      <w:r w:rsidRPr="001A2389">
        <w:rPr>
          <w:strike/>
        </w:rPr>
        <w:tab/>
      </w:r>
      <w:r w:rsidRPr="001A2389">
        <w:rPr>
          <w:strike/>
        </w:rPr>
        <w:tab/>
        <w:t>a)</w:t>
      </w:r>
      <w:r w:rsidRPr="001A2389">
        <w:rPr>
          <w:strike/>
        </w:rPr>
        <w:tab/>
        <w:t>Le principe de fonctionnement;</w:t>
      </w:r>
    </w:p>
    <w:p w:rsidR="00E608A9" w:rsidRDefault="00E608A9" w:rsidP="001A2389">
      <w:pPr>
        <w:pStyle w:val="SingleTxt"/>
        <w:ind w:left="2693" w:hanging="1426"/>
        <w:rPr>
          <w:strike/>
        </w:rPr>
      </w:pPr>
      <w:r w:rsidRPr="001A2389">
        <w:rPr>
          <w:strike/>
        </w:rPr>
        <w:tab/>
      </w:r>
      <w:r w:rsidRPr="001A2389">
        <w:rPr>
          <w:strike/>
        </w:rPr>
        <w:tab/>
        <w:t>(b)</w:t>
      </w:r>
      <w:r w:rsidRPr="001A2389">
        <w:rPr>
          <w:strike/>
        </w:rPr>
        <w:tab/>
        <w:t>Les composants susceptibles d’agir fortement sur l’efficacité du système, comme spécifié au paragraphe 5.3 du présent Règlement.</w:t>
      </w:r>
    </w:p>
    <w:p w:rsidR="001A2389" w:rsidRPr="001A2389" w:rsidRDefault="001A2389" w:rsidP="001A2389">
      <w:pPr>
        <w:pStyle w:val="SingleTxt"/>
        <w:spacing w:after="0" w:line="120" w:lineRule="exact"/>
        <w:ind w:left="2693" w:hanging="1426"/>
        <w:rPr>
          <w:sz w:val="10"/>
        </w:rPr>
      </w:pPr>
    </w:p>
    <w:p w:rsidR="001A2389" w:rsidRPr="001A2389" w:rsidRDefault="001A2389" w:rsidP="001A2389">
      <w:pPr>
        <w:pStyle w:val="SingleTxt"/>
        <w:spacing w:after="0" w:line="120" w:lineRule="exact"/>
        <w:ind w:left="2693" w:hanging="1426"/>
        <w:rPr>
          <w:sz w:val="10"/>
        </w:rPr>
      </w:pPr>
    </w:p>
    <w:p w:rsidR="00E608A9" w:rsidRDefault="00E608A9" w:rsidP="001A23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08A9">
        <w:tab/>
      </w:r>
      <w:r w:rsidRPr="00E608A9">
        <w:tab/>
        <w:t>3.</w:t>
      </w:r>
      <w:r w:rsidRPr="00E608A9">
        <w:tab/>
      </w:r>
      <w:r w:rsidRPr="00E608A9">
        <w:tab/>
        <w:t>Demande d’homologation</w:t>
      </w:r>
    </w:p>
    <w:p w:rsidR="001A2389" w:rsidRPr="001A2389" w:rsidRDefault="001A2389" w:rsidP="001A2389">
      <w:pPr>
        <w:pStyle w:val="SingleTxt"/>
        <w:spacing w:after="0" w:line="120" w:lineRule="exact"/>
        <w:rPr>
          <w:sz w:val="10"/>
        </w:rPr>
      </w:pPr>
    </w:p>
    <w:p w:rsidR="001A2389" w:rsidRPr="001A2389" w:rsidRDefault="001A2389" w:rsidP="001A2389">
      <w:pPr>
        <w:pStyle w:val="SingleTxt"/>
        <w:spacing w:after="0" w:line="120" w:lineRule="exact"/>
        <w:rPr>
          <w:sz w:val="10"/>
        </w:rPr>
      </w:pPr>
    </w:p>
    <w:p w:rsidR="00E608A9" w:rsidRPr="00E608A9" w:rsidRDefault="00E608A9" w:rsidP="00A26D5D">
      <w:pPr>
        <w:pStyle w:val="SingleTxt"/>
        <w:ind w:left="2218" w:hanging="951"/>
      </w:pPr>
      <w:r w:rsidRPr="00E608A9">
        <w:t>3.1</w:t>
      </w:r>
      <w:r w:rsidRPr="00E608A9">
        <w:tab/>
      </w:r>
      <w:r w:rsidRPr="00E608A9">
        <w:tab/>
        <w:t>La demande d’homologation d’un type de véhicule en ce qui concerne son système de surveillance de la pression des pneumatiques est présentée par le constructeur du véhicule ou son représentant dûment accrédité.</w:t>
      </w:r>
    </w:p>
    <w:p w:rsidR="00E608A9" w:rsidRPr="00E608A9" w:rsidRDefault="00E608A9" w:rsidP="00A26D5D">
      <w:pPr>
        <w:pStyle w:val="SingleTxt"/>
        <w:ind w:left="2218" w:hanging="951"/>
      </w:pPr>
      <w:r w:rsidRPr="00E608A9">
        <w:t>3.2</w:t>
      </w:r>
      <w:r w:rsidRPr="00E608A9">
        <w:tab/>
      </w:r>
      <w:r w:rsidRPr="00E608A9">
        <w:tab/>
        <w:t>Il est joint à la demande une description en trois exemplaires du type de véhicule comportant les renseignements spécifiés à l’annexe</w:t>
      </w:r>
      <w:r w:rsidR="00A26D5D">
        <w:t> </w:t>
      </w:r>
      <w:r w:rsidRPr="00E608A9">
        <w:t>1 du présent Règlement.</w:t>
      </w:r>
    </w:p>
    <w:p w:rsidR="00E608A9" w:rsidRPr="00E608A9" w:rsidRDefault="00E608A9" w:rsidP="00A26D5D">
      <w:pPr>
        <w:pStyle w:val="SingleTxt"/>
        <w:ind w:left="2218" w:hanging="951"/>
      </w:pPr>
      <w:r w:rsidRPr="00E608A9">
        <w:lastRenderedPageBreak/>
        <w:t>3.3</w:t>
      </w:r>
      <w:r w:rsidRPr="00E608A9">
        <w:tab/>
      </w:r>
      <w:r w:rsidRPr="00E608A9">
        <w:tab/>
        <w:t>Un véhicule représentatif du type de véhicule à homologuer est présenté à l’autorité d’homologation de type ou au service technique chargé des essais d’homologation.</w:t>
      </w:r>
    </w:p>
    <w:p w:rsidR="00E608A9" w:rsidRDefault="00E608A9" w:rsidP="00A26D5D">
      <w:pPr>
        <w:pStyle w:val="SingleTxt"/>
        <w:ind w:left="2218" w:hanging="951"/>
      </w:pPr>
      <w:r w:rsidRPr="00E608A9">
        <w:t>3.4</w:t>
      </w:r>
      <w:r w:rsidRPr="00E608A9">
        <w:tab/>
      </w:r>
      <w:r w:rsidR="00A26D5D">
        <w:tab/>
      </w:r>
      <w:r w:rsidRPr="00E608A9">
        <w:t>L’autorité d’homologation de type doit vérifier l’existence de dispositions satisfaisantes pour assurer un contrôle efficace de la conformité de production avant que ne soit accordée l’homologation du type.</w:t>
      </w:r>
    </w:p>
    <w:p w:rsidR="00A26D5D" w:rsidRPr="00A26D5D" w:rsidRDefault="00A26D5D" w:rsidP="00A26D5D">
      <w:pPr>
        <w:pStyle w:val="SingleTxt"/>
        <w:spacing w:after="0" w:line="120" w:lineRule="exact"/>
        <w:ind w:left="2218" w:hanging="951"/>
        <w:rPr>
          <w:sz w:val="10"/>
        </w:rPr>
      </w:pPr>
    </w:p>
    <w:p w:rsidR="00A26D5D" w:rsidRPr="00A26D5D" w:rsidRDefault="00A26D5D" w:rsidP="00A26D5D">
      <w:pPr>
        <w:pStyle w:val="SingleTxt"/>
        <w:spacing w:after="0" w:line="120" w:lineRule="exact"/>
        <w:ind w:left="2218" w:hanging="951"/>
        <w:rPr>
          <w:sz w:val="10"/>
        </w:rPr>
      </w:pPr>
    </w:p>
    <w:p w:rsidR="00E608A9" w:rsidRDefault="00E608A9" w:rsidP="00A26D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08A9">
        <w:tab/>
      </w:r>
      <w:r w:rsidRPr="00E608A9">
        <w:tab/>
        <w:t>4.</w:t>
      </w:r>
      <w:r w:rsidRPr="00E608A9">
        <w:tab/>
      </w:r>
      <w:r w:rsidRPr="00E608A9">
        <w:tab/>
        <w:t>Homologation</w:t>
      </w:r>
    </w:p>
    <w:p w:rsidR="00A26D5D" w:rsidRPr="00A26D5D" w:rsidRDefault="00A26D5D" w:rsidP="00A26D5D">
      <w:pPr>
        <w:pStyle w:val="SingleTxt"/>
        <w:spacing w:after="0" w:line="120" w:lineRule="exact"/>
        <w:rPr>
          <w:sz w:val="10"/>
        </w:rPr>
      </w:pPr>
    </w:p>
    <w:p w:rsidR="00A26D5D" w:rsidRPr="00A26D5D" w:rsidRDefault="00A26D5D" w:rsidP="00A26D5D">
      <w:pPr>
        <w:pStyle w:val="SingleTxt"/>
        <w:spacing w:after="0" w:line="120" w:lineRule="exact"/>
        <w:rPr>
          <w:sz w:val="10"/>
        </w:rPr>
      </w:pPr>
    </w:p>
    <w:p w:rsidR="00E608A9" w:rsidRPr="00E608A9" w:rsidRDefault="00E608A9" w:rsidP="00A26D5D">
      <w:pPr>
        <w:pStyle w:val="SingleTxt"/>
        <w:ind w:left="2218" w:hanging="951"/>
      </w:pPr>
      <w:r w:rsidRPr="00E608A9">
        <w:t>4.1</w:t>
      </w:r>
      <w:r w:rsidR="00A26D5D">
        <w:tab/>
      </w:r>
      <w:r w:rsidRPr="00E608A9">
        <w:tab/>
        <w:t>Si le véhicule présenté à l’homologation en application du présent Règlement satisfait aux prescriptions du paragraphe</w:t>
      </w:r>
      <w:r w:rsidR="00A26D5D">
        <w:t> </w:t>
      </w:r>
      <w:r w:rsidRPr="00E608A9">
        <w:t>5 ci-après, l’homologation pour ce type de véhicule est accordée.</w:t>
      </w:r>
    </w:p>
    <w:p w:rsidR="00E608A9" w:rsidRPr="00E608A9" w:rsidRDefault="00E608A9" w:rsidP="00A26D5D">
      <w:pPr>
        <w:pStyle w:val="SingleTxt"/>
        <w:ind w:left="2218" w:hanging="951"/>
      </w:pPr>
      <w:r w:rsidRPr="00E608A9">
        <w:t>4.2</w:t>
      </w:r>
      <w:r w:rsidRPr="00E608A9">
        <w:tab/>
      </w:r>
      <w:r w:rsidRPr="00E608A9">
        <w:tab/>
        <w:t xml:space="preserve">Chaque type homologué comporte l’attribution d’un numéro d’homologation dont les deux premiers chiffres (actuellement </w:t>
      </w:r>
      <w:r w:rsidRPr="00EB0295">
        <w:rPr>
          <w:strike/>
        </w:rPr>
        <w:t xml:space="preserve">02 </w:t>
      </w:r>
      <w:r w:rsidRPr="00E608A9">
        <w:rPr>
          <w:b/>
        </w:rPr>
        <w:t>00, ce</w:t>
      </w:r>
      <w:r w:rsidRPr="00E608A9">
        <w:t xml:space="preserve"> qui correspond </w:t>
      </w:r>
      <w:r w:rsidRPr="00EB0295">
        <w:rPr>
          <w:strike/>
        </w:rPr>
        <w:t xml:space="preserve">à la série 02 d’amendements </w:t>
      </w:r>
      <w:r w:rsidRPr="00E608A9">
        <w:rPr>
          <w:b/>
        </w:rPr>
        <w:t>à la version initiale du Règlement</w:t>
      </w:r>
      <w:r w:rsidRPr="00E608A9">
        <w:t>) indiquent la série d’amendements englobant les plus récentes modifications techniques majeures apportées au Règlement à la date de la délivrance de l’homologation. Une même Partie contractante ne peut pas attribuer ce numéro à un autre type de véhicule.</w:t>
      </w:r>
      <w:r w:rsidRPr="00EB0295">
        <w:rPr>
          <w:strike/>
        </w:rPr>
        <w:t xml:space="preserve"> Toutefois, les variantes d’une gamme de modèles, qui sont des catégories distinctes quant aux critères du paragraphe 2.2, peuvent être couvertes par la même homologation, à condition que les résultats des essais décrits aux paragraphes</w:t>
      </w:r>
      <w:r w:rsidR="00EB0295" w:rsidRPr="00EB0295">
        <w:rPr>
          <w:strike/>
        </w:rPr>
        <w:t> </w:t>
      </w:r>
      <w:r w:rsidRPr="00EB0295">
        <w:rPr>
          <w:strike/>
        </w:rPr>
        <w:t>5.2 et 5.3 ne présentent pas de différences sensibles.</w:t>
      </w:r>
    </w:p>
    <w:p w:rsidR="00E608A9" w:rsidRPr="00E608A9" w:rsidRDefault="00E608A9" w:rsidP="00B354F0">
      <w:pPr>
        <w:pStyle w:val="SingleTxt"/>
        <w:ind w:left="2218" w:hanging="951"/>
      </w:pPr>
      <w:r w:rsidRPr="00E608A9">
        <w:t>4.3</w:t>
      </w:r>
      <w:r w:rsidRPr="00E608A9">
        <w:tab/>
      </w:r>
      <w:r w:rsidRPr="00E608A9">
        <w:tab/>
        <w:t>L’homologation ou l’extension ou le refus d’homologation d’un type de véhicule en application du présent Règlement est communiqué aux Parties à l’Accord appliquant le présent Règlement, au moyen d’une fiche conforme au modèle visé à l’annexe 1 du présent Règlement.</w:t>
      </w:r>
    </w:p>
    <w:p w:rsidR="00E608A9" w:rsidRPr="00E608A9" w:rsidRDefault="00E608A9" w:rsidP="00B354F0">
      <w:pPr>
        <w:pStyle w:val="SingleTxt"/>
        <w:ind w:left="2218" w:hanging="951"/>
      </w:pPr>
      <w:r w:rsidRPr="00E608A9">
        <w:t>4.4</w:t>
      </w:r>
      <w:r w:rsidRPr="00E608A9">
        <w:tab/>
      </w:r>
      <w:r w:rsidR="00B354F0">
        <w:tab/>
      </w:r>
      <w:r w:rsidRPr="00E608A9">
        <w:t>Sur tout véhicule conforme à un type de véhicule homologué en application du présent Règlement, il est apposé de manière visible, en un endroit facilement accessible et indiqué sur la fiche d’homologation, une marque d’homologation internationale composée</w:t>
      </w:r>
      <w:r w:rsidR="00B354F0">
        <w:t> </w:t>
      </w:r>
      <w:r w:rsidRPr="00E608A9">
        <w:t>:</w:t>
      </w:r>
    </w:p>
    <w:p w:rsidR="00E608A9" w:rsidRPr="00E608A9" w:rsidRDefault="00E608A9" w:rsidP="00B354F0">
      <w:pPr>
        <w:pStyle w:val="SingleTxt"/>
        <w:ind w:left="2218" w:hanging="951"/>
      </w:pPr>
      <w:r w:rsidRPr="00E608A9">
        <w:t>4.4.1</w:t>
      </w:r>
      <w:r w:rsidR="00B354F0">
        <w:tab/>
      </w:r>
      <w:r w:rsidRPr="00E608A9">
        <w:tab/>
        <w:t>D’un cercle à l’intérieur duquel est placée la lettre “E</w:t>
      </w:r>
      <w:r w:rsidR="00B354F0">
        <w:t>”</w:t>
      </w:r>
      <w:r w:rsidRPr="00E608A9">
        <w:t>, suivie du numéro distinctif du pays qui a accordé l’homologation</w:t>
      </w:r>
      <w:r w:rsidR="00B354F0" w:rsidRPr="00681E37">
        <w:rPr>
          <w:rStyle w:val="FootnoteReference"/>
        </w:rPr>
        <w:footnoteReference w:id="3"/>
      </w:r>
      <w:r w:rsidRPr="00E608A9">
        <w:t>;</w:t>
      </w:r>
    </w:p>
    <w:p w:rsidR="00E608A9" w:rsidRPr="00427C0A" w:rsidRDefault="00E608A9" w:rsidP="00B354F0">
      <w:pPr>
        <w:pStyle w:val="SingleTxt"/>
        <w:ind w:left="2218" w:hanging="951"/>
      </w:pPr>
      <w:r w:rsidRPr="00427C0A">
        <w:t>4.4.2</w:t>
      </w:r>
      <w:r w:rsidRPr="00427C0A">
        <w:tab/>
      </w:r>
      <w:r w:rsidR="00B354F0" w:rsidRPr="00427C0A">
        <w:tab/>
      </w:r>
      <w:r w:rsidRPr="00427C0A">
        <w:t xml:space="preserve">Du numéro du présent </w:t>
      </w:r>
      <w:r w:rsidR="00B354F0" w:rsidRPr="00427C0A">
        <w:t>Règlement, suivi de la lettre “</w:t>
      </w:r>
      <w:r w:rsidRPr="00427C0A">
        <w:t>R</w:t>
      </w:r>
      <w:r w:rsidR="00B354F0" w:rsidRPr="00427C0A">
        <w:t>”</w:t>
      </w:r>
      <w:r w:rsidRPr="00427C0A">
        <w:t>, d’un tiret et du numéro d’homologation, placé à la droite du marquag</w:t>
      </w:r>
      <w:r w:rsidR="00B354F0" w:rsidRPr="00427C0A">
        <w:t>e prévu au paragraphe</w:t>
      </w:r>
      <w:r w:rsidR="00427C0A">
        <w:t> </w:t>
      </w:r>
      <w:r w:rsidRPr="00427C0A">
        <w:t>4.4.1.</w:t>
      </w:r>
    </w:p>
    <w:p w:rsidR="00E608A9" w:rsidRPr="00E608A9" w:rsidRDefault="00E608A9" w:rsidP="00B354F0">
      <w:pPr>
        <w:pStyle w:val="SingleTxt"/>
        <w:ind w:left="2218" w:hanging="951"/>
      </w:pPr>
      <w:r w:rsidRPr="00E608A9">
        <w:t>4.5</w:t>
      </w:r>
      <w:r w:rsidRPr="00E608A9">
        <w:tab/>
      </w:r>
      <w:r w:rsidR="00B354F0">
        <w:tab/>
      </w:r>
      <w:r w:rsidRPr="00E608A9">
        <w:t>Si le véhicule est conforme à un type de véhicule homologué, en application d’un ou de plusieurs autres Règlements joints en annexe à l’Accord, dans le pays même qui a accordé l’homologation en application du présent Règlement, il n’est pas nécessaire de répéter le symbole prescrit au paragraphe</w:t>
      </w:r>
      <w:r w:rsidR="005B476B">
        <w:t> </w:t>
      </w:r>
      <w:r w:rsidRPr="00E608A9">
        <w:t>4.4.1; en pareil cas, les numéros de Règlement et d’homologation et les symboles additionnels pour tous les Règlements pour lesquels l’homologation a été accordée dans le pays qui a accordé l’homologation en application du présent Règlement sont inscrits l’un au-dessous de l’autre, à droite du symbole prescrit au paragraphe 4.4.1.</w:t>
      </w:r>
    </w:p>
    <w:p w:rsidR="00E608A9" w:rsidRPr="00E608A9" w:rsidRDefault="00E608A9" w:rsidP="00E608A9">
      <w:pPr>
        <w:pStyle w:val="SingleTxt"/>
      </w:pPr>
      <w:r w:rsidRPr="00E608A9">
        <w:t>4.6</w:t>
      </w:r>
      <w:r w:rsidR="005B476B">
        <w:tab/>
      </w:r>
      <w:r w:rsidRPr="00E608A9">
        <w:tab/>
        <w:t>La marque d’homologation doit être nettement lisible et indélébile.</w:t>
      </w:r>
    </w:p>
    <w:p w:rsidR="00E608A9" w:rsidRPr="00E608A9" w:rsidRDefault="00E608A9" w:rsidP="0090294A">
      <w:pPr>
        <w:pStyle w:val="SingleTxt"/>
        <w:ind w:left="2218" w:hanging="951"/>
      </w:pPr>
      <w:r w:rsidRPr="00E608A9">
        <w:lastRenderedPageBreak/>
        <w:t>4.7</w:t>
      </w:r>
      <w:r w:rsidRPr="00E608A9">
        <w:tab/>
      </w:r>
      <w:r w:rsidR="0090294A">
        <w:tab/>
      </w:r>
      <w:r w:rsidRPr="00E608A9">
        <w:t>La marque d’homologation est placée sur la plaque signalétique du véhicule apposée par le constructeur ou à proximité de celle-ci.</w:t>
      </w:r>
    </w:p>
    <w:p w:rsidR="00E608A9" w:rsidRPr="00EB550E" w:rsidRDefault="00E608A9" w:rsidP="0090294A">
      <w:pPr>
        <w:pStyle w:val="SingleTxt"/>
        <w:ind w:left="2218" w:hanging="951"/>
      </w:pPr>
      <w:r w:rsidRPr="00EB550E">
        <w:t>4.8</w:t>
      </w:r>
      <w:r w:rsidR="0090294A" w:rsidRPr="00EB550E">
        <w:tab/>
      </w:r>
      <w:r w:rsidRPr="00EB550E">
        <w:tab/>
        <w:t>L’annexe 2 du présent Règlement donne des exemples de marques d’homologation.</w:t>
      </w:r>
    </w:p>
    <w:p w:rsidR="00A153E3" w:rsidRPr="00A153E3" w:rsidRDefault="00A153E3" w:rsidP="00A153E3">
      <w:pPr>
        <w:pStyle w:val="SingleTxt"/>
        <w:spacing w:after="0" w:line="120" w:lineRule="exact"/>
        <w:ind w:left="2218" w:hanging="951"/>
        <w:rPr>
          <w:sz w:val="10"/>
        </w:rPr>
      </w:pPr>
    </w:p>
    <w:p w:rsidR="00A153E3" w:rsidRPr="00A153E3" w:rsidRDefault="00A153E3" w:rsidP="00A153E3">
      <w:pPr>
        <w:pStyle w:val="SingleTxt"/>
        <w:spacing w:after="0" w:line="120" w:lineRule="exact"/>
        <w:ind w:left="2218" w:hanging="951"/>
        <w:rPr>
          <w:sz w:val="10"/>
        </w:rPr>
      </w:pPr>
    </w:p>
    <w:p w:rsidR="00E608A9" w:rsidRDefault="00E608A9" w:rsidP="00A153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08A9">
        <w:tab/>
      </w:r>
      <w:r w:rsidRPr="00E608A9">
        <w:tab/>
        <w:t>5.</w:t>
      </w:r>
      <w:r w:rsidRPr="00E608A9">
        <w:tab/>
      </w:r>
      <w:r w:rsidRPr="00E608A9">
        <w:tab/>
        <w:t>Spécifications et essais</w:t>
      </w:r>
    </w:p>
    <w:p w:rsidR="00A153E3" w:rsidRPr="00A153E3" w:rsidRDefault="00A153E3" w:rsidP="00A153E3">
      <w:pPr>
        <w:pStyle w:val="SingleTxt"/>
        <w:spacing w:after="0" w:line="120" w:lineRule="exact"/>
        <w:rPr>
          <w:sz w:val="10"/>
        </w:rPr>
      </w:pPr>
    </w:p>
    <w:p w:rsidR="00A153E3" w:rsidRPr="00A153E3" w:rsidRDefault="00A153E3" w:rsidP="00A153E3">
      <w:pPr>
        <w:pStyle w:val="SingleTxt"/>
        <w:spacing w:after="0" w:line="120" w:lineRule="exact"/>
        <w:rPr>
          <w:sz w:val="10"/>
        </w:rPr>
      </w:pPr>
    </w:p>
    <w:p w:rsidR="00E608A9" w:rsidRPr="00E608A9" w:rsidRDefault="00E608A9" w:rsidP="00E608A9">
      <w:pPr>
        <w:pStyle w:val="SingleTxt"/>
      </w:pPr>
      <w:r w:rsidRPr="00E608A9">
        <w:t>5.1</w:t>
      </w:r>
      <w:r w:rsidRPr="00E608A9">
        <w:tab/>
      </w:r>
      <w:r w:rsidRPr="00E608A9">
        <w:tab/>
        <w:t>Généralités</w:t>
      </w:r>
    </w:p>
    <w:p w:rsidR="00E608A9" w:rsidRPr="00E608A9" w:rsidRDefault="00E608A9" w:rsidP="00A153E3">
      <w:pPr>
        <w:pStyle w:val="SingleTxt"/>
        <w:ind w:left="2218" w:hanging="951"/>
      </w:pPr>
      <w:r w:rsidRPr="00E608A9">
        <w:t>5.1.1</w:t>
      </w:r>
      <w:r w:rsidRPr="00E608A9">
        <w:tab/>
      </w:r>
      <w:r w:rsidR="00A153E3">
        <w:tab/>
      </w:r>
      <w:r w:rsidRPr="00E608A9">
        <w:t>Tout véhicule des catégories M</w:t>
      </w:r>
      <w:r w:rsidRPr="00E608A9">
        <w:rPr>
          <w:vertAlign w:val="subscript"/>
        </w:rPr>
        <w:t>1</w:t>
      </w:r>
      <w:r w:rsidRPr="00E608A9">
        <w:t xml:space="preserve"> dont la masse est inférieure à 3</w:t>
      </w:r>
      <w:r w:rsidR="00EE7154">
        <w:t> 500 kg et </w:t>
      </w:r>
      <w:r w:rsidRPr="00E608A9">
        <w:t>N</w:t>
      </w:r>
      <w:r w:rsidRPr="00E608A9">
        <w:rPr>
          <w:vertAlign w:val="subscript"/>
        </w:rPr>
        <w:t>1</w:t>
      </w:r>
      <w:r w:rsidRPr="00E608A9">
        <w:t>, dans les deux cas avec tous les essieux équipés de pneumatiques en montage simple et équipés d’un système de surveillance de la pression des pneumatiques répondant à la définition donnée au paragraphe</w:t>
      </w:r>
      <w:r w:rsidR="00EE7154">
        <w:t> </w:t>
      </w:r>
      <w:r w:rsidRPr="00E608A9">
        <w:t>2.11 doit satisfaire aux prescriptions fonctionnelles é</w:t>
      </w:r>
      <w:r w:rsidR="00EE7154">
        <w:t>noncées aux paragraphes 5.1.2 à </w:t>
      </w:r>
      <w:r w:rsidRPr="00E608A9">
        <w:t>5.5.5 ci-après et être soumis à un essai conformément à l’annexe 3.</w:t>
      </w:r>
    </w:p>
    <w:p w:rsidR="00E608A9" w:rsidRPr="00E608A9" w:rsidRDefault="00E608A9" w:rsidP="00C571B4">
      <w:pPr>
        <w:pStyle w:val="SingleTxt"/>
        <w:ind w:left="2218" w:hanging="951"/>
      </w:pPr>
      <w:r w:rsidRPr="00E608A9">
        <w:t>5.1.2</w:t>
      </w:r>
      <w:r w:rsidR="00C571B4">
        <w:tab/>
      </w:r>
      <w:r w:rsidRPr="00E608A9">
        <w:tab/>
        <w:t xml:space="preserve">Tout système de surveillance de la pression des pneumatiques monté sur un véhicule doit satisfaire aux prescriptions du Règlement </w:t>
      </w:r>
      <w:r w:rsidR="003D5420">
        <w:t>n</w:t>
      </w:r>
      <w:r w:rsidR="003D5420" w:rsidRPr="003D5420">
        <w:rPr>
          <w:vertAlign w:val="superscript"/>
        </w:rPr>
        <w:t>o</w:t>
      </w:r>
      <w:r w:rsidR="003D5420">
        <w:t> </w:t>
      </w:r>
      <w:r w:rsidRPr="00E608A9">
        <w:t>10.</w:t>
      </w:r>
    </w:p>
    <w:p w:rsidR="00E608A9" w:rsidRPr="00E608A9" w:rsidRDefault="00E608A9" w:rsidP="00C571B4">
      <w:pPr>
        <w:pStyle w:val="SingleTxt"/>
        <w:ind w:left="2218" w:hanging="951"/>
      </w:pPr>
      <w:r w:rsidRPr="00E608A9">
        <w:t>5.1.3</w:t>
      </w:r>
      <w:r w:rsidRPr="00E608A9">
        <w:tab/>
      </w:r>
      <w:r w:rsidR="00C571B4">
        <w:tab/>
      </w:r>
      <w:r w:rsidRPr="00E608A9">
        <w:t>Le système doit fonctionner dès la vitesse de 40</w:t>
      </w:r>
      <w:r w:rsidR="003D5420">
        <w:t> </w:t>
      </w:r>
      <w:r w:rsidRPr="00E608A9">
        <w:t>km/h ou moins, jusqu’à la vitesse maximale par construction du véhicule.</w:t>
      </w:r>
    </w:p>
    <w:p w:rsidR="00E608A9" w:rsidRPr="00E608A9" w:rsidRDefault="00E608A9" w:rsidP="00C571B4">
      <w:pPr>
        <w:pStyle w:val="SingleTxt"/>
        <w:ind w:left="2218" w:hanging="951"/>
      </w:pPr>
      <w:r w:rsidRPr="00E608A9">
        <w:t>5.2</w:t>
      </w:r>
      <w:r w:rsidRPr="00E608A9">
        <w:tab/>
      </w:r>
      <w:r w:rsidR="00C571B4">
        <w:tab/>
      </w:r>
      <w:r w:rsidRPr="00E608A9">
        <w:t>Détection de la pression des pneumatiques en vue de déceler une perte de pression liée à un incident (essai de crevaison).</w:t>
      </w:r>
    </w:p>
    <w:p w:rsidR="00E608A9" w:rsidRPr="00E608A9" w:rsidRDefault="00E608A9" w:rsidP="00C571B4">
      <w:pPr>
        <w:pStyle w:val="SingleTxt"/>
        <w:ind w:left="2218" w:hanging="951"/>
      </w:pPr>
      <w:r w:rsidRPr="00E608A9">
        <w:t>5.2.1</w:t>
      </w:r>
      <w:r w:rsidR="00C571B4">
        <w:tab/>
      </w:r>
      <w:r w:rsidRPr="00E608A9">
        <w:tab/>
        <w:t>Lorsqu’il est soumis à un essai conformément au mode opératoire décrit au paragraphe</w:t>
      </w:r>
      <w:r w:rsidR="006B2A92">
        <w:t> </w:t>
      </w:r>
      <w:r w:rsidRPr="00E608A9">
        <w:t>2.6.1 de l’annexe 3, le système de surveillance de la pression des pneumatiques doit allumer le témoin d’avertissement décrit au paragraphe</w:t>
      </w:r>
      <w:r w:rsidR="006B2A92">
        <w:t> </w:t>
      </w:r>
      <w:r w:rsidRPr="00E608A9">
        <w:t xml:space="preserve">5.5 </w:t>
      </w:r>
      <w:r w:rsidR="006B2A92">
        <w:t>dix</w:t>
      </w:r>
      <w:r w:rsidRPr="00E608A9">
        <w:t xml:space="preserve"> minutes au plus après que la pression d’utilisation mesurée dans l’un </w:t>
      </w:r>
      <w:r w:rsidR="006B2A92">
        <w:t>des pneumatiques du véhicule a</w:t>
      </w:r>
      <w:r w:rsidRPr="00E608A9">
        <w:t xml:space="preserve"> diminué de 20</w:t>
      </w:r>
      <w:r w:rsidR="006B2A92">
        <w:t> </w:t>
      </w:r>
      <w:r w:rsidRPr="00E608A9">
        <w:t>% ou atteint une pression minimale de 150</w:t>
      </w:r>
      <w:r w:rsidR="006B2A92">
        <w:t> </w:t>
      </w:r>
      <w:r w:rsidRPr="00E608A9">
        <w:t>kPa, la valeur retenue étant toujours la plus élevée des deux.</w:t>
      </w:r>
    </w:p>
    <w:p w:rsidR="00E608A9" w:rsidRPr="00EB550E" w:rsidRDefault="00E608A9" w:rsidP="00C571B4">
      <w:pPr>
        <w:pStyle w:val="SingleTxt"/>
        <w:ind w:left="2218" w:hanging="951"/>
      </w:pPr>
      <w:r w:rsidRPr="00EB550E">
        <w:t>5.3</w:t>
      </w:r>
      <w:r w:rsidRPr="00EB550E">
        <w:tab/>
      </w:r>
      <w:r w:rsidR="00C571B4" w:rsidRPr="00EB550E">
        <w:tab/>
      </w:r>
      <w:r w:rsidRPr="00EB550E">
        <w:t>Détection d’un niveau de pression des pneumatiques sensiblement inférieur à la pression recommandée pour ass</w:t>
      </w:r>
      <w:r w:rsidR="00EB550E">
        <w:t>urer une efficacité optimale, y </w:t>
      </w:r>
      <w:r w:rsidRPr="00EB550E">
        <w:t>compris en termes de consommation de carburant et de sécurité (essai de défaut d’étanchéité).</w:t>
      </w:r>
    </w:p>
    <w:p w:rsidR="00E608A9" w:rsidRPr="00427C0A" w:rsidRDefault="00E608A9" w:rsidP="00C571B4">
      <w:pPr>
        <w:pStyle w:val="SingleTxt"/>
        <w:ind w:left="2218" w:hanging="951"/>
      </w:pPr>
      <w:r w:rsidRPr="00427C0A">
        <w:t>5.3.1</w:t>
      </w:r>
      <w:r w:rsidRPr="00427C0A">
        <w:tab/>
      </w:r>
      <w:r w:rsidR="00C571B4" w:rsidRPr="00427C0A">
        <w:tab/>
      </w:r>
      <w:r w:rsidRPr="00427C0A">
        <w:t>Lorsqu’il est soumis à la procédure d’essai établie au paragraphe</w:t>
      </w:r>
      <w:r w:rsidR="006B2A92" w:rsidRPr="00427C0A">
        <w:t> </w:t>
      </w:r>
      <w:r w:rsidRPr="00427C0A">
        <w:t>2.6.2 de l’annexe</w:t>
      </w:r>
      <w:r w:rsidR="006B2A92" w:rsidRPr="00427C0A">
        <w:t> </w:t>
      </w:r>
      <w:r w:rsidRPr="00427C0A">
        <w:t>3, le système de surveillance de la pression des pneumatiques doit allumer le témoin d’avertissement décrit au paragraphe</w:t>
      </w:r>
      <w:r w:rsidR="006B2A92" w:rsidRPr="00427C0A">
        <w:t> </w:t>
      </w:r>
      <w:r w:rsidRPr="00427C0A">
        <w:t xml:space="preserve">5.5 dans les </w:t>
      </w:r>
      <w:r w:rsidR="006B2A92" w:rsidRPr="00427C0A">
        <w:t xml:space="preserve">soixante </w:t>
      </w:r>
      <w:r w:rsidRPr="00427C0A">
        <w:t>minutes de temps de conduite cumulé après une baisse de pression d’utilisation de 20</w:t>
      </w:r>
      <w:r w:rsidR="006B2A92" w:rsidRPr="00427C0A">
        <w:t> </w:t>
      </w:r>
      <w:r w:rsidRPr="00427C0A">
        <w:t>% dans au moins un des quatre pneumatiques du véhicule.</w:t>
      </w:r>
    </w:p>
    <w:p w:rsidR="00E608A9" w:rsidRPr="00E608A9" w:rsidRDefault="00E608A9" w:rsidP="00E608A9">
      <w:pPr>
        <w:pStyle w:val="SingleTxt"/>
      </w:pPr>
      <w:r w:rsidRPr="00E608A9">
        <w:t>5.4</w:t>
      </w:r>
      <w:r w:rsidRPr="00E608A9">
        <w:tab/>
      </w:r>
      <w:r w:rsidR="00C571B4">
        <w:tab/>
      </w:r>
      <w:r w:rsidRPr="00E608A9">
        <w:t>Essai de détection des défauts de fonctionnement</w:t>
      </w:r>
    </w:p>
    <w:p w:rsidR="00E608A9" w:rsidRPr="00E608A9" w:rsidRDefault="00E608A9" w:rsidP="00C571B4">
      <w:pPr>
        <w:pStyle w:val="SingleTxt"/>
        <w:ind w:left="2218" w:hanging="951"/>
      </w:pPr>
      <w:r w:rsidRPr="00E608A9">
        <w:t>5.4.1</w:t>
      </w:r>
      <w:r w:rsidRPr="00E608A9">
        <w:tab/>
      </w:r>
      <w:r w:rsidR="00C571B4">
        <w:tab/>
      </w:r>
      <w:r w:rsidRPr="00E608A9">
        <w:t>Lorsqu’il est soumis à un essai conformément au mode opératoire décrit au paragraphe 3 de l’annexe 3, le système de surveillance de la pression des pneumatiques doit allumer le témoin d’ave</w:t>
      </w:r>
      <w:r w:rsidR="00427C0A">
        <w:t>rtissement décrit au paragraphe </w:t>
      </w:r>
      <w:r w:rsidRPr="00E608A9">
        <w:t xml:space="preserve">5.5 </w:t>
      </w:r>
      <w:r w:rsidR="00427C0A">
        <w:t>dix</w:t>
      </w:r>
      <w:r w:rsidRPr="00E608A9">
        <w:t xml:space="preserve"> minutes au plus après l’apparition d’un défaut de fonctionnement affectant l’émission ou la transmission des signaux de commande ou de réaction dans le système de surveillance de la pression des pneumatiques du véhicule. Si le système est bloqué par des facteurs extérieurs (bruit radioélectrique, par exemple), le temps nécessaire à la détection des défauts de fonctionnement peut être plus long.</w:t>
      </w:r>
    </w:p>
    <w:p w:rsidR="00E608A9" w:rsidRPr="00E608A9" w:rsidRDefault="00E608A9" w:rsidP="00E27F1B">
      <w:pPr>
        <w:pStyle w:val="SingleTxt"/>
      </w:pPr>
      <w:r w:rsidRPr="00E608A9">
        <w:t>5.5</w:t>
      </w:r>
      <w:r w:rsidRPr="00E608A9">
        <w:tab/>
      </w:r>
      <w:r w:rsidR="00C571B4">
        <w:tab/>
      </w:r>
      <w:r w:rsidRPr="00E608A9">
        <w:t>Témoin d’avertissement</w:t>
      </w:r>
    </w:p>
    <w:p w:rsidR="00E608A9" w:rsidRPr="00E608A9" w:rsidRDefault="00E608A9" w:rsidP="00E27F1B">
      <w:pPr>
        <w:pStyle w:val="SingleTxt"/>
        <w:ind w:left="2218" w:hanging="951"/>
      </w:pPr>
      <w:r w:rsidRPr="00E608A9">
        <w:lastRenderedPageBreak/>
        <w:t>5.5.1</w:t>
      </w:r>
      <w:r w:rsidRPr="00E608A9">
        <w:tab/>
      </w:r>
      <w:r w:rsidR="00C571B4">
        <w:tab/>
      </w:r>
      <w:r w:rsidRPr="00E608A9">
        <w:t xml:space="preserve">L’avertissement doit être donné au moyen d’un témoin optique conforme au Règlement </w:t>
      </w:r>
      <w:r w:rsidR="006B2A92">
        <w:t>n</w:t>
      </w:r>
      <w:r w:rsidR="006B2A92" w:rsidRPr="006B2A92">
        <w:rPr>
          <w:vertAlign w:val="superscript"/>
        </w:rPr>
        <w:t>o</w:t>
      </w:r>
      <w:r w:rsidR="006B2A92">
        <w:t> </w:t>
      </w:r>
      <w:r w:rsidRPr="00E608A9">
        <w:t>121.</w:t>
      </w:r>
    </w:p>
    <w:p w:rsidR="00E608A9" w:rsidRPr="00E608A9" w:rsidRDefault="00E608A9" w:rsidP="00C571B4">
      <w:pPr>
        <w:pStyle w:val="SingleTxt"/>
        <w:ind w:left="2218" w:hanging="951"/>
      </w:pPr>
      <w:r w:rsidRPr="00E608A9">
        <w:t>5.5.2</w:t>
      </w:r>
      <w:r w:rsidRPr="00E608A9">
        <w:tab/>
      </w:r>
      <w:r w:rsidR="00C571B4">
        <w:tab/>
      </w:r>
      <w:r w:rsidRPr="00E608A9">
        <w:t>Le témoin d’avertissement doit s’allumer lorsque le contact d’allumage est mis (vérification du bon fonctionnement du voyant). Cette prescription ne s’applique pas aux témoins figurant dans un espace d’affichage commun.</w:t>
      </w:r>
    </w:p>
    <w:p w:rsidR="00E608A9" w:rsidRPr="00E608A9" w:rsidRDefault="00E608A9" w:rsidP="00C571B4">
      <w:pPr>
        <w:pStyle w:val="SingleTxt"/>
        <w:ind w:left="2218" w:hanging="951"/>
      </w:pPr>
      <w:r w:rsidRPr="00E608A9">
        <w:t>5.5.3</w:t>
      </w:r>
      <w:r w:rsidRPr="00E608A9">
        <w:tab/>
      </w:r>
      <w:r w:rsidR="00C571B4">
        <w:tab/>
      </w:r>
      <w:r w:rsidRPr="00E608A9">
        <w:t>Le témoin d’avertissement doit être visible même de jour; son bon état doit pouvoir être contrôlé aisément par le conducteur depuis son siège.</w:t>
      </w:r>
    </w:p>
    <w:p w:rsidR="00E608A9" w:rsidRPr="00E608A9" w:rsidRDefault="00E608A9" w:rsidP="00C571B4">
      <w:pPr>
        <w:pStyle w:val="SingleTxt"/>
        <w:ind w:left="2218" w:hanging="951"/>
      </w:pPr>
      <w:r w:rsidRPr="00E608A9">
        <w:t>5.5.4</w:t>
      </w:r>
      <w:r w:rsidR="00C571B4">
        <w:tab/>
      </w:r>
      <w:r w:rsidRPr="00E608A9">
        <w:tab/>
        <w:t>Le même témoin peut servir à indiquer un défaut de fonctionnement ou un sous gonflage. Si le témoin d’avertissement décrit au paragraphe</w:t>
      </w:r>
      <w:r w:rsidR="006B2A92">
        <w:t> </w:t>
      </w:r>
      <w:r w:rsidRPr="00E608A9">
        <w:t>5.5.1 sert à indiquer à la fois un sous gonflage et un défaut de fonctionnement du système de surveillance de la pression des pneumatiques, il doit clignoter pour signaler un défaut de fonctionnement du système, le contact d’allumage étant mis. Puis il doit rapidement rester allumé en continu aussi longtemps que le défaut de fonctionnement persiste et que le contact d’allumage est mis. La séquence clignotement et allumage en continu doit se répéter chaque fois que le contact d’allumage est remis jusqu’à ce que le défaut de fonctionnement ait été réparé.</w:t>
      </w:r>
    </w:p>
    <w:p w:rsidR="00E608A9" w:rsidRDefault="00E608A9" w:rsidP="00C571B4">
      <w:pPr>
        <w:pStyle w:val="SingleTxt"/>
        <w:ind w:left="2218" w:hanging="951"/>
      </w:pPr>
      <w:r w:rsidRPr="00E608A9">
        <w:t>5.5.5</w:t>
      </w:r>
      <w:r w:rsidRPr="00E608A9">
        <w:tab/>
      </w:r>
      <w:r w:rsidR="00C571B4">
        <w:tab/>
      </w:r>
      <w:r w:rsidRPr="00E608A9">
        <w:t>Le témoin d’avertissement décrit dans le paragraphe</w:t>
      </w:r>
      <w:r w:rsidR="006B2A92">
        <w:t> </w:t>
      </w:r>
      <w:r w:rsidRPr="00E608A9">
        <w:t>5.5.1 peut être employé en mode clignotant pour fournir des renseignements sur la réinitialisation du système de surveillance de la pression des pneumatiques conformément au manuel destiné au propriétaire du véhicule.</w:t>
      </w:r>
    </w:p>
    <w:p w:rsidR="00FE1D8A" w:rsidRPr="00FE1D8A" w:rsidRDefault="00FE1D8A" w:rsidP="00427C0A">
      <w:pPr>
        <w:pStyle w:val="SingleTxt"/>
        <w:spacing w:after="0" w:line="120" w:lineRule="exact"/>
        <w:ind w:left="2217" w:hanging="950"/>
        <w:rPr>
          <w:sz w:val="10"/>
        </w:rPr>
      </w:pPr>
    </w:p>
    <w:p w:rsidR="00FE1D8A" w:rsidRPr="00FE1D8A" w:rsidRDefault="00FE1D8A" w:rsidP="00427C0A">
      <w:pPr>
        <w:pStyle w:val="SingleTxt"/>
        <w:spacing w:after="0" w:line="120" w:lineRule="exact"/>
        <w:ind w:left="2217" w:hanging="950"/>
        <w:rPr>
          <w:sz w:val="10"/>
        </w:rPr>
      </w:pPr>
    </w:p>
    <w:p w:rsidR="00E608A9" w:rsidRDefault="00E608A9" w:rsidP="00FE1D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08A9">
        <w:tab/>
      </w:r>
      <w:r w:rsidRPr="00E608A9">
        <w:tab/>
        <w:t>6.</w:t>
      </w:r>
      <w:r w:rsidRPr="00E608A9">
        <w:tab/>
      </w:r>
      <w:r w:rsidRPr="00E608A9">
        <w:tab/>
        <w:t>Renseignements supplémentaires</w:t>
      </w:r>
    </w:p>
    <w:p w:rsidR="00427C0A" w:rsidRPr="00FE1D8A" w:rsidRDefault="00427C0A" w:rsidP="00427C0A">
      <w:pPr>
        <w:pStyle w:val="SingleTxt"/>
        <w:spacing w:after="0" w:line="120" w:lineRule="exact"/>
        <w:ind w:left="2217" w:hanging="950"/>
        <w:rPr>
          <w:sz w:val="10"/>
        </w:rPr>
      </w:pPr>
    </w:p>
    <w:p w:rsidR="00427C0A" w:rsidRPr="00FE1D8A" w:rsidRDefault="00427C0A" w:rsidP="00427C0A">
      <w:pPr>
        <w:pStyle w:val="SingleTxt"/>
        <w:spacing w:after="0" w:line="120" w:lineRule="exact"/>
        <w:ind w:left="2217" w:hanging="950"/>
        <w:rPr>
          <w:sz w:val="10"/>
        </w:rPr>
      </w:pPr>
    </w:p>
    <w:p w:rsidR="00E608A9" w:rsidRPr="00E608A9" w:rsidRDefault="00E608A9" w:rsidP="00C571B4">
      <w:pPr>
        <w:pStyle w:val="SingleTxt"/>
        <w:ind w:left="2218" w:hanging="951"/>
      </w:pPr>
      <w:r w:rsidRPr="00E608A9">
        <w:t>6.1</w:t>
      </w:r>
      <w:r w:rsidRPr="00E608A9">
        <w:tab/>
      </w:r>
      <w:r w:rsidR="00C571B4">
        <w:tab/>
      </w:r>
      <w:r w:rsidRPr="00E608A9">
        <w:t>S’il existe un manuel destiné au propriétaire du véhicule, celui-ci doit comporter au moins les renseignements suivants</w:t>
      </w:r>
      <w:r w:rsidR="003D5420">
        <w:t> </w:t>
      </w:r>
      <w:r w:rsidRPr="00E608A9">
        <w:t>:</w:t>
      </w:r>
    </w:p>
    <w:p w:rsidR="00E608A9" w:rsidRPr="00427C0A" w:rsidRDefault="00E608A9" w:rsidP="00C571B4">
      <w:pPr>
        <w:pStyle w:val="SingleTxt"/>
        <w:ind w:left="2218" w:hanging="951"/>
      </w:pPr>
      <w:r w:rsidRPr="00427C0A">
        <w:t>6.1.1</w:t>
      </w:r>
      <w:r w:rsidRPr="00427C0A">
        <w:tab/>
      </w:r>
      <w:r w:rsidR="00C571B4" w:rsidRPr="00427C0A">
        <w:tab/>
      </w:r>
      <w:r w:rsidRPr="00427C0A">
        <w:t>Une mention précisant que le véhicule est équipé d’un tel système (et des renseignements sur la façon de le réinitialiser, au cas où il permettrait de le faire).</w:t>
      </w:r>
    </w:p>
    <w:p w:rsidR="00E608A9" w:rsidRPr="00E608A9" w:rsidRDefault="00E608A9" w:rsidP="00C571B4">
      <w:pPr>
        <w:pStyle w:val="SingleTxt"/>
        <w:ind w:left="2218" w:hanging="951"/>
      </w:pPr>
      <w:r w:rsidRPr="00E608A9">
        <w:t>6.1.2</w:t>
      </w:r>
      <w:r w:rsidRPr="00E608A9">
        <w:tab/>
      </w:r>
      <w:r w:rsidR="00C571B4">
        <w:tab/>
      </w:r>
      <w:r w:rsidRPr="00E608A9">
        <w:t>Une image du symbole du témoin décrit dans le paragraphe</w:t>
      </w:r>
      <w:r w:rsidR="003D5420">
        <w:t> </w:t>
      </w:r>
      <w:r w:rsidRPr="00E608A9">
        <w:t>5.5.1 (et une image du symbole du témoin de défaut de fonctionnement, si un témoin spécial est employé pour ce faire).</w:t>
      </w:r>
    </w:p>
    <w:p w:rsidR="00E608A9" w:rsidRPr="00E608A9" w:rsidRDefault="00E608A9" w:rsidP="00C571B4">
      <w:pPr>
        <w:pStyle w:val="SingleTxt"/>
        <w:ind w:left="2218" w:hanging="951"/>
      </w:pPr>
      <w:r w:rsidRPr="00E608A9">
        <w:t>6.1.3</w:t>
      </w:r>
      <w:r w:rsidRPr="00E608A9">
        <w:tab/>
      </w:r>
      <w:r w:rsidR="00C571B4">
        <w:tab/>
      </w:r>
      <w:r w:rsidRPr="00E608A9">
        <w:t>Des renseignements supplémentaires sur la signification de l’allumage du témoin d’avertissement de faible pression des pneumatiques et une description des mesures correctives à prendre lorsque cela se produit.</w:t>
      </w:r>
    </w:p>
    <w:p w:rsidR="00E608A9" w:rsidRDefault="00E608A9" w:rsidP="00C571B4">
      <w:pPr>
        <w:pStyle w:val="SingleTxt"/>
        <w:ind w:left="2218" w:hanging="951"/>
      </w:pPr>
      <w:r w:rsidRPr="00E608A9">
        <w:t>6.2</w:t>
      </w:r>
      <w:r w:rsidRPr="00E608A9">
        <w:tab/>
      </w:r>
      <w:r w:rsidR="00C571B4">
        <w:tab/>
      </w:r>
      <w:r w:rsidRPr="00E608A9">
        <w:t>Si un manuel à l’usage du propriétaire n’est pas fourni avec le véhicule, les renseignements prescrits au paragraphe 6.1 ci-dessus doivent figurer sur le véhicule en un endroit bien visible.</w:t>
      </w:r>
    </w:p>
    <w:p w:rsidR="00427C0A" w:rsidRPr="00FE1D8A" w:rsidRDefault="00427C0A" w:rsidP="00427C0A">
      <w:pPr>
        <w:pStyle w:val="SingleTxt"/>
        <w:spacing w:after="0" w:line="120" w:lineRule="exact"/>
        <w:ind w:left="2217" w:hanging="950"/>
        <w:rPr>
          <w:sz w:val="10"/>
        </w:rPr>
      </w:pPr>
    </w:p>
    <w:p w:rsidR="00427C0A" w:rsidRPr="00FE1D8A" w:rsidRDefault="00427C0A" w:rsidP="00427C0A">
      <w:pPr>
        <w:pStyle w:val="SingleTxt"/>
        <w:spacing w:after="0" w:line="120" w:lineRule="exact"/>
        <w:ind w:left="2217" w:hanging="950"/>
        <w:rPr>
          <w:sz w:val="10"/>
        </w:rPr>
      </w:pPr>
    </w:p>
    <w:p w:rsidR="00E608A9" w:rsidRDefault="00E608A9" w:rsidP="00FE1D8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2218" w:hanging="2218"/>
      </w:pPr>
      <w:r w:rsidRPr="00E608A9">
        <w:tab/>
      </w:r>
      <w:r w:rsidRPr="00E608A9">
        <w:tab/>
        <w:t>7.</w:t>
      </w:r>
      <w:r w:rsidRPr="00E608A9">
        <w:tab/>
        <w:t xml:space="preserve">Modifications et extension de l’homologation </w:t>
      </w:r>
      <w:r w:rsidR="00FE1D8A">
        <w:br/>
      </w:r>
      <w:r w:rsidRPr="00E608A9">
        <w:t>d’un type de véhicule</w:t>
      </w:r>
    </w:p>
    <w:p w:rsidR="00427C0A" w:rsidRPr="00FE1D8A" w:rsidRDefault="00427C0A" w:rsidP="00427C0A">
      <w:pPr>
        <w:pStyle w:val="SingleTxt"/>
        <w:spacing w:after="0" w:line="120" w:lineRule="exact"/>
        <w:ind w:left="2217" w:hanging="950"/>
        <w:rPr>
          <w:sz w:val="10"/>
        </w:rPr>
      </w:pPr>
    </w:p>
    <w:p w:rsidR="00427C0A" w:rsidRPr="00FE1D8A" w:rsidRDefault="00427C0A" w:rsidP="00427C0A">
      <w:pPr>
        <w:pStyle w:val="SingleTxt"/>
        <w:spacing w:after="0" w:line="120" w:lineRule="exact"/>
        <w:ind w:left="2217" w:hanging="950"/>
        <w:rPr>
          <w:sz w:val="10"/>
        </w:rPr>
      </w:pPr>
    </w:p>
    <w:p w:rsidR="00E608A9" w:rsidRPr="00E608A9" w:rsidRDefault="00E608A9" w:rsidP="00C571B4">
      <w:pPr>
        <w:pStyle w:val="SingleTxt"/>
        <w:ind w:left="2218" w:hanging="951"/>
      </w:pPr>
      <w:r w:rsidRPr="00E608A9">
        <w:t>7.1</w:t>
      </w:r>
      <w:r w:rsidRPr="00E608A9">
        <w:tab/>
      </w:r>
      <w:r w:rsidR="00C571B4">
        <w:tab/>
      </w:r>
      <w:r w:rsidRPr="00D3284E">
        <w:rPr>
          <w:spacing w:val="2"/>
        </w:rPr>
        <w:t>Toute modification du type de véhicule tel qu’il est défini au</w:t>
      </w:r>
      <w:r w:rsidR="00D3284E" w:rsidRPr="00D3284E">
        <w:rPr>
          <w:spacing w:val="2"/>
        </w:rPr>
        <w:t xml:space="preserve"> paragraphe </w:t>
      </w:r>
      <w:r w:rsidRPr="00D3284E">
        <w:rPr>
          <w:spacing w:val="2"/>
        </w:rPr>
        <w:t>2.2</w:t>
      </w:r>
      <w:r w:rsidRPr="00E608A9">
        <w:t xml:space="preserve"> doit être portée à la connaissance de l’autorité d’homologation de type. Celle-ci peut alors</w:t>
      </w:r>
      <w:r w:rsidR="00D3284E">
        <w:t> </w:t>
      </w:r>
      <w:r w:rsidRPr="00E608A9">
        <w:t>:</w:t>
      </w:r>
    </w:p>
    <w:p w:rsidR="00E608A9" w:rsidRPr="00E608A9" w:rsidRDefault="00E608A9" w:rsidP="00C571B4">
      <w:pPr>
        <w:pStyle w:val="SingleTxt"/>
        <w:ind w:left="2218" w:hanging="951"/>
      </w:pPr>
      <w:r w:rsidRPr="00E608A9">
        <w:t>7.1.1</w:t>
      </w:r>
      <w:r w:rsidRPr="00E608A9">
        <w:tab/>
      </w:r>
      <w:r w:rsidR="00C571B4">
        <w:tab/>
      </w:r>
      <w:r w:rsidRPr="00E608A9">
        <w:t>Soit considérer que les modifications apportées n’influencent pas défavorablement les conditions d’octroi de l’homologation et accorder une extension de l’homologation;</w:t>
      </w:r>
    </w:p>
    <w:p w:rsidR="00E608A9" w:rsidRPr="00B5239C" w:rsidRDefault="00E608A9" w:rsidP="00D3284E">
      <w:pPr>
        <w:pStyle w:val="SingleTxt"/>
        <w:ind w:left="2218" w:hanging="951"/>
        <w:rPr>
          <w:spacing w:val="0"/>
        </w:rPr>
      </w:pPr>
      <w:r w:rsidRPr="00B5239C">
        <w:rPr>
          <w:spacing w:val="0"/>
        </w:rPr>
        <w:lastRenderedPageBreak/>
        <w:t>7.1.2</w:t>
      </w:r>
      <w:r w:rsidRPr="00B5239C">
        <w:rPr>
          <w:spacing w:val="0"/>
        </w:rPr>
        <w:tab/>
      </w:r>
      <w:r w:rsidR="00C571B4" w:rsidRPr="00B5239C">
        <w:rPr>
          <w:spacing w:val="0"/>
        </w:rPr>
        <w:tab/>
      </w:r>
      <w:r w:rsidRPr="00B5239C">
        <w:rPr>
          <w:spacing w:val="0"/>
        </w:rPr>
        <w:t>Soit considérer que les modifications apportées ont une influence sur les conditions d’octroi de l’homologation et exiger de nouveaux essais ou des vérifications complémentaires avant d’accorder l’extension de l’homologation.</w:t>
      </w:r>
    </w:p>
    <w:p w:rsidR="00E608A9" w:rsidRPr="00E608A9" w:rsidRDefault="00E608A9" w:rsidP="00D3284E">
      <w:pPr>
        <w:pStyle w:val="SingleTxt"/>
        <w:ind w:left="2218" w:hanging="951"/>
      </w:pPr>
      <w:r w:rsidRPr="00E608A9">
        <w:t>7.2</w:t>
      </w:r>
      <w:r w:rsidRPr="00E608A9">
        <w:tab/>
      </w:r>
      <w:r w:rsidR="00C571B4">
        <w:tab/>
      </w:r>
      <w:r w:rsidRPr="00E608A9">
        <w:t>L’octroi ou le refus de l’extension, avec l’indication des modifications, doit être notifié aux Parties contractantes à l’Accord appliquant le présent Règlement selon la procédure indiquée au paragraphe</w:t>
      </w:r>
      <w:r w:rsidR="00FD7DD5">
        <w:t> </w:t>
      </w:r>
      <w:r w:rsidRPr="00E608A9">
        <w:t>4.3.</w:t>
      </w:r>
    </w:p>
    <w:p w:rsidR="00E608A9" w:rsidRDefault="00E608A9" w:rsidP="00D3284E">
      <w:pPr>
        <w:pStyle w:val="SingleTxt"/>
        <w:ind w:left="2218" w:hanging="951"/>
      </w:pPr>
      <w:r w:rsidRPr="00E608A9">
        <w:t>7.3</w:t>
      </w:r>
      <w:r w:rsidRPr="00E608A9">
        <w:tab/>
      </w:r>
      <w:r w:rsidR="00C571B4">
        <w:tab/>
      </w:r>
      <w:r w:rsidRPr="00E608A9">
        <w:t>L’autorité d’homologation de type communique l’extension aux autres Parties contractantes au moyen de la fiche de communication reproduite à l’annexe</w:t>
      </w:r>
      <w:r w:rsidR="00FD7DD5">
        <w:t> </w:t>
      </w:r>
      <w:r w:rsidRPr="00E608A9">
        <w:t>1 au présent Règlement. Elle attribue, pour chaque extension, un numéro d’ordre, dénommé numéro d’extension.</w:t>
      </w:r>
    </w:p>
    <w:p w:rsidR="00E27F1B" w:rsidRPr="00B5239C" w:rsidRDefault="00E27F1B" w:rsidP="00E27F1B">
      <w:pPr>
        <w:pStyle w:val="SingleTxt"/>
        <w:spacing w:after="0" w:line="100" w:lineRule="exact"/>
        <w:rPr>
          <w:sz w:val="10"/>
        </w:rPr>
      </w:pPr>
    </w:p>
    <w:p w:rsidR="00E27F1B" w:rsidRPr="00B5239C" w:rsidRDefault="00E27F1B" w:rsidP="00E27F1B">
      <w:pPr>
        <w:pStyle w:val="SingleTxt"/>
        <w:spacing w:after="0" w:line="100" w:lineRule="exact"/>
        <w:rPr>
          <w:sz w:val="10"/>
        </w:rPr>
      </w:pPr>
    </w:p>
    <w:p w:rsidR="00E608A9" w:rsidRDefault="00E608A9" w:rsidP="00FD7D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08A9">
        <w:tab/>
      </w:r>
      <w:r w:rsidRPr="00E608A9">
        <w:tab/>
        <w:t>8.</w:t>
      </w:r>
      <w:r w:rsidRPr="00E608A9">
        <w:tab/>
      </w:r>
      <w:r w:rsidRPr="00E608A9">
        <w:tab/>
        <w:t>Conformité de la production</w:t>
      </w:r>
    </w:p>
    <w:p w:rsidR="00E27F1B" w:rsidRPr="00B5239C" w:rsidRDefault="00E27F1B" w:rsidP="00E27F1B">
      <w:pPr>
        <w:pStyle w:val="SingleTxt"/>
        <w:spacing w:after="0" w:line="100" w:lineRule="exact"/>
        <w:rPr>
          <w:sz w:val="10"/>
        </w:rPr>
      </w:pPr>
    </w:p>
    <w:p w:rsidR="00E27F1B" w:rsidRPr="00B5239C" w:rsidRDefault="00E27F1B" w:rsidP="00E27F1B">
      <w:pPr>
        <w:pStyle w:val="SingleTxt"/>
        <w:spacing w:after="0" w:line="100" w:lineRule="exact"/>
        <w:rPr>
          <w:sz w:val="10"/>
        </w:rPr>
      </w:pPr>
    </w:p>
    <w:p w:rsidR="00E608A9" w:rsidRPr="00E608A9" w:rsidRDefault="00E608A9" w:rsidP="00D3284E">
      <w:pPr>
        <w:pStyle w:val="SingleTxt"/>
        <w:ind w:left="2218" w:hanging="951"/>
      </w:pPr>
      <w:r w:rsidRPr="00E608A9">
        <w:t>8.1</w:t>
      </w:r>
      <w:r w:rsidRPr="00E608A9">
        <w:tab/>
      </w:r>
      <w:r w:rsidR="00C571B4">
        <w:tab/>
      </w:r>
      <w:r w:rsidRPr="00E608A9">
        <w:t>Les procédures de contrôle de conformité de la production doivent satisfaire aux dispositions formulées à l’appendice</w:t>
      </w:r>
      <w:r w:rsidR="00D12353">
        <w:t> </w:t>
      </w:r>
      <w:r w:rsidRPr="00E608A9">
        <w:t>2 de l’Accord (E/ECE/</w:t>
      </w:r>
      <w:r w:rsidR="00D12353">
        <w:br/>
      </w:r>
      <w:r w:rsidRPr="00E608A9">
        <w:t>324-E/ECE/TRANS/505/Rev.2), ainsi qu’aux conditions suivantes</w:t>
      </w:r>
      <w:r w:rsidR="00D12353">
        <w:t> </w:t>
      </w:r>
      <w:r w:rsidRPr="00E608A9">
        <w:t>:</w:t>
      </w:r>
    </w:p>
    <w:p w:rsidR="00E608A9" w:rsidRDefault="00E608A9" w:rsidP="00D3284E">
      <w:pPr>
        <w:pStyle w:val="SingleTxt"/>
        <w:ind w:left="2218" w:hanging="951"/>
      </w:pPr>
      <w:r w:rsidRPr="00E608A9">
        <w:t>8.2</w:t>
      </w:r>
      <w:r w:rsidRPr="00E608A9">
        <w:tab/>
      </w:r>
      <w:r w:rsidR="00C571B4">
        <w:tab/>
      </w:r>
      <w:r w:rsidRPr="00E608A9">
        <w:t>L’autorité qui a délivré l’homologation de type peut à tout moment vérifier la conformité de la production dans chaque installation de production. La fréquence normale de ces vérifications est d’au moins une fois par an.</w:t>
      </w:r>
    </w:p>
    <w:p w:rsidR="00E27F1B" w:rsidRPr="00B5239C" w:rsidRDefault="00E27F1B" w:rsidP="00E27F1B">
      <w:pPr>
        <w:pStyle w:val="SingleTxt"/>
        <w:spacing w:after="0" w:line="100" w:lineRule="exact"/>
        <w:rPr>
          <w:sz w:val="10"/>
        </w:rPr>
      </w:pPr>
    </w:p>
    <w:p w:rsidR="00E27F1B" w:rsidRPr="00B5239C" w:rsidRDefault="00E27F1B" w:rsidP="00E27F1B">
      <w:pPr>
        <w:pStyle w:val="SingleTxt"/>
        <w:spacing w:after="0" w:line="100" w:lineRule="exact"/>
        <w:rPr>
          <w:sz w:val="10"/>
        </w:rPr>
      </w:pPr>
    </w:p>
    <w:p w:rsidR="00E608A9" w:rsidRDefault="00E608A9" w:rsidP="00D123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08A9">
        <w:tab/>
      </w:r>
      <w:r w:rsidRPr="00E608A9">
        <w:tab/>
        <w:t>9.</w:t>
      </w:r>
      <w:r w:rsidRPr="00E608A9">
        <w:tab/>
      </w:r>
      <w:r w:rsidRPr="00E608A9">
        <w:tab/>
        <w:t>Sanctions pour non-conformité de la production</w:t>
      </w:r>
    </w:p>
    <w:p w:rsidR="00E27F1B" w:rsidRPr="00B5239C" w:rsidRDefault="00E27F1B" w:rsidP="00E27F1B">
      <w:pPr>
        <w:pStyle w:val="SingleTxt"/>
        <w:spacing w:after="0" w:line="100" w:lineRule="exact"/>
        <w:rPr>
          <w:sz w:val="10"/>
        </w:rPr>
      </w:pPr>
    </w:p>
    <w:p w:rsidR="00E27F1B" w:rsidRPr="00B5239C" w:rsidRDefault="00E27F1B" w:rsidP="00E27F1B">
      <w:pPr>
        <w:pStyle w:val="SingleTxt"/>
        <w:spacing w:after="0" w:line="100" w:lineRule="exact"/>
        <w:rPr>
          <w:sz w:val="10"/>
        </w:rPr>
      </w:pPr>
    </w:p>
    <w:p w:rsidR="00E608A9" w:rsidRPr="00E608A9" w:rsidRDefault="00E608A9" w:rsidP="00D3284E">
      <w:pPr>
        <w:pStyle w:val="SingleTxt"/>
        <w:ind w:left="2218" w:hanging="951"/>
      </w:pPr>
      <w:r w:rsidRPr="00E608A9">
        <w:t>9.1</w:t>
      </w:r>
      <w:r w:rsidR="00C571B4">
        <w:tab/>
      </w:r>
      <w:r w:rsidRPr="00E608A9">
        <w:tab/>
        <w:t>L’homologation délivrée pour un type de véhicule en application du présent Règlement peut être retirée si les conditions énoncées au paragraphe</w:t>
      </w:r>
      <w:r w:rsidR="00232341">
        <w:t> </w:t>
      </w:r>
      <w:r w:rsidRPr="00E608A9">
        <w:t>8 ci-dessus ne sont pas respectées.</w:t>
      </w:r>
    </w:p>
    <w:p w:rsidR="00E608A9" w:rsidRDefault="00E608A9" w:rsidP="00D3284E">
      <w:pPr>
        <w:pStyle w:val="SingleTxt"/>
        <w:ind w:left="2218" w:hanging="951"/>
      </w:pPr>
      <w:r w:rsidRPr="00E608A9">
        <w:t>9.2</w:t>
      </w:r>
      <w:r w:rsidR="00C571B4">
        <w:tab/>
      </w:r>
      <w:r w:rsidRPr="00E608A9">
        <w:tab/>
        <w:t>Si une Partie à l’Accord appliquant le présent Règlement retire une homologation qu’elle a précédemment accordée, elle doit en informer aussitôt les autres Parties contractantes appliquant le présent Règlement, au moyen d’une copie de la fiche d’homologation portant à la fin, en gros caractères, la mention signée et datée</w:t>
      </w:r>
      <w:r w:rsidR="00232341">
        <w:t> : “</w:t>
      </w:r>
      <w:r w:rsidRPr="00E608A9">
        <w:t>HOMOLOGATION RETIRÉE</w:t>
      </w:r>
      <w:r w:rsidR="00232341">
        <w:t>”</w:t>
      </w:r>
      <w:r w:rsidRPr="00E608A9">
        <w:t>.</w:t>
      </w:r>
    </w:p>
    <w:p w:rsidR="00E27F1B" w:rsidRPr="00B5239C" w:rsidRDefault="00E27F1B" w:rsidP="00E27F1B">
      <w:pPr>
        <w:pStyle w:val="SingleTxt"/>
        <w:spacing w:after="0" w:line="100" w:lineRule="exact"/>
        <w:rPr>
          <w:sz w:val="10"/>
        </w:rPr>
      </w:pPr>
    </w:p>
    <w:p w:rsidR="00E27F1B" w:rsidRPr="00B5239C" w:rsidRDefault="00E27F1B" w:rsidP="00E27F1B">
      <w:pPr>
        <w:pStyle w:val="SingleTxt"/>
        <w:spacing w:after="0" w:line="100" w:lineRule="exact"/>
        <w:rPr>
          <w:sz w:val="10"/>
        </w:rPr>
      </w:pPr>
    </w:p>
    <w:p w:rsidR="00E608A9" w:rsidRDefault="00E608A9" w:rsidP="00B523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08A9">
        <w:tab/>
      </w:r>
      <w:r w:rsidRPr="00E608A9">
        <w:tab/>
        <w:t>10.</w:t>
      </w:r>
      <w:r w:rsidRPr="00E608A9">
        <w:tab/>
      </w:r>
      <w:r w:rsidRPr="00E608A9">
        <w:tab/>
        <w:t>Arrêt définitif de la production</w:t>
      </w:r>
    </w:p>
    <w:p w:rsidR="00E27F1B" w:rsidRPr="00B5239C" w:rsidRDefault="00E27F1B" w:rsidP="00E27F1B">
      <w:pPr>
        <w:pStyle w:val="SingleTxt"/>
        <w:spacing w:after="0" w:line="100" w:lineRule="exact"/>
        <w:rPr>
          <w:sz w:val="10"/>
        </w:rPr>
      </w:pPr>
    </w:p>
    <w:p w:rsidR="00E27F1B" w:rsidRPr="00B5239C" w:rsidRDefault="00E27F1B" w:rsidP="00E27F1B">
      <w:pPr>
        <w:pStyle w:val="SingleTxt"/>
        <w:spacing w:after="0" w:line="100" w:lineRule="exact"/>
        <w:rPr>
          <w:sz w:val="10"/>
        </w:rPr>
      </w:pPr>
    </w:p>
    <w:p w:rsidR="00E608A9" w:rsidRDefault="00E608A9" w:rsidP="00D3284E">
      <w:pPr>
        <w:pStyle w:val="SingleTxt"/>
        <w:ind w:left="2218" w:hanging="951"/>
      </w:pPr>
      <w:r w:rsidRPr="00E608A9">
        <w:tab/>
      </w:r>
      <w:r w:rsidRPr="00E608A9">
        <w:tab/>
        <w:t>Si le détenteur d’une homologation cesse définitivement la production d’un type de véhicule homologué conformément au présent Règlement, il en informe l’autorité qui a délivré l’homologation qui, à son tour, avise les autres Parties à l’Accord appliquant le présent Règlement au moyen d’une copie de la fiche d’homologation portant à la fin, en gros caractères, la mention signée et datée “PRODUCTION ARRÊTÉE</w:t>
      </w:r>
      <w:r w:rsidR="00B5239C">
        <w:t>”</w:t>
      </w:r>
      <w:r w:rsidRPr="00E608A9">
        <w:t>.</w:t>
      </w:r>
    </w:p>
    <w:p w:rsidR="00E27F1B" w:rsidRPr="00B5239C" w:rsidRDefault="00E27F1B" w:rsidP="00E27F1B">
      <w:pPr>
        <w:pStyle w:val="SingleTxt"/>
        <w:spacing w:after="0" w:line="100" w:lineRule="exact"/>
        <w:rPr>
          <w:sz w:val="10"/>
        </w:rPr>
      </w:pPr>
    </w:p>
    <w:p w:rsidR="00E27F1B" w:rsidRPr="00B5239C" w:rsidRDefault="00E27F1B" w:rsidP="00E27F1B">
      <w:pPr>
        <w:pStyle w:val="SingleTxt"/>
        <w:spacing w:after="0" w:line="100" w:lineRule="exact"/>
        <w:rPr>
          <w:sz w:val="10"/>
        </w:rPr>
      </w:pPr>
    </w:p>
    <w:p w:rsidR="00E608A9" w:rsidRDefault="00E608A9" w:rsidP="00E27F1B">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E608A9">
        <w:tab/>
      </w:r>
      <w:r w:rsidRPr="00E608A9">
        <w:tab/>
        <w:t>11.</w:t>
      </w:r>
      <w:r w:rsidRPr="00E608A9">
        <w:tab/>
      </w:r>
      <w:r w:rsidRPr="00E608A9">
        <w:tab/>
        <w:t xml:space="preserve">Noms et adresses des services techniques chargés </w:t>
      </w:r>
      <w:r w:rsidR="00B5239C">
        <w:br/>
      </w:r>
      <w:r w:rsidRPr="00E608A9">
        <w:t>des essais d’homologation et de l’autorité d’homologation de type</w:t>
      </w:r>
    </w:p>
    <w:p w:rsidR="00E27F1B" w:rsidRPr="00B5239C" w:rsidRDefault="00E27F1B" w:rsidP="00E27F1B">
      <w:pPr>
        <w:pStyle w:val="SingleTxt"/>
        <w:spacing w:after="0" w:line="100" w:lineRule="exact"/>
        <w:rPr>
          <w:sz w:val="10"/>
        </w:rPr>
      </w:pPr>
    </w:p>
    <w:p w:rsidR="00B5239C" w:rsidRPr="00B5239C" w:rsidRDefault="00B5239C" w:rsidP="00E27F1B">
      <w:pPr>
        <w:pStyle w:val="SingleTxt"/>
        <w:spacing w:after="0" w:line="100" w:lineRule="exact"/>
        <w:rPr>
          <w:sz w:val="10"/>
        </w:rPr>
      </w:pPr>
    </w:p>
    <w:p w:rsidR="00594AD0" w:rsidRDefault="00E608A9" w:rsidP="00E27F1B">
      <w:pPr>
        <w:pStyle w:val="SingleTxt"/>
        <w:ind w:left="2218" w:hanging="951"/>
      </w:pPr>
      <w:r w:rsidRPr="00E608A9">
        <w:tab/>
      </w:r>
      <w:r w:rsidR="00B5239C">
        <w:tab/>
      </w:r>
      <w:r w:rsidRPr="00E608A9">
        <w:t>Les Parties à l’Accord appliquant le présent Règlement communiquent au Secrétariat de l’Organisation des Nations Unies les noms et adresses des services techniques chargés des essais d’homologation et ceux de l’autorité qui délivre l’homologation de type et à laquelle doivent être envoyées les fiches d’homologation ou d’extension et de refus ou de retrait d’homologation émises dans les autres pays.</w:t>
      </w:r>
    </w:p>
    <w:p w:rsidR="00E608A9" w:rsidRDefault="00E608A9" w:rsidP="00E608A9">
      <w:pPr>
        <w:pStyle w:val="SingleTxt"/>
        <w:sectPr w:rsidR="00E608A9" w:rsidSect="00B6191E">
          <w:endnotePr>
            <w:numFmt w:val="decimal"/>
          </w:endnotePr>
          <w:pgSz w:w="11909" w:h="16834"/>
          <w:pgMar w:top="1742" w:right="936" w:bottom="1898" w:left="936" w:header="576" w:footer="1030" w:gutter="0"/>
          <w:cols w:space="720"/>
          <w:noEndnote/>
          <w:docGrid w:linePitch="360"/>
        </w:sectPr>
      </w:pPr>
    </w:p>
    <w:p w:rsidR="00E608A9" w:rsidRDefault="00F42DF0" w:rsidP="00F42D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Annexe 1</w:t>
      </w:r>
    </w:p>
    <w:p w:rsidR="00F42DF0" w:rsidRDefault="00F42DF0" w:rsidP="00F42DF0">
      <w:pPr>
        <w:pStyle w:val="SingleTxt"/>
        <w:spacing w:after="0" w:line="120" w:lineRule="exact"/>
        <w:rPr>
          <w:sz w:val="10"/>
        </w:rPr>
      </w:pPr>
    </w:p>
    <w:p w:rsidR="00F42DF0" w:rsidRDefault="00F42DF0" w:rsidP="00F42D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Communication</w:t>
      </w:r>
    </w:p>
    <w:p w:rsidR="00F42DF0" w:rsidRPr="00F42DF0" w:rsidRDefault="00F42DF0" w:rsidP="00F42DF0">
      <w:pPr>
        <w:pStyle w:val="SingleTxt"/>
        <w:spacing w:after="0" w:line="120" w:lineRule="exact"/>
        <w:rPr>
          <w:sz w:val="10"/>
        </w:rPr>
      </w:pPr>
    </w:p>
    <w:p w:rsidR="00F42DF0" w:rsidRPr="00F42DF0" w:rsidRDefault="00F42DF0" w:rsidP="00F42DF0">
      <w:pPr>
        <w:pStyle w:val="SingleTxt"/>
        <w:spacing w:after="0" w:line="120" w:lineRule="exact"/>
        <w:rPr>
          <w:sz w:val="10"/>
        </w:rPr>
      </w:pPr>
    </w:p>
    <w:p w:rsidR="00DC338D" w:rsidRPr="00EE7A13" w:rsidRDefault="00DC338D" w:rsidP="00DC338D">
      <w:pPr>
        <w:pStyle w:val="SingleTxt"/>
        <w:rPr>
          <w:lang w:val="fr-CH"/>
        </w:rPr>
      </w:pPr>
      <w:r w:rsidRPr="00EE7A13">
        <w:rPr>
          <w:lang w:val="fr-CH"/>
        </w:rPr>
        <w:t>[format maximal : A4 (210 x 297 mm)]</w:t>
      </w:r>
    </w:p>
    <w:p w:rsidR="00DC338D" w:rsidRPr="00EE7A13" w:rsidRDefault="00DC338D" w:rsidP="00DC338D">
      <w:pPr>
        <w:pStyle w:val="SingleTxt"/>
        <w:spacing w:after="0" w:line="120" w:lineRule="exact"/>
        <w:rPr>
          <w:sz w:val="10"/>
          <w:lang w:val="fr-CH"/>
        </w:rPr>
      </w:pP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89"/>
        <w:gridCol w:w="3834"/>
      </w:tblGrid>
      <w:tr w:rsidR="00EE7A13" w:rsidRPr="00EE7A13" w:rsidTr="00DC338D">
        <w:tc>
          <w:tcPr>
            <w:tcW w:w="3789" w:type="dxa"/>
            <w:hideMark/>
          </w:tcPr>
          <w:p w:rsidR="00DC338D" w:rsidRPr="00EE7A13" w:rsidRDefault="00DC338D">
            <w:pPr>
              <w:kinsoku w:val="0"/>
              <w:overflowPunct w:val="0"/>
              <w:autoSpaceDE w:val="0"/>
              <w:autoSpaceDN w:val="0"/>
              <w:adjustRightInd w:val="0"/>
              <w:snapToGrid w:val="0"/>
              <w:spacing w:line="240" w:lineRule="auto"/>
              <w:ind w:right="1134"/>
              <w:jc w:val="both"/>
              <w:rPr>
                <w:spacing w:val="0"/>
                <w:w w:val="100"/>
                <w:kern w:val="0"/>
                <w:szCs w:val="20"/>
                <w:lang w:val="fr-CH"/>
              </w:rPr>
            </w:pPr>
            <w:r w:rsidRPr="00EE7A13">
              <w:rPr>
                <w:rFonts w:eastAsiaTheme="minorHAnsi"/>
                <w:spacing w:val="0"/>
                <w:w w:val="100"/>
                <w:kern w:val="0"/>
                <w:szCs w:val="20"/>
                <w:lang w:val="fr-CH" w:eastAsia="zh-CN"/>
              </w:rPr>
              <w:object w:dxaOrig="168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7" o:title=""/>
                </v:shape>
                <o:OLEObject Type="Embed" ProgID="Word.Picture.8" ShapeID="_x0000_i1025" DrawAspect="Content" ObjectID="_1512975725" r:id="rId18"/>
              </w:object>
            </w:r>
            <w:r w:rsidRPr="00681E37">
              <w:rPr>
                <w:spacing w:val="0"/>
                <w:w w:val="100"/>
                <w:kern w:val="0"/>
                <w:sz w:val="2"/>
                <w:szCs w:val="2"/>
                <w:shd w:val="clear" w:color="auto" w:fill="FFFFFF" w:themeFill="background1"/>
                <w:vertAlign w:val="superscript"/>
                <w:lang w:val="fr-CH"/>
              </w:rPr>
              <w:footnoteReference w:id="4"/>
            </w:r>
          </w:p>
        </w:tc>
        <w:tc>
          <w:tcPr>
            <w:tcW w:w="3834" w:type="dxa"/>
            <w:hideMark/>
          </w:tcPr>
          <w:p w:rsidR="00DC338D" w:rsidRPr="00EE7A13" w:rsidRDefault="00DC338D">
            <w:pPr>
              <w:kinsoku w:val="0"/>
              <w:overflowPunct w:val="0"/>
              <w:autoSpaceDE w:val="0"/>
              <w:autoSpaceDN w:val="0"/>
              <w:adjustRightInd w:val="0"/>
              <w:snapToGrid w:val="0"/>
              <w:spacing w:line="240" w:lineRule="auto"/>
              <w:ind w:left="1701" w:hanging="1701"/>
              <w:rPr>
                <w:spacing w:val="0"/>
                <w:w w:val="100"/>
                <w:kern w:val="0"/>
                <w:szCs w:val="20"/>
                <w:lang w:val="fr-CH"/>
              </w:rPr>
            </w:pPr>
            <w:r w:rsidRPr="00EE7A13">
              <w:rPr>
                <w:spacing w:val="0"/>
                <w:w w:val="100"/>
                <w:kern w:val="0"/>
                <w:szCs w:val="20"/>
                <w:lang w:val="fr-CH"/>
              </w:rPr>
              <w:t>Émanant de :</w:t>
            </w:r>
            <w:r w:rsidRPr="00EE7A13">
              <w:rPr>
                <w:spacing w:val="0"/>
                <w:w w:val="100"/>
                <w:kern w:val="0"/>
                <w:szCs w:val="20"/>
                <w:lang w:val="fr-CH"/>
              </w:rPr>
              <w:tab/>
              <w:t>Nom de l’administration :</w:t>
            </w:r>
          </w:p>
          <w:p w:rsidR="00DC338D" w:rsidRPr="00EE7A13" w:rsidRDefault="00DC338D">
            <w:pPr>
              <w:tabs>
                <w:tab w:val="right" w:leader="dot" w:pos="3686"/>
              </w:tabs>
              <w:kinsoku w:val="0"/>
              <w:overflowPunct w:val="0"/>
              <w:autoSpaceDE w:val="0"/>
              <w:autoSpaceDN w:val="0"/>
              <w:adjustRightInd w:val="0"/>
              <w:snapToGrid w:val="0"/>
              <w:spacing w:line="240" w:lineRule="auto"/>
              <w:ind w:left="1701"/>
              <w:jc w:val="both"/>
              <w:rPr>
                <w:spacing w:val="0"/>
                <w:w w:val="100"/>
                <w:kern w:val="0"/>
                <w:szCs w:val="20"/>
                <w:lang w:val="fr-CH"/>
              </w:rPr>
            </w:pPr>
            <w:r w:rsidRPr="00EE7A13">
              <w:rPr>
                <w:spacing w:val="0"/>
                <w:w w:val="100"/>
                <w:kern w:val="0"/>
                <w:szCs w:val="20"/>
                <w:lang w:val="fr-CH"/>
              </w:rPr>
              <w:tab/>
            </w:r>
          </w:p>
          <w:p w:rsidR="00DC338D" w:rsidRPr="00EE7A13" w:rsidRDefault="00DC338D">
            <w:pPr>
              <w:tabs>
                <w:tab w:val="right" w:leader="dot" w:pos="3686"/>
              </w:tabs>
              <w:kinsoku w:val="0"/>
              <w:overflowPunct w:val="0"/>
              <w:autoSpaceDE w:val="0"/>
              <w:autoSpaceDN w:val="0"/>
              <w:adjustRightInd w:val="0"/>
              <w:snapToGrid w:val="0"/>
              <w:spacing w:line="240" w:lineRule="auto"/>
              <w:ind w:left="1701"/>
              <w:jc w:val="both"/>
              <w:rPr>
                <w:spacing w:val="0"/>
                <w:w w:val="100"/>
                <w:kern w:val="0"/>
                <w:szCs w:val="20"/>
                <w:lang w:val="fr-CH"/>
              </w:rPr>
            </w:pPr>
            <w:r w:rsidRPr="00EE7A13">
              <w:rPr>
                <w:spacing w:val="0"/>
                <w:w w:val="100"/>
                <w:kern w:val="0"/>
                <w:szCs w:val="20"/>
                <w:lang w:val="fr-CH"/>
              </w:rPr>
              <w:tab/>
            </w:r>
          </w:p>
          <w:p w:rsidR="00DC338D" w:rsidRPr="00EE7A13" w:rsidRDefault="00DC338D">
            <w:pPr>
              <w:tabs>
                <w:tab w:val="right" w:leader="dot" w:pos="3686"/>
              </w:tabs>
              <w:kinsoku w:val="0"/>
              <w:overflowPunct w:val="0"/>
              <w:autoSpaceDE w:val="0"/>
              <w:autoSpaceDN w:val="0"/>
              <w:adjustRightInd w:val="0"/>
              <w:snapToGrid w:val="0"/>
              <w:spacing w:line="240" w:lineRule="auto"/>
              <w:ind w:left="1701"/>
              <w:jc w:val="both"/>
              <w:rPr>
                <w:spacing w:val="0"/>
                <w:w w:val="100"/>
                <w:kern w:val="0"/>
                <w:szCs w:val="20"/>
                <w:lang w:val="fr-CH"/>
              </w:rPr>
            </w:pPr>
            <w:r w:rsidRPr="00EE7A13">
              <w:rPr>
                <w:spacing w:val="0"/>
                <w:w w:val="100"/>
                <w:kern w:val="0"/>
                <w:szCs w:val="20"/>
                <w:lang w:val="fr-CH"/>
              </w:rPr>
              <w:tab/>
            </w:r>
          </w:p>
        </w:tc>
      </w:tr>
    </w:tbl>
    <w:p w:rsidR="00DC338D" w:rsidRPr="00EE7A13" w:rsidRDefault="00DC338D" w:rsidP="00DC338D">
      <w:pPr>
        <w:pStyle w:val="SingleTxt"/>
        <w:spacing w:after="0" w:line="120" w:lineRule="exact"/>
        <w:rPr>
          <w:sz w:val="10"/>
          <w:lang w:val="fr-CH"/>
        </w:rPr>
      </w:pPr>
    </w:p>
    <w:p w:rsidR="00DC338D" w:rsidRPr="00EE7A13" w:rsidRDefault="00DC338D" w:rsidP="00DC338D">
      <w:pPr>
        <w:pStyle w:val="SingleTxt"/>
        <w:spacing w:after="0" w:line="120" w:lineRule="exact"/>
        <w:ind w:left="2218" w:hanging="951"/>
        <w:rPr>
          <w:sz w:val="10"/>
          <w:lang w:val="fr-CH"/>
        </w:rPr>
      </w:pPr>
      <w:bookmarkStart w:id="2" w:name="_MON_1420453160"/>
      <w:bookmarkEnd w:id="2"/>
    </w:p>
    <w:p w:rsidR="00DC338D" w:rsidRPr="00EE7A13" w:rsidRDefault="00DC338D" w:rsidP="00DC338D">
      <w:pPr>
        <w:pStyle w:val="SingleTxt"/>
        <w:ind w:left="2693" w:hanging="1426"/>
        <w:jc w:val="left"/>
        <w:rPr>
          <w:lang w:val="fr-CH"/>
        </w:rPr>
      </w:pPr>
      <w:r w:rsidRPr="00EE7A13">
        <w:rPr>
          <w:lang w:val="fr-CH"/>
        </w:rPr>
        <w:t>concernant</w:t>
      </w:r>
      <w:r w:rsidRPr="00681E37">
        <w:rPr>
          <w:rStyle w:val="FootnoteReference"/>
          <w:lang w:val="fr-CH"/>
        </w:rPr>
        <w:footnoteReference w:id="5"/>
      </w:r>
      <w:r w:rsidRPr="00EE7A13">
        <w:rPr>
          <w:lang w:val="fr-CH"/>
        </w:rPr>
        <w:t> :</w:t>
      </w:r>
      <w:r w:rsidRPr="00EE7A13">
        <w:rPr>
          <w:lang w:val="fr-CH"/>
        </w:rPr>
        <w:tab/>
      </w:r>
      <w:r w:rsidRPr="00293DE4">
        <w:rPr>
          <w:lang w:val="fr-CH"/>
        </w:rPr>
        <w:t xml:space="preserve">Délivrance d’une homologation </w:t>
      </w:r>
      <w:r w:rsidRPr="00293DE4">
        <w:rPr>
          <w:lang w:val="fr-CH"/>
        </w:rPr>
        <w:br/>
        <w:t xml:space="preserve">Extension d’homologation </w:t>
      </w:r>
      <w:r w:rsidRPr="00293DE4">
        <w:rPr>
          <w:lang w:val="fr-CH"/>
        </w:rPr>
        <w:br/>
        <w:t xml:space="preserve">Refus d’homologation </w:t>
      </w:r>
      <w:r w:rsidRPr="00293DE4">
        <w:rPr>
          <w:lang w:val="fr-CH"/>
        </w:rPr>
        <w:br/>
        <w:t xml:space="preserve">Retrait d’homologation </w:t>
      </w:r>
      <w:r w:rsidRPr="00293DE4">
        <w:rPr>
          <w:lang w:val="fr-CH"/>
        </w:rPr>
        <w:br/>
        <w:t>Arrêt définitif de la production</w:t>
      </w:r>
    </w:p>
    <w:p w:rsidR="00DC338D" w:rsidRPr="00EE7A13" w:rsidRDefault="00DC338D" w:rsidP="00DC338D">
      <w:pPr>
        <w:pStyle w:val="SingleTxt"/>
        <w:rPr>
          <w:szCs w:val="20"/>
          <w:lang w:val="fr-CH"/>
        </w:rPr>
      </w:pPr>
      <w:r w:rsidRPr="00EE7A13">
        <w:rPr>
          <w:szCs w:val="20"/>
          <w:lang w:val="fr-CH"/>
        </w:rPr>
        <w:t xml:space="preserve">d’un type de véhicule en ce qui concerne </w:t>
      </w:r>
      <w:r w:rsidRPr="00EE7A13">
        <w:rPr>
          <w:rFonts w:eastAsia="Times New Roman"/>
          <w:szCs w:val="20"/>
          <w:lang w:val="fr-CH"/>
        </w:rPr>
        <w:t xml:space="preserve">le système de contrôle de stabilité, en application du Règlement </w:t>
      </w:r>
      <w:r w:rsidR="00B5474D">
        <w:rPr>
          <w:rFonts w:eastAsia="Times New Roman"/>
          <w:szCs w:val="20"/>
          <w:lang w:val="fr-CH"/>
        </w:rPr>
        <w:t>n</w:t>
      </w:r>
      <w:r w:rsidR="00B5474D" w:rsidRPr="00B5474D">
        <w:rPr>
          <w:rFonts w:eastAsia="Times New Roman"/>
          <w:szCs w:val="20"/>
          <w:vertAlign w:val="superscript"/>
          <w:lang w:val="fr-CH"/>
        </w:rPr>
        <w:t>o</w:t>
      </w:r>
      <w:r w:rsidR="00B5474D">
        <w:rPr>
          <w:rFonts w:eastAsia="Times New Roman"/>
          <w:szCs w:val="20"/>
          <w:lang w:val="fr-CH"/>
        </w:rPr>
        <w:t> [</w:t>
      </w:r>
      <w:r w:rsidRPr="00EE7A13">
        <w:rPr>
          <w:rFonts w:eastAsia="Times New Roman"/>
          <w:szCs w:val="20"/>
          <w:lang w:val="fr-CH"/>
        </w:rPr>
        <w:t>XX</w:t>
      </w:r>
      <w:r w:rsidR="00B5474D">
        <w:rPr>
          <w:rFonts w:eastAsia="Times New Roman"/>
          <w:szCs w:val="20"/>
          <w:lang w:val="fr-CH"/>
        </w:rPr>
        <w:t>]</w:t>
      </w:r>
      <w:r w:rsidRPr="00EE7A13">
        <w:rPr>
          <w:rFonts w:eastAsia="Times New Roman"/>
          <w:szCs w:val="20"/>
          <w:lang w:val="fr-CH"/>
        </w:rPr>
        <w:t>.</w:t>
      </w:r>
    </w:p>
    <w:p w:rsidR="00DC338D" w:rsidRPr="00B94FAA" w:rsidRDefault="00DC338D" w:rsidP="00DC338D">
      <w:pPr>
        <w:pStyle w:val="SingleTxt"/>
        <w:tabs>
          <w:tab w:val="clear" w:pos="1742"/>
          <w:tab w:val="clear" w:pos="2693"/>
          <w:tab w:val="clear" w:pos="3182"/>
          <w:tab w:val="clear" w:pos="3658"/>
          <w:tab w:val="clear" w:pos="4133"/>
          <w:tab w:val="clear" w:pos="4622"/>
          <w:tab w:val="clear" w:pos="5098"/>
          <w:tab w:val="clear" w:pos="5573"/>
          <w:tab w:val="clear" w:pos="6048"/>
          <w:tab w:val="left" w:leader="dot" w:pos="5310"/>
          <w:tab w:val="left" w:pos="5400"/>
          <w:tab w:val="right" w:leader="dot" w:pos="8793"/>
        </w:tabs>
        <w:ind w:left="2217" w:hanging="950"/>
        <w:rPr>
          <w:lang w:val="fr-CH"/>
        </w:rPr>
      </w:pPr>
      <w:r w:rsidRPr="00B94FAA">
        <w:rPr>
          <w:lang w:val="fr-CH"/>
        </w:rPr>
        <w:t>N</w:t>
      </w:r>
      <w:r w:rsidRPr="00B94FAA">
        <w:rPr>
          <w:vertAlign w:val="superscript"/>
          <w:lang w:val="fr-CH"/>
        </w:rPr>
        <w:t>o</w:t>
      </w:r>
      <w:r w:rsidRPr="00B94FAA">
        <w:rPr>
          <w:lang w:val="fr-CH"/>
        </w:rPr>
        <w:t> d’homologation :</w:t>
      </w:r>
      <w:r w:rsidRPr="00B94FAA">
        <w:rPr>
          <w:lang w:val="fr-CH"/>
        </w:rPr>
        <w:tab/>
        <w:t xml:space="preserve"> N</w:t>
      </w:r>
      <w:r w:rsidRPr="00B94FAA">
        <w:rPr>
          <w:vertAlign w:val="superscript"/>
          <w:lang w:val="fr-CH"/>
        </w:rPr>
        <w:t>o</w:t>
      </w:r>
      <w:r w:rsidRPr="00B94FAA">
        <w:rPr>
          <w:lang w:val="fr-CH"/>
        </w:rPr>
        <w:t> d’extension :</w:t>
      </w:r>
      <w:r w:rsidRPr="00B94FAA">
        <w:rPr>
          <w:lang w:val="fr-CH"/>
        </w:rPr>
        <w:tab/>
      </w:r>
    </w:p>
    <w:p w:rsidR="00DC338D" w:rsidRPr="00B94FAA" w:rsidRDefault="00DC338D" w:rsidP="00DC338D">
      <w:pPr>
        <w:pStyle w:val="SingleTxt"/>
        <w:tabs>
          <w:tab w:val="clear" w:pos="3182"/>
          <w:tab w:val="clear" w:pos="3658"/>
          <w:tab w:val="clear" w:pos="4133"/>
          <w:tab w:val="clear" w:pos="4622"/>
          <w:tab w:val="clear" w:pos="5098"/>
          <w:tab w:val="clear" w:pos="5573"/>
          <w:tab w:val="clear" w:pos="6048"/>
          <w:tab w:val="right" w:leader="dot" w:pos="2693"/>
          <w:tab w:val="right" w:leader="dot" w:pos="8793"/>
        </w:tabs>
        <w:ind w:left="2217" w:hanging="950"/>
        <w:rPr>
          <w:lang w:val="fr-CH"/>
        </w:rPr>
      </w:pPr>
      <w:r w:rsidRPr="00B94FAA">
        <w:rPr>
          <w:lang w:val="fr-CH"/>
        </w:rPr>
        <w:t>1.</w:t>
      </w:r>
      <w:r w:rsidRPr="00B94FAA">
        <w:rPr>
          <w:lang w:val="fr-CH"/>
        </w:rPr>
        <w:tab/>
      </w:r>
      <w:r w:rsidRPr="00B94FAA">
        <w:rPr>
          <w:lang w:val="fr-CH"/>
        </w:rPr>
        <w:tab/>
        <w:t>Marque de fabrique ou de commerce du véhicule :</w:t>
      </w:r>
      <w:r w:rsidRPr="00B94FAA">
        <w:rPr>
          <w:lang w:val="fr-CH"/>
        </w:rPr>
        <w:tab/>
      </w:r>
    </w:p>
    <w:p w:rsidR="00DC338D" w:rsidRDefault="00DC338D" w:rsidP="00DC338D">
      <w:pPr>
        <w:pStyle w:val="SingleTxt"/>
        <w:tabs>
          <w:tab w:val="clear" w:pos="2693"/>
          <w:tab w:val="clear" w:pos="3182"/>
          <w:tab w:val="clear" w:pos="3658"/>
          <w:tab w:val="clear" w:pos="4133"/>
          <w:tab w:val="clear" w:pos="4622"/>
          <w:tab w:val="clear" w:pos="5098"/>
          <w:tab w:val="clear" w:pos="5573"/>
          <w:tab w:val="clear" w:pos="6048"/>
          <w:tab w:val="right" w:leader="dot" w:pos="8793"/>
        </w:tabs>
        <w:ind w:left="2217" w:hanging="950"/>
        <w:rPr>
          <w:lang w:val="fr-CH"/>
        </w:rPr>
      </w:pPr>
      <w:r w:rsidRPr="00B94FAA">
        <w:rPr>
          <w:lang w:val="fr-CH"/>
        </w:rPr>
        <w:t>2.</w:t>
      </w:r>
      <w:r w:rsidRPr="00B94FAA">
        <w:rPr>
          <w:lang w:val="fr-CH"/>
        </w:rPr>
        <w:tab/>
      </w:r>
      <w:r w:rsidRPr="00B94FAA">
        <w:rPr>
          <w:lang w:val="fr-CH"/>
        </w:rPr>
        <w:tab/>
        <w:t>Type du véhicule</w:t>
      </w:r>
      <w:r w:rsidR="00B94FAA">
        <w:rPr>
          <w:lang w:val="fr-CH"/>
        </w:rPr>
        <w:t xml:space="preserve"> (le cas échéant, les variantes qui sont comprises)</w:t>
      </w:r>
      <w:r w:rsidRPr="00B94FAA">
        <w:rPr>
          <w:lang w:val="fr-CH"/>
        </w:rPr>
        <w:t> :</w:t>
      </w:r>
      <w:r w:rsidRPr="00B94FAA">
        <w:rPr>
          <w:lang w:val="fr-CH"/>
        </w:rPr>
        <w:tab/>
      </w:r>
    </w:p>
    <w:p w:rsidR="00B94FAA" w:rsidRPr="00B94FAA" w:rsidRDefault="00B94FAA" w:rsidP="00DC338D">
      <w:pPr>
        <w:pStyle w:val="SingleTxt"/>
        <w:tabs>
          <w:tab w:val="clear" w:pos="2693"/>
          <w:tab w:val="clear" w:pos="3182"/>
          <w:tab w:val="clear" w:pos="3658"/>
          <w:tab w:val="clear" w:pos="4133"/>
          <w:tab w:val="clear" w:pos="4622"/>
          <w:tab w:val="clear" w:pos="5098"/>
          <w:tab w:val="clear" w:pos="5573"/>
          <w:tab w:val="clear" w:pos="6048"/>
          <w:tab w:val="right" w:leader="dot" w:pos="8793"/>
        </w:tabs>
        <w:ind w:left="2217" w:hanging="950"/>
        <w:rPr>
          <w:lang w:val="fr-CH"/>
        </w:rPr>
      </w:pPr>
      <w:r>
        <w:rPr>
          <w:lang w:val="fr-CH"/>
        </w:rPr>
        <w:tab/>
      </w:r>
      <w:r>
        <w:rPr>
          <w:lang w:val="fr-CH"/>
        </w:rPr>
        <w:tab/>
      </w:r>
      <w:r>
        <w:rPr>
          <w:lang w:val="fr-CH"/>
        </w:rPr>
        <w:tab/>
      </w:r>
      <w:r>
        <w:rPr>
          <w:lang w:val="fr-CH"/>
        </w:rPr>
        <w:tab/>
      </w:r>
    </w:p>
    <w:p w:rsidR="00DC338D" w:rsidRPr="00B94FAA" w:rsidRDefault="00DC338D" w:rsidP="00DC338D">
      <w:pPr>
        <w:pStyle w:val="SingleTxt"/>
        <w:tabs>
          <w:tab w:val="clear" w:pos="2693"/>
          <w:tab w:val="clear" w:pos="3182"/>
          <w:tab w:val="clear" w:pos="3658"/>
          <w:tab w:val="clear" w:pos="4133"/>
          <w:tab w:val="clear" w:pos="4622"/>
          <w:tab w:val="clear" w:pos="5098"/>
          <w:tab w:val="clear" w:pos="5573"/>
          <w:tab w:val="clear" w:pos="6048"/>
          <w:tab w:val="right" w:leader="dot" w:pos="8793"/>
        </w:tabs>
        <w:ind w:left="2217" w:hanging="950"/>
        <w:rPr>
          <w:lang w:val="fr-CH"/>
        </w:rPr>
      </w:pPr>
      <w:r w:rsidRPr="00B94FAA">
        <w:rPr>
          <w:lang w:val="fr-CH"/>
        </w:rPr>
        <w:t>3.</w:t>
      </w:r>
      <w:r w:rsidRPr="00B94FAA">
        <w:rPr>
          <w:lang w:val="fr-CH"/>
        </w:rPr>
        <w:tab/>
      </w:r>
      <w:r w:rsidRPr="00B94FAA">
        <w:rPr>
          <w:lang w:val="fr-CH"/>
        </w:rPr>
        <w:tab/>
        <w:t>Nom et adresse du constructeur :</w:t>
      </w:r>
      <w:r w:rsidRPr="00B94FAA">
        <w:rPr>
          <w:lang w:val="fr-CH"/>
        </w:rPr>
        <w:tab/>
      </w:r>
    </w:p>
    <w:p w:rsidR="00DC338D" w:rsidRPr="00B94FAA" w:rsidRDefault="00DC338D" w:rsidP="00DC338D">
      <w:pPr>
        <w:pStyle w:val="SingleTxt"/>
        <w:tabs>
          <w:tab w:val="clear" w:pos="2693"/>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B94FAA">
        <w:rPr>
          <w:lang w:val="fr-CH"/>
        </w:rPr>
        <w:t>4.</w:t>
      </w:r>
      <w:r w:rsidRPr="00B94FAA">
        <w:rPr>
          <w:lang w:val="fr-CH"/>
        </w:rPr>
        <w:tab/>
      </w:r>
      <w:r w:rsidRPr="00B94FAA">
        <w:rPr>
          <w:lang w:val="fr-CH"/>
        </w:rPr>
        <w:tab/>
      </w:r>
      <w:r w:rsidR="006B27F5">
        <w:rPr>
          <w:lang w:val="fr-CH"/>
        </w:rPr>
        <w:t>Nom</w:t>
      </w:r>
      <w:r w:rsidRPr="00B94FAA">
        <w:rPr>
          <w:lang w:val="fr-CH"/>
        </w:rPr>
        <w:t xml:space="preserve"> et adresse du représentant du constructeur</w:t>
      </w:r>
      <w:r w:rsidR="006B27F5">
        <w:rPr>
          <w:lang w:val="fr-CH"/>
        </w:rPr>
        <w:t xml:space="preserve"> (le cas échéant)</w:t>
      </w:r>
      <w:r w:rsidRPr="00B94FAA">
        <w:rPr>
          <w:lang w:val="fr-CH"/>
        </w:rPr>
        <w:t> :</w:t>
      </w:r>
      <w:r w:rsidRPr="00B94FAA">
        <w:rPr>
          <w:lang w:val="fr-CH"/>
        </w:rPr>
        <w:tab/>
      </w:r>
    </w:p>
    <w:p w:rsidR="00DC338D" w:rsidRPr="00B94FAA" w:rsidRDefault="00DC338D" w:rsidP="00DC33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802"/>
        </w:tabs>
        <w:ind w:left="2232"/>
        <w:rPr>
          <w:lang w:val="fr-CH"/>
        </w:rPr>
      </w:pPr>
      <w:r w:rsidRPr="00B94FAA">
        <w:rPr>
          <w:lang w:val="fr-CH"/>
        </w:rPr>
        <w:tab/>
      </w:r>
    </w:p>
    <w:p w:rsidR="00DC338D" w:rsidRPr="000B0733" w:rsidRDefault="00DC338D" w:rsidP="00DC338D">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0B0733">
        <w:rPr>
          <w:lang w:val="fr-CH"/>
        </w:rPr>
        <w:t>5.</w:t>
      </w:r>
      <w:r w:rsidRPr="000B0733">
        <w:rPr>
          <w:lang w:val="fr-CH"/>
        </w:rPr>
        <w:tab/>
      </w:r>
      <w:r w:rsidRPr="000B0733">
        <w:rPr>
          <w:lang w:val="fr-CH"/>
        </w:rPr>
        <w:tab/>
      </w:r>
      <w:r w:rsidR="000B0733" w:rsidRPr="000B0733">
        <w:rPr>
          <w:lang w:val="fr-CH"/>
        </w:rPr>
        <w:t>Véhicule présenté à l’homologation le</w:t>
      </w:r>
      <w:r w:rsidRPr="000B0733">
        <w:rPr>
          <w:lang w:val="fr-CH"/>
        </w:rPr>
        <w:t> :</w:t>
      </w:r>
      <w:r w:rsidRPr="000B0733">
        <w:rPr>
          <w:lang w:val="fr-CH"/>
        </w:rPr>
        <w:tab/>
      </w:r>
    </w:p>
    <w:p w:rsidR="00DC338D" w:rsidRPr="000B0733" w:rsidRDefault="00DC338D" w:rsidP="00DC338D">
      <w:pPr>
        <w:pStyle w:val="SingleTxt"/>
        <w:tabs>
          <w:tab w:val="clear" w:pos="2693"/>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0B0733">
        <w:rPr>
          <w:lang w:val="fr-CH"/>
        </w:rPr>
        <w:t>6.</w:t>
      </w:r>
      <w:r w:rsidRPr="000B0733">
        <w:rPr>
          <w:lang w:val="fr-CH"/>
        </w:rPr>
        <w:tab/>
      </w:r>
      <w:r w:rsidRPr="000B0733">
        <w:rPr>
          <w:lang w:val="fr-CH"/>
        </w:rPr>
        <w:tab/>
      </w:r>
      <w:r w:rsidR="00BE77C9">
        <w:rPr>
          <w:lang w:val="fr-CH"/>
        </w:rPr>
        <w:t>Service technique chargé des essais d’homologation</w:t>
      </w:r>
      <w:r w:rsidRPr="000B0733">
        <w:rPr>
          <w:lang w:val="fr-CH"/>
        </w:rPr>
        <w:t> :</w:t>
      </w:r>
      <w:r w:rsidRPr="000B0733">
        <w:rPr>
          <w:lang w:val="fr-CH"/>
        </w:rPr>
        <w:tab/>
      </w:r>
    </w:p>
    <w:p w:rsidR="00DC338D" w:rsidRPr="000B0733" w:rsidRDefault="000055E9" w:rsidP="00DC338D">
      <w:pPr>
        <w:pStyle w:val="SingleTxt"/>
        <w:tabs>
          <w:tab w:val="clear" w:pos="3182"/>
          <w:tab w:val="clear" w:pos="3658"/>
          <w:tab w:val="clear" w:pos="4133"/>
          <w:tab w:val="clear" w:pos="4622"/>
          <w:tab w:val="clear" w:pos="5098"/>
          <w:tab w:val="clear" w:pos="5573"/>
          <w:tab w:val="clear" w:pos="6048"/>
          <w:tab w:val="right" w:leader="dot" w:pos="8802"/>
        </w:tabs>
        <w:ind w:left="2217" w:hanging="950"/>
        <w:rPr>
          <w:lang w:val="fr-CH"/>
        </w:rPr>
      </w:pPr>
      <w:r>
        <w:rPr>
          <w:lang w:val="fr-CH"/>
        </w:rPr>
        <w:t>7</w:t>
      </w:r>
      <w:r w:rsidR="00DC338D" w:rsidRPr="000B0733">
        <w:rPr>
          <w:lang w:val="fr-CH"/>
        </w:rPr>
        <w:t>.</w:t>
      </w:r>
      <w:r w:rsidR="00DC338D" w:rsidRPr="000B0733">
        <w:rPr>
          <w:lang w:val="fr-CH"/>
        </w:rPr>
        <w:tab/>
      </w:r>
      <w:r w:rsidR="00DC338D" w:rsidRPr="000B0733">
        <w:rPr>
          <w:lang w:val="fr-CH"/>
        </w:rPr>
        <w:tab/>
      </w:r>
      <w:r>
        <w:rPr>
          <w:lang w:val="fr-CH"/>
        </w:rPr>
        <w:t>Date du procès-verbal d’essais</w:t>
      </w:r>
      <w:r w:rsidR="00DC338D" w:rsidRPr="000B0733">
        <w:rPr>
          <w:lang w:val="fr-CH"/>
        </w:rPr>
        <w:t> :</w:t>
      </w:r>
      <w:r w:rsidR="00DC338D" w:rsidRPr="000B0733">
        <w:rPr>
          <w:lang w:val="fr-CH"/>
        </w:rPr>
        <w:tab/>
      </w:r>
    </w:p>
    <w:p w:rsidR="00DC338D" w:rsidRPr="00AC0ECC" w:rsidRDefault="00AC0ECC" w:rsidP="00DC338D">
      <w:pPr>
        <w:pStyle w:val="SingleTxt"/>
        <w:tabs>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AC0ECC">
        <w:rPr>
          <w:lang w:val="fr-CH"/>
        </w:rPr>
        <w:t>8</w:t>
      </w:r>
      <w:r w:rsidR="00DC338D" w:rsidRPr="00AC0ECC">
        <w:rPr>
          <w:lang w:val="fr-CH"/>
        </w:rPr>
        <w:t>.</w:t>
      </w:r>
      <w:r w:rsidR="00DC338D" w:rsidRPr="00AC0ECC">
        <w:rPr>
          <w:lang w:val="fr-CH"/>
        </w:rPr>
        <w:tab/>
      </w:r>
      <w:r w:rsidR="00DC338D" w:rsidRPr="00AC0ECC">
        <w:rPr>
          <w:lang w:val="fr-CH"/>
        </w:rPr>
        <w:tab/>
      </w:r>
      <w:r w:rsidRPr="00AC0ECC">
        <w:rPr>
          <w:lang w:val="fr-CH"/>
        </w:rPr>
        <w:t>Numéro du procès-verbal d’essais</w:t>
      </w:r>
      <w:r w:rsidR="00DC338D" w:rsidRPr="00AC0ECC">
        <w:rPr>
          <w:lang w:val="fr-CH"/>
        </w:rPr>
        <w:t> :</w:t>
      </w:r>
      <w:r w:rsidR="00DC338D" w:rsidRPr="00AC0ECC">
        <w:rPr>
          <w:lang w:val="fr-CH"/>
        </w:rPr>
        <w:tab/>
      </w:r>
    </w:p>
    <w:p w:rsidR="00DC338D" w:rsidRDefault="004032B7" w:rsidP="00DC338D">
      <w:pPr>
        <w:pStyle w:val="SingleTxt"/>
        <w:tabs>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4032B7">
        <w:rPr>
          <w:lang w:val="fr-CH"/>
        </w:rPr>
        <w:t>9</w:t>
      </w:r>
      <w:r w:rsidR="00DC338D" w:rsidRPr="004032B7">
        <w:rPr>
          <w:lang w:val="fr-CH"/>
        </w:rPr>
        <w:t>.</w:t>
      </w:r>
      <w:r w:rsidR="00DC338D" w:rsidRPr="004032B7">
        <w:rPr>
          <w:lang w:val="fr-CH"/>
        </w:rPr>
        <w:tab/>
      </w:r>
      <w:r w:rsidR="00DC338D" w:rsidRPr="004032B7">
        <w:rPr>
          <w:lang w:val="fr-CH"/>
        </w:rPr>
        <w:tab/>
      </w:r>
      <w:r w:rsidRPr="004032B7">
        <w:rPr>
          <w:lang w:val="fr-CH"/>
        </w:rPr>
        <w:t>Description sommaire du type de véhicule</w:t>
      </w:r>
      <w:r w:rsidR="00DC338D" w:rsidRPr="004032B7">
        <w:rPr>
          <w:lang w:val="fr-CH"/>
        </w:rPr>
        <w:t> :</w:t>
      </w:r>
      <w:r w:rsidR="00DC338D" w:rsidRPr="004032B7">
        <w:rPr>
          <w:lang w:val="fr-CH"/>
        </w:rPr>
        <w:tab/>
      </w:r>
    </w:p>
    <w:p w:rsidR="00DC338D" w:rsidRPr="005628B7" w:rsidRDefault="00AE145B" w:rsidP="00DC338D">
      <w:pPr>
        <w:pStyle w:val="SingleTxt"/>
        <w:tabs>
          <w:tab w:val="clear" w:pos="3182"/>
          <w:tab w:val="clear" w:pos="3658"/>
          <w:tab w:val="clear" w:pos="4133"/>
          <w:tab w:val="clear" w:pos="4622"/>
          <w:tab w:val="clear" w:pos="5098"/>
          <w:tab w:val="clear" w:pos="5573"/>
          <w:tab w:val="clear" w:pos="6048"/>
          <w:tab w:val="right" w:leader="dot" w:pos="8793"/>
        </w:tabs>
        <w:ind w:left="2217" w:hanging="950"/>
        <w:rPr>
          <w:lang w:val="fr-CH"/>
        </w:rPr>
      </w:pPr>
      <w:r w:rsidRPr="005628B7">
        <w:rPr>
          <w:lang w:val="fr-CH"/>
        </w:rPr>
        <w:t>9.1</w:t>
      </w:r>
      <w:r w:rsidR="00DC338D" w:rsidRPr="005628B7">
        <w:rPr>
          <w:lang w:val="fr-CH"/>
        </w:rPr>
        <w:tab/>
      </w:r>
      <w:r w:rsidR="00DC338D" w:rsidRPr="005628B7">
        <w:rPr>
          <w:lang w:val="fr-CH"/>
        </w:rPr>
        <w:tab/>
      </w:r>
      <w:r w:rsidRPr="005628B7">
        <w:rPr>
          <w:spacing w:val="0"/>
          <w:lang w:val="fr-CH"/>
        </w:rPr>
        <w:t>Masse du véhicule lors des essais</w:t>
      </w:r>
      <w:r w:rsidR="00DC338D" w:rsidRPr="005628B7">
        <w:rPr>
          <w:spacing w:val="0"/>
          <w:lang w:val="fr-CH"/>
        </w:rPr>
        <w:t> </w:t>
      </w:r>
      <w:r w:rsidR="00DC338D" w:rsidRPr="005628B7">
        <w:rPr>
          <w:lang w:val="fr-CH"/>
        </w:rPr>
        <w:t>:</w:t>
      </w:r>
      <w:r w:rsidR="00DC338D" w:rsidRPr="005628B7">
        <w:rPr>
          <w:lang w:val="fr-CH"/>
        </w:rPr>
        <w:tab/>
      </w:r>
    </w:p>
    <w:p w:rsidR="00DC338D" w:rsidRPr="005628B7" w:rsidRDefault="00DC338D" w:rsidP="00DC338D">
      <w:pPr>
        <w:pStyle w:val="SingleTxt"/>
        <w:tabs>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5628B7">
        <w:rPr>
          <w:lang w:val="fr-CH"/>
        </w:rPr>
        <w:tab/>
      </w:r>
      <w:r w:rsidRPr="005628B7">
        <w:rPr>
          <w:lang w:val="fr-CH"/>
        </w:rPr>
        <w:tab/>
      </w:r>
      <w:r w:rsidR="00AE145B" w:rsidRPr="005628B7">
        <w:rPr>
          <w:lang w:val="fr-CH"/>
        </w:rPr>
        <w:t>Essieu avant :</w:t>
      </w:r>
      <w:r w:rsidRPr="005628B7">
        <w:rPr>
          <w:lang w:val="fr-CH"/>
        </w:rPr>
        <w:tab/>
      </w:r>
    </w:p>
    <w:p w:rsidR="00DC338D" w:rsidRPr="005628B7" w:rsidRDefault="00DC338D" w:rsidP="00DC338D">
      <w:pPr>
        <w:pStyle w:val="SingleTxt"/>
        <w:tabs>
          <w:tab w:val="clear" w:pos="3182"/>
          <w:tab w:val="clear" w:pos="3658"/>
          <w:tab w:val="clear" w:pos="4133"/>
          <w:tab w:val="clear" w:pos="4622"/>
          <w:tab w:val="clear" w:pos="5098"/>
          <w:tab w:val="clear" w:pos="5573"/>
          <w:tab w:val="clear" w:pos="6048"/>
          <w:tab w:val="right" w:leader="dot" w:pos="8793"/>
        </w:tabs>
        <w:ind w:left="2217" w:hanging="950"/>
        <w:rPr>
          <w:lang w:val="fr-CH"/>
        </w:rPr>
      </w:pPr>
      <w:r w:rsidRPr="005628B7">
        <w:rPr>
          <w:lang w:val="fr-CH"/>
        </w:rPr>
        <w:tab/>
      </w:r>
      <w:r w:rsidRPr="005628B7">
        <w:rPr>
          <w:lang w:val="fr-CH"/>
        </w:rPr>
        <w:tab/>
      </w:r>
      <w:r w:rsidR="00AE145B" w:rsidRPr="005628B7">
        <w:rPr>
          <w:lang w:val="fr-CH"/>
        </w:rPr>
        <w:t>Essieu arrière</w:t>
      </w:r>
      <w:r w:rsidRPr="005628B7">
        <w:rPr>
          <w:lang w:val="fr-CH"/>
        </w:rPr>
        <w:t> :</w:t>
      </w:r>
      <w:r w:rsidRPr="005628B7">
        <w:rPr>
          <w:lang w:val="fr-CH"/>
        </w:rPr>
        <w:tab/>
      </w:r>
    </w:p>
    <w:p w:rsidR="00DC338D" w:rsidRPr="005628B7" w:rsidRDefault="00DC338D" w:rsidP="00DC338D">
      <w:pPr>
        <w:pStyle w:val="SingleTxt"/>
        <w:tabs>
          <w:tab w:val="clear" w:pos="3182"/>
          <w:tab w:val="clear" w:pos="3658"/>
          <w:tab w:val="clear" w:pos="4133"/>
          <w:tab w:val="clear" w:pos="4622"/>
          <w:tab w:val="clear" w:pos="5098"/>
          <w:tab w:val="clear" w:pos="5573"/>
          <w:tab w:val="clear" w:pos="6048"/>
          <w:tab w:val="right" w:leader="dot" w:pos="8793"/>
        </w:tabs>
        <w:ind w:left="2217" w:hanging="950"/>
        <w:rPr>
          <w:lang w:val="fr-CH"/>
        </w:rPr>
      </w:pPr>
      <w:r w:rsidRPr="005628B7">
        <w:rPr>
          <w:lang w:val="fr-CH"/>
        </w:rPr>
        <w:tab/>
      </w:r>
      <w:r w:rsidRPr="005628B7">
        <w:rPr>
          <w:lang w:val="fr-CH"/>
        </w:rPr>
        <w:tab/>
      </w:r>
      <w:r w:rsidR="00AE145B" w:rsidRPr="005628B7">
        <w:rPr>
          <w:lang w:val="fr-CH"/>
        </w:rPr>
        <w:t>Total :</w:t>
      </w:r>
      <w:r w:rsidRPr="005628B7">
        <w:rPr>
          <w:lang w:val="fr-CH"/>
        </w:rPr>
        <w:tab/>
      </w:r>
    </w:p>
    <w:p w:rsidR="00DC338D" w:rsidRPr="005628B7" w:rsidRDefault="00AE145B" w:rsidP="00DC338D">
      <w:pPr>
        <w:pStyle w:val="SingleTxt"/>
        <w:tabs>
          <w:tab w:val="right" w:leader="dot" w:pos="8793"/>
        </w:tabs>
        <w:ind w:left="2217" w:hanging="950"/>
        <w:rPr>
          <w:lang w:val="fr-CH"/>
        </w:rPr>
      </w:pPr>
      <w:r w:rsidRPr="005628B7">
        <w:rPr>
          <w:lang w:val="fr-CH"/>
        </w:rPr>
        <w:t>9.2</w:t>
      </w:r>
      <w:r w:rsidR="00DC338D" w:rsidRPr="005628B7">
        <w:rPr>
          <w:lang w:val="fr-CH"/>
        </w:rPr>
        <w:tab/>
      </w:r>
      <w:r w:rsidR="00DC338D" w:rsidRPr="005628B7">
        <w:rPr>
          <w:lang w:val="fr-CH"/>
        </w:rPr>
        <w:tab/>
      </w:r>
      <w:r w:rsidRPr="005628B7">
        <w:rPr>
          <w:lang w:val="fr-CH"/>
        </w:rPr>
        <w:t>Marquage et dimension(s) de la roue de l’équipement standard</w:t>
      </w:r>
      <w:r w:rsidR="00DC338D" w:rsidRPr="005628B7">
        <w:rPr>
          <w:lang w:val="fr-CH"/>
        </w:rPr>
        <w:t> :</w:t>
      </w:r>
      <w:r w:rsidR="00DC338D" w:rsidRPr="005628B7">
        <w:rPr>
          <w:lang w:val="fr-CH"/>
        </w:rPr>
        <w:tab/>
      </w:r>
    </w:p>
    <w:p w:rsidR="00DC338D" w:rsidRDefault="005628B7" w:rsidP="00DC338D">
      <w:pPr>
        <w:pStyle w:val="SingleTxt"/>
        <w:tabs>
          <w:tab w:val="clear" w:pos="2693"/>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5628B7">
        <w:rPr>
          <w:lang w:val="fr-CH"/>
        </w:rPr>
        <w:t>9.3</w:t>
      </w:r>
      <w:r w:rsidR="00DC338D" w:rsidRPr="005628B7">
        <w:rPr>
          <w:lang w:val="fr-CH"/>
        </w:rPr>
        <w:tab/>
      </w:r>
      <w:r w:rsidR="00DC338D" w:rsidRPr="005628B7">
        <w:rPr>
          <w:lang w:val="fr-CH"/>
        </w:rPr>
        <w:tab/>
      </w:r>
      <w:r w:rsidRPr="005628B7">
        <w:rPr>
          <w:lang w:val="fr-CH"/>
        </w:rPr>
        <w:t>Description succincte du système de surveillance de la pression des</w:t>
      </w:r>
      <w:r w:rsidR="00B91C0A">
        <w:rPr>
          <w:lang w:val="fr-CH"/>
        </w:rPr>
        <w:t xml:space="preserve"> </w:t>
      </w:r>
      <w:r w:rsidRPr="005628B7">
        <w:rPr>
          <w:lang w:val="fr-CH"/>
        </w:rPr>
        <w:t>pneumatiques </w:t>
      </w:r>
      <w:r w:rsidR="00DC338D" w:rsidRPr="005628B7">
        <w:rPr>
          <w:lang w:val="fr-CH"/>
        </w:rPr>
        <w:t>:</w:t>
      </w:r>
      <w:r w:rsidR="00DC338D" w:rsidRPr="005628B7">
        <w:rPr>
          <w:lang w:val="fr-CH"/>
        </w:rPr>
        <w:tab/>
      </w:r>
    </w:p>
    <w:p w:rsidR="00265F2B" w:rsidRDefault="00214AA4" w:rsidP="00214AA4">
      <w:pPr>
        <w:pStyle w:val="SingleTxt"/>
        <w:keepNext/>
        <w:keepLines/>
        <w:tabs>
          <w:tab w:val="clear" w:pos="2693"/>
          <w:tab w:val="clear" w:pos="3182"/>
          <w:tab w:val="clear" w:pos="3658"/>
          <w:tab w:val="clear" w:pos="4133"/>
          <w:tab w:val="clear" w:pos="4622"/>
          <w:tab w:val="clear" w:pos="5098"/>
          <w:tab w:val="clear" w:pos="5573"/>
          <w:tab w:val="clear" w:pos="6048"/>
          <w:tab w:val="right" w:leader="dot" w:pos="8802"/>
        </w:tabs>
        <w:ind w:left="2217" w:hanging="950"/>
        <w:rPr>
          <w:lang w:val="fr-CH"/>
        </w:rPr>
      </w:pPr>
      <w:r>
        <w:rPr>
          <w:lang w:val="fr-CH"/>
        </w:rPr>
        <w:lastRenderedPageBreak/>
        <w:t>10</w:t>
      </w:r>
      <w:r>
        <w:rPr>
          <w:lang w:val="fr-CH"/>
        </w:rPr>
        <w:tab/>
      </w:r>
      <w:r>
        <w:rPr>
          <w:lang w:val="fr-CH"/>
        </w:rPr>
        <w:tab/>
        <w:t>Résultat des essais</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25"/>
        <w:gridCol w:w="4077"/>
      </w:tblGrid>
      <w:tr w:rsidR="007F38F1" w:rsidRPr="007F38F1" w:rsidTr="00DC338D">
        <w:trPr>
          <w:tblHeader/>
        </w:trPr>
        <w:tc>
          <w:tcPr>
            <w:tcW w:w="3425" w:type="dxa"/>
            <w:tcBorders>
              <w:top w:val="single" w:sz="4" w:space="0" w:color="auto"/>
              <w:left w:val="single" w:sz="4" w:space="0" w:color="auto"/>
              <w:bottom w:val="single" w:sz="4" w:space="0" w:color="auto"/>
              <w:right w:val="single" w:sz="4" w:space="0" w:color="auto"/>
            </w:tcBorders>
            <w:vAlign w:val="bottom"/>
          </w:tcPr>
          <w:p w:rsidR="00DC338D" w:rsidRPr="007F38F1" w:rsidRDefault="00DC338D" w:rsidP="00214AA4">
            <w:pPr>
              <w:keepNext/>
              <w:keepLines/>
              <w:tabs>
                <w:tab w:val="left" w:pos="288"/>
                <w:tab w:val="left" w:pos="576"/>
                <w:tab w:val="left" w:pos="864"/>
                <w:tab w:val="left" w:pos="1152"/>
              </w:tabs>
              <w:suppressAutoHyphens/>
              <w:spacing w:before="80" w:after="80" w:line="160" w:lineRule="exact"/>
              <w:ind w:right="40"/>
              <w:rPr>
                <w:i/>
                <w:sz w:val="14"/>
                <w:szCs w:val="20"/>
                <w:lang w:val="fr-CH"/>
              </w:rPr>
            </w:pPr>
          </w:p>
        </w:tc>
        <w:tc>
          <w:tcPr>
            <w:tcW w:w="4077" w:type="dxa"/>
            <w:tcBorders>
              <w:top w:val="single" w:sz="4" w:space="0" w:color="auto"/>
              <w:left w:val="single" w:sz="4" w:space="0" w:color="auto"/>
              <w:bottom w:val="single" w:sz="4" w:space="0" w:color="auto"/>
              <w:right w:val="single" w:sz="4" w:space="0" w:color="auto"/>
            </w:tcBorders>
            <w:vAlign w:val="bottom"/>
            <w:hideMark/>
          </w:tcPr>
          <w:p w:rsidR="00DC338D" w:rsidRPr="007F38F1" w:rsidRDefault="008F4411" w:rsidP="00214AA4">
            <w:pPr>
              <w:keepNext/>
              <w:keepLines/>
              <w:tabs>
                <w:tab w:val="left" w:pos="288"/>
                <w:tab w:val="left" w:pos="576"/>
                <w:tab w:val="left" w:pos="864"/>
                <w:tab w:val="left" w:pos="1152"/>
              </w:tabs>
              <w:suppressAutoHyphens/>
              <w:spacing w:before="80" w:after="80" w:line="160" w:lineRule="exact"/>
              <w:ind w:right="113"/>
              <w:jc w:val="center"/>
              <w:rPr>
                <w:i/>
                <w:sz w:val="14"/>
                <w:szCs w:val="20"/>
                <w:lang w:val="fr-CH"/>
              </w:rPr>
            </w:pPr>
            <w:r w:rsidRPr="007F38F1">
              <w:rPr>
                <w:b/>
                <w:i/>
                <w:sz w:val="14"/>
                <w:szCs w:val="20"/>
                <w:lang w:val="fr-CH"/>
              </w:rPr>
              <w:t xml:space="preserve">Temps mesuré jusqu’à l’avertissement </w:t>
            </w:r>
            <w:r w:rsidRPr="007F38F1">
              <w:rPr>
                <w:b/>
                <w:i/>
                <w:sz w:val="14"/>
                <w:szCs w:val="20"/>
                <w:lang w:val="fr-CH"/>
              </w:rPr>
              <w:br/>
            </w:r>
            <w:r w:rsidRPr="007F38F1">
              <w:rPr>
                <w:i/>
                <w:sz w:val="14"/>
                <w:szCs w:val="20"/>
                <w:lang w:val="fr-CH"/>
              </w:rPr>
              <w:t>(mm:ss)</w:t>
            </w:r>
          </w:p>
        </w:tc>
      </w:tr>
      <w:tr w:rsidR="007F38F1" w:rsidRPr="007F38F1" w:rsidTr="00DC338D">
        <w:tc>
          <w:tcPr>
            <w:tcW w:w="3425" w:type="dxa"/>
            <w:tcBorders>
              <w:top w:val="single" w:sz="4" w:space="0" w:color="auto"/>
              <w:left w:val="single" w:sz="4" w:space="0" w:color="auto"/>
              <w:bottom w:val="single" w:sz="4" w:space="0" w:color="auto"/>
              <w:right w:val="single" w:sz="4" w:space="0" w:color="auto"/>
            </w:tcBorders>
            <w:vAlign w:val="bottom"/>
            <w:hideMark/>
          </w:tcPr>
          <w:p w:rsidR="00DC338D" w:rsidRPr="007F38F1" w:rsidRDefault="008F4411" w:rsidP="00214AA4">
            <w:pPr>
              <w:keepNext/>
              <w:keepLines/>
              <w:tabs>
                <w:tab w:val="left" w:pos="288"/>
                <w:tab w:val="left" w:pos="576"/>
                <w:tab w:val="left" w:pos="864"/>
                <w:tab w:val="left" w:pos="1152"/>
              </w:tabs>
              <w:suppressAutoHyphens/>
              <w:spacing w:before="40" w:after="40" w:line="210" w:lineRule="exact"/>
              <w:ind w:left="43" w:right="43"/>
              <w:rPr>
                <w:sz w:val="17"/>
                <w:szCs w:val="20"/>
                <w:lang w:val="fr-CH"/>
              </w:rPr>
            </w:pPr>
            <w:r w:rsidRPr="007F38F1">
              <w:rPr>
                <w:sz w:val="17"/>
                <w:szCs w:val="20"/>
                <w:lang w:val="fr-CH"/>
              </w:rPr>
              <w:t>“Essai de crevaison”</w:t>
            </w:r>
          </w:p>
        </w:tc>
        <w:tc>
          <w:tcPr>
            <w:tcW w:w="4077" w:type="dxa"/>
            <w:tcBorders>
              <w:top w:val="single" w:sz="4" w:space="0" w:color="auto"/>
              <w:left w:val="single" w:sz="4" w:space="0" w:color="auto"/>
              <w:bottom w:val="single" w:sz="4" w:space="0" w:color="auto"/>
              <w:right w:val="single" w:sz="4" w:space="0" w:color="auto"/>
            </w:tcBorders>
            <w:vAlign w:val="bottom"/>
          </w:tcPr>
          <w:p w:rsidR="00DC338D" w:rsidRPr="007F38F1" w:rsidRDefault="00DC338D" w:rsidP="00214AA4">
            <w:pPr>
              <w:keepNext/>
              <w:keepLines/>
              <w:tabs>
                <w:tab w:val="left" w:pos="288"/>
                <w:tab w:val="left" w:pos="576"/>
                <w:tab w:val="left" w:pos="864"/>
                <w:tab w:val="left" w:pos="1152"/>
              </w:tabs>
              <w:suppressAutoHyphens/>
              <w:spacing w:before="40" w:after="40" w:line="210" w:lineRule="exact"/>
              <w:ind w:left="43" w:right="113"/>
              <w:jc w:val="right"/>
              <w:rPr>
                <w:sz w:val="17"/>
                <w:szCs w:val="20"/>
                <w:lang w:val="fr-CH"/>
              </w:rPr>
            </w:pPr>
          </w:p>
        </w:tc>
      </w:tr>
      <w:tr w:rsidR="007F38F1" w:rsidRPr="007F38F1" w:rsidTr="00DC338D">
        <w:tc>
          <w:tcPr>
            <w:tcW w:w="3425" w:type="dxa"/>
            <w:tcBorders>
              <w:top w:val="single" w:sz="4" w:space="0" w:color="auto"/>
              <w:left w:val="single" w:sz="4" w:space="0" w:color="auto"/>
              <w:bottom w:val="single" w:sz="4" w:space="0" w:color="auto"/>
              <w:right w:val="single" w:sz="4" w:space="0" w:color="auto"/>
            </w:tcBorders>
            <w:vAlign w:val="bottom"/>
            <w:hideMark/>
          </w:tcPr>
          <w:p w:rsidR="00DC338D" w:rsidRPr="007F38F1" w:rsidRDefault="008F4411" w:rsidP="00214AA4">
            <w:pPr>
              <w:keepNext/>
              <w:keepLines/>
              <w:tabs>
                <w:tab w:val="left" w:pos="288"/>
                <w:tab w:val="left" w:pos="576"/>
                <w:tab w:val="left" w:pos="864"/>
                <w:tab w:val="left" w:pos="1152"/>
              </w:tabs>
              <w:suppressAutoHyphens/>
              <w:spacing w:before="40" w:after="81" w:line="210" w:lineRule="exact"/>
              <w:ind w:left="43" w:right="43"/>
              <w:rPr>
                <w:sz w:val="17"/>
                <w:szCs w:val="20"/>
                <w:lang w:val="fr-CH"/>
              </w:rPr>
            </w:pPr>
            <w:r w:rsidRPr="007F38F1">
              <w:rPr>
                <w:sz w:val="17"/>
                <w:szCs w:val="20"/>
                <w:lang w:val="fr-CH"/>
              </w:rPr>
              <w:t>“Essai de défaut d’étanchéité”</w:t>
            </w:r>
          </w:p>
        </w:tc>
        <w:tc>
          <w:tcPr>
            <w:tcW w:w="4077" w:type="dxa"/>
            <w:tcBorders>
              <w:top w:val="single" w:sz="4" w:space="0" w:color="auto"/>
              <w:left w:val="single" w:sz="4" w:space="0" w:color="auto"/>
              <w:bottom w:val="single" w:sz="4" w:space="0" w:color="auto"/>
              <w:right w:val="single" w:sz="4" w:space="0" w:color="auto"/>
            </w:tcBorders>
            <w:vAlign w:val="bottom"/>
          </w:tcPr>
          <w:p w:rsidR="00DC338D" w:rsidRPr="007F38F1" w:rsidRDefault="00DC338D" w:rsidP="00214AA4">
            <w:pPr>
              <w:keepNext/>
              <w:keepLines/>
              <w:tabs>
                <w:tab w:val="left" w:pos="288"/>
                <w:tab w:val="left" w:pos="576"/>
                <w:tab w:val="left" w:pos="864"/>
                <w:tab w:val="left" w:pos="1152"/>
              </w:tabs>
              <w:suppressAutoHyphens/>
              <w:spacing w:before="40" w:after="81" w:line="210" w:lineRule="exact"/>
              <w:ind w:right="113"/>
              <w:jc w:val="right"/>
              <w:rPr>
                <w:sz w:val="17"/>
                <w:szCs w:val="20"/>
                <w:lang w:val="fr-CH"/>
              </w:rPr>
            </w:pPr>
          </w:p>
        </w:tc>
      </w:tr>
      <w:tr w:rsidR="008F4411" w:rsidRPr="007F38F1" w:rsidTr="00DC338D">
        <w:tc>
          <w:tcPr>
            <w:tcW w:w="3425" w:type="dxa"/>
            <w:tcBorders>
              <w:top w:val="single" w:sz="4" w:space="0" w:color="auto"/>
              <w:left w:val="single" w:sz="4" w:space="0" w:color="auto"/>
              <w:bottom w:val="single" w:sz="4" w:space="0" w:color="auto"/>
              <w:right w:val="single" w:sz="4" w:space="0" w:color="auto"/>
            </w:tcBorders>
            <w:vAlign w:val="bottom"/>
          </w:tcPr>
          <w:p w:rsidR="008F4411" w:rsidRPr="007F38F1" w:rsidRDefault="008F4411" w:rsidP="00214AA4">
            <w:pPr>
              <w:keepNext/>
              <w:keepLines/>
              <w:tabs>
                <w:tab w:val="left" w:pos="288"/>
                <w:tab w:val="left" w:pos="576"/>
                <w:tab w:val="left" w:pos="864"/>
                <w:tab w:val="left" w:pos="1152"/>
              </w:tabs>
              <w:suppressAutoHyphens/>
              <w:spacing w:before="40" w:after="81" w:line="210" w:lineRule="exact"/>
              <w:ind w:left="43" w:right="43"/>
              <w:rPr>
                <w:sz w:val="17"/>
                <w:szCs w:val="20"/>
                <w:lang w:val="fr-CH"/>
              </w:rPr>
            </w:pPr>
            <w:r w:rsidRPr="007F38F1">
              <w:rPr>
                <w:sz w:val="17"/>
                <w:szCs w:val="20"/>
                <w:lang w:val="fr-CH"/>
              </w:rPr>
              <w:t xml:space="preserve">“Essai de </w:t>
            </w:r>
            <w:r w:rsidR="002A598F" w:rsidRPr="007F38F1">
              <w:rPr>
                <w:sz w:val="17"/>
                <w:szCs w:val="20"/>
                <w:lang w:val="fr-CH"/>
              </w:rPr>
              <w:t>défaut</w:t>
            </w:r>
            <w:r w:rsidRPr="007F38F1">
              <w:rPr>
                <w:sz w:val="17"/>
                <w:szCs w:val="20"/>
                <w:lang w:val="fr-CH"/>
              </w:rPr>
              <w:t xml:space="preserve"> de fonctionnement”</w:t>
            </w:r>
          </w:p>
        </w:tc>
        <w:tc>
          <w:tcPr>
            <w:tcW w:w="4077" w:type="dxa"/>
            <w:tcBorders>
              <w:top w:val="single" w:sz="4" w:space="0" w:color="auto"/>
              <w:left w:val="single" w:sz="4" w:space="0" w:color="auto"/>
              <w:bottom w:val="single" w:sz="4" w:space="0" w:color="auto"/>
              <w:right w:val="single" w:sz="4" w:space="0" w:color="auto"/>
            </w:tcBorders>
            <w:vAlign w:val="bottom"/>
          </w:tcPr>
          <w:p w:rsidR="008F4411" w:rsidRPr="007F38F1" w:rsidRDefault="008F4411" w:rsidP="00214AA4">
            <w:pPr>
              <w:keepNext/>
              <w:keepLines/>
              <w:tabs>
                <w:tab w:val="left" w:pos="288"/>
                <w:tab w:val="left" w:pos="576"/>
                <w:tab w:val="left" w:pos="864"/>
                <w:tab w:val="left" w:pos="1152"/>
              </w:tabs>
              <w:suppressAutoHyphens/>
              <w:spacing w:before="40" w:after="81" w:line="210" w:lineRule="exact"/>
              <w:ind w:right="113"/>
              <w:jc w:val="right"/>
              <w:rPr>
                <w:sz w:val="17"/>
                <w:szCs w:val="20"/>
                <w:lang w:val="fr-CH"/>
              </w:rPr>
            </w:pPr>
          </w:p>
        </w:tc>
      </w:tr>
    </w:tbl>
    <w:p w:rsidR="00DC338D" w:rsidRPr="007F38F1" w:rsidRDefault="00DC338D" w:rsidP="00214AA4">
      <w:pPr>
        <w:pStyle w:val="SingleTxt"/>
        <w:keepNext/>
        <w:keepLines/>
        <w:tabs>
          <w:tab w:val="clear" w:pos="2693"/>
          <w:tab w:val="clear" w:pos="3182"/>
          <w:tab w:val="clear" w:pos="3658"/>
          <w:tab w:val="clear" w:pos="4133"/>
          <w:tab w:val="clear" w:pos="4622"/>
          <w:tab w:val="clear" w:pos="5098"/>
          <w:tab w:val="clear" w:pos="5573"/>
          <w:tab w:val="clear" w:pos="6048"/>
          <w:tab w:val="right" w:leader="dot" w:pos="8802"/>
        </w:tabs>
        <w:spacing w:after="0" w:line="120" w:lineRule="exact"/>
        <w:ind w:left="2217" w:hanging="950"/>
        <w:rPr>
          <w:sz w:val="10"/>
          <w:lang w:val="fr-CH"/>
        </w:rPr>
      </w:pPr>
    </w:p>
    <w:p w:rsidR="00DC338D" w:rsidRPr="007F38F1" w:rsidRDefault="00DC338D" w:rsidP="00214AA4">
      <w:pPr>
        <w:pStyle w:val="SingleTxt"/>
        <w:keepNext/>
        <w:keepLines/>
        <w:tabs>
          <w:tab w:val="clear" w:pos="2693"/>
          <w:tab w:val="clear" w:pos="3182"/>
          <w:tab w:val="clear" w:pos="3658"/>
          <w:tab w:val="clear" w:pos="4133"/>
          <w:tab w:val="clear" w:pos="4622"/>
          <w:tab w:val="clear" w:pos="5098"/>
          <w:tab w:val="clear" w:pos="5573"/>
          <w:tab w:val="clear" w:pos="6048"/>
          <w:tab w:val="right" w:leader="dot" w:pos="8802"/>
        </w:tabs>
        <w:spacing w:after="0" w:line="120" w:lineRule="exact"/>
        <w:ind w:left="2217" w:hanging="950"/>
        <w:rPr>
          <w:sz w:val="10"/>
          <w:lang w:val="fr-CH"/>
        </w:rPr>
      </w:pPr>
    </w:p>
    <w:p w:rsidR="00DC338D" w:rsidRPr="007F38F1" w:rsidRDefault="00415C06" w:rsidP="00214AA4">
      <w:pPr>
        <w:pStyle w:val="SingleTxt"/>
        <w:keepNext/>
        <w:keepLines/>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7F38F1">
        <w:rPr>
          <w:lang w:val="fr-CH"/>
        </w:rPr>
        <w:t>1</w:t>
      </w:r>
      <w:r w:rsidR="007F38F1" w:rsidRPr="007F38F1">
        <w:rPr>
          <w:lang w:val="fr-CH"/>
        </w:rPr>
        <w:t>1</w:t>
      </w:r>
      <w:r w:rsidR="00DC338D" w:rsidRPr="007F38F1">
        <w:rPr>
          <w:lang w:val="fr-CH"/>
        </w:rPr>
        <w:t>.</w:t>
      </w:r>
      <w:r w:rsidR="00DC338D" w:rsidRPr="007F38F1">
        <w:rPr>
          <w:lang w:val="fr-CH"/>
        </w:rPr>
        <w:tab/>
      </w:r>
      <w:r w:rsidR="00DC338D" w:rsidRPr="007F38F1">
        <w:rPr>
          <w:lang w:val="fr-CH"/>
        </w:rPr>
        <w:tab/>
      </w:r>
      <w:r w:rsidR="007F38F1">
        <w:rPr>
          <w:lang w:val="fr-CH"/>
        </w:rPr>
        <w:t>Emplacement de la marque d’homologation</w:t>
      </w:r>
      <w:r w:rsidR="00DC338D" w:rsidRPr="007F38F1">
        <w:rPr>
          <w:lang w:val="fr-CH"/>
        </w:rPr>
        <w:t> :</w:t>
      </w:r>
      <w:r w:rsidR="00DC338D" w:rsidRPr="007F38F1">
        <w:rPr>
          <w:lang w:val="fr-CH"/>
        </w:rPr>
        <w:tab/>
      </w:r>
    </w:p>
    <w:p w:rsidR="00DC338D" w:rsidRPr="007F38F1" w:rsidRDefault="00415C06" w:rsidP="00DC338D">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7F38F1">
        <w:rPr>
          <w:lang w:val="fr-CH"/>
        </w:rPr>
        <w:t>1</w:t>
      </w:r>
      <w:r w:rsidR="007F38F1" w:rsidRPr="007F38F1">
        <w:rPr>
          <w:lang w:val="fr-CH"/>
        </w:rPr>
        <w:t>2</w:t>
      </w:r>
      <w:r w:rsidR="00DC338D" w:rsidRPr="007F38F1">
        <w:rPr>
          <w:lang w:val="fr-CH"/>
        </w:rPr>
        <w:t>.</w:t>
      </w:r>
      <w:r w:rsidR="00DC338D" w:rsidRPr="007F38F1">
        <w:rPr>
          <w:lang w:val="fr-CH"/>
        </w:rPr>
        <w:tab/>
      </w:r>
      <w:r w:rsidR="00DC338D" w:rsidRPr="007F38F1">
        <w:rPr>
          <w:lang w:val="fr-CH"/>
        </w:rPr>
        <w:tab/>
      </w:r>
      <w:r w:rsidR="007F38F1">
        <w:rPr>
          <w:lang w:val="fr-CH"/>
        </w:rPr>
        <w:t>Motif(s) de l’extension (le cas échéant)</w:t>
      </w:r>
      <w:r w:rsidR="00DC338D" w:rsidRPr="007F38F1">
        <w:rPr>
          <w:lang w:val="fr-CH"/>
        </w:rPr>
        <w:t> :</w:t>
      </w:r>
      <w:r w:rsidR="00DC338D" w:rsidRPr="007F38F1">
        <w:rPr>
          <w:lang w:val="fr-CH"/>
        </w:rPr>
        <w:tab/>
      </w:r>
    </w:p>
    <w:p w:rsidR="00DC338D" w:rsidRPr="007F38F1" w:rsidRDefault="00415C06" w:rsidP="00DC338D">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7F38F1">
        <w:rPr>
          <w:lang w:val="fr-CH"/>
        </w:rPr>
        <w:t>1</w:t>
      </w:r>
      <w:r w:rsidR="007F38F1" w:rsidRPr="007F38F1">
        <w:rPr>
          <w:lang w:val="fr-CH"/>
        </w:rPr>
        <w:t>3</w:t>
      </w:r>
      <w:r w:rsidR="00DC338D" w:rsidRPr="007F38F1">
        <w:rPr>
          <w:lang w:val="fr-CH"/>
        </w:rPr>
        <w:t>.</w:t>
      </w:r>
      <w:r w:rsidR="00DC338D" w:rsidRPr="007F38F1">
        <w:rPr>
          <w:lang w:val="fr-CH"/>
        </w:rPr>
        <w:tab/>
      </w:r>
      <w:r w:rsidR="00DC338D" w:rsidRPr="007F38F1">
        <w:rPr>
          <w:lang w:val="fr-CH"/>
        </w:rPr>
        <w:tab/>
      </w:r>
      <w:r w:rsidR="007F38F1" w:rsidRPr="007F38F1">
        <w:rPr>
          <w:lang w:val="fr-CH"/>
        </w:rPr>
        <w:t>L’homologation est accordée/refusée/prolongée/retirée</w:t>
      </w:r>
      <w:r w:rsidR="007F38F1" w:rsidRPr="007F38F1">
        <w:rPr>
          <w:vertAlign w:val="superscript"/>
          <w:lang w:val="fr-CH"/>
        </w:rPr>
        <w:t>2</w:t>
      </w:r>
      <w:r w:rsidR="00DC338D" w:rsidRPr="007F38F1">
        <w:rPr>
          <w:lang w:val="fr-CH"/>
        </w:rPr>
        <w:t> :</w:t>
      </w:r>
      <w:r w:rsidR="00DC338D" w:rsidRPr="007F38F1">
        <w:rPr>
          <w:lang w:val="fr-CH"/>
        </w:rPr>
        <w:tab/>
      </w:r>
    </w:p>
    <w:p w:rsidR="00DC338D" w:rsidRPr="00224191" w:rsidRDefault="00415C06" w:rsidP="00DC338D">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224191">
        <w:rPr>
          <w:lang w:val="fr-CH"/>
        </w:rPr>
        <w:t>14</w:t>
      </w:r>
      <w:r w:rsidR="00DC338D" w:rsidRPr="00224191">
        <w:rPr>
          <w:lang w:val="fr-CH"/>
        </w:rPr>
        <w:t>.</w:t>
      </w:r>
      <w:r w:rsidR="00DC338D" w:rsidRPr="00224191">
        <w:rPr>
          <w:lang w:val="fr-CH"/>
        </w:rPr>
        <w:tab/>
      </w:r>
      <w:r w:rsidR="00DC338D" w:rsidRPr="00224191">
        <w:rPr>
          <w:lang w:val="fr-CH"/>
        </w:rPr>
        <w:tab/>
        <w:t>Lieu :</w:t>
      </w:r>
      <w:r w:rsidR="00DC338D" w:rsidRPr="00224191">
        <w:rPr>
          <w:lang w:val="fr-CH"/>
        </w:rPr>
        <w:tab/>
      </w:r>
    </w:p>
    <w:p w:rsidR="00DC338D" w:rsidRPr="00224191" w:rsidRDefault="00415C06" w:rsidP="00DC338D">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224191">
        <w:rPr>
          <w:lang w:val="fr-CH"/>
        </w:rPr>
        <w:t>15</w:t>
      </w:r>
      <w:r w:rsidR="00DC338D" w:rsidRPr="00224191">
        <w:rPr>
          <w:lang w:val="fr-CH"/>
        </w:rPr>
        <w:t>.</w:t>
      </w:r>
      <w:r w:rsidR="00DC338D" w:rsidRPr="00224191">
        <w:rPr>
          <w:lang w:val="fr-CH"/>
        </w:rPr>
        <w:tab/>
      </w:r>
      <w:r w:rsidR="00DC338D" w:rsidRPr="00224191">
        <w:rPr>
          <w:lang w:val="fr-CH"/>
        </w:rPr>
        <w:tab/>
        <w:t>Date :</w:t>
      </w:r>
      <w:r w:rsidR="00DC338D" w:rsidRPr="00224191">
        <w:rPr>
          <w:lang w:val="fr-CH"/>
        </w:rPr>
        <w:tab/>
      </w:r>
    </w:p>
    <w:p w:rsidR="00DC338D" w:rsidRPr="00224191" w:rsidRDefault="00415C06" w:rsidP="00DC338D">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224191">
        <w:rPr>
          <w:lang w:val="fr-CH"/>
        </w:rPr>
        <w:t>16</w:t>
      </w:r>
      <w:r w:rsidR="00DC338D" w:rsidRPr="00224191">
        <w:rPr>
          <w:lang w:val="fr-CH"/>
        </w:rPr>
        <w:t>.</w:t>
      </w:r>
      <w:r w:rsidR="00DC338D" w:rsidRPr="00224191">
        <w:rPr>
          <w:lang w:val="fr-CH"/>
        </w:rPr>
        <w:tab/>
      </w:r>
      <w:r w:rsidR="00DC338D" w:rsidRPr="00224191">
        <w:rPr>
          <w:lang w:val="fr-CH"/>
        </w:rPr>
        <w:tab/>
        <w:t>Signature :</w:t>
      </w:r>
      <w:r w:rsidR="00DC338D" w:rsidRPr="00224191">
        <w:rPr>
          <w:lang w:val="fr-CH"/>
        </w:rPr>
        <w:tab/>
      </w:r>
    </w:p>
    <w:p w:rsidR="00DC338D" w:rsidRPr="00224191" w:rsidRDefault="00415C06" w:rsidP="00224191">
      <w:pPr>
        <w:pStyle w:val="SingleTxt"/>
        <w:tabs>
          <w:tab w:val="clear" w:pos="2693"/>
          <w:tab w:val="clear" w:pos="3182"/>
          <w:tab w:val="clear" w:pos="3658"/>
          <w:tab w:val="clear" w:pos="4133"/>
          <w:tab w:val="clear" w:pos="4622"/>
          <w:tab w:val="clear" w:pos="5098"/>
          <w:tab w:val="clear" w:pos="5573"/>
          <w:tab w:val="clear" w:pos="6048"/>
          <w:tab w:val="right" w:leader="dot" w:pos="8802"/>
        </w:tabs>
        <w:ind w:left="2218" w:hanging="951"/>
        <w:rPr>
          <w:spacing w:val="0"/>
          <w:w w:val="100"/>
          <w:kern w:val="0"/>
          <w:sz w:val="24"/>
          <w:szCs w:val="24"/>
          <w:lang w:val="en-US"/>
        </w:rPr>
      </w:pPr>
      <w:r w:rsidRPr="00224191">
        <w:rPr>
          <w:lang w:val="fr-CH"/>
        </w:rPr>
        <w:t>17</w:t>
      </w:r>
      <w:r w:rsidR="00DC338D" w:rsidRPr="00224191">
        <w:rPr>
          <w:lang w:val="fr-CH"/>
        </w:rPr>
        <w:t>.</w:t>
      </w:r>
      <w:r w:rsidR="00DC338D" w:rsidRPr="00224191">
        <w:rPr>
          <w:lang w:val="fr-CH"/>
        </w:rPr>
        <w:tab/>
      </w:r>
      <w:r w:rsidR="00DC338D" w:rsidRPr="00224191">
        <w:rPr>
          <w:lang w:val="fr-CH"/>
        </w:rPr>
        <w:tab/>
        <w:t>Est annexé</w:t>
      </w:r>
      <w:r w:rsidR="00291235">
        <w:rPr>
          <w:lang w:val="fr-CH"/>
        </w:rPr>
        <w:t>e</w:t>
      </w:r>
      <w:r w:rsidR="00DC338D" w:rsidRPr="00224191">
        <w:rPr>
          <w:lang w:val="fr-CH"/>
        </w:rPr>
        <w:t xml:space="preserve"> </w:t>
      </w:r>
      <w:r w:rsidR="00224191">
        <w:rPr>
          <w:lang w:val="fr-CH"/>
        </w:rPr>
        <w:t>la liste des pièces constituant le dossier d’homologation déposé à l’autorité ayant délivré l’homologation de type et pouvant être obtenu sur demande</w:t>
      </w:r>
      <w:r w:rsidR="00DC338D" w:rsidRPr="00224191">
        <w:rPr>
          <w:lang w:val="fr-CH"/>
        </w:rPr>
        <w:t>.</w:t>
      </w:r>
    </w:p>
    <w:p w:rsidR="00E739F9" w:rsidRDefault="00E739F9" w:rsidP="00F42DF0">
      <w:pPr>
        <w:pStyle w:val="SingleTxt"/>
        <w:sectPr w:rsidR="00E739F9" w:rsidSect="00B6191E">
          <w:headerReference w:type="even" r:id="rId19"/>
          <w:headerReference w:type="default" r:id="rId20"/>
          <w:footnotePr>
            <w:numRestart w:val="eachSect"/>
          </w:footnotePr>
          <w:pgSz w:w="11909" w:h="16834"/>
          <w:pgMar w:top="1742" w:right="936" w:bottom="1898" w:left="936" w:header="576" w:footer="1030" w:gutter="0"/>
          <w:cols w:space="720"/>
          <w:noEndnote/>
          <w:docGrid w:linePitch="360"/>
        </w:sectPr>
      </w:pPr>
    </w:p>
    <w:p w:rsidR="00F42DF0" w:rsidRDefault="005E65FE" w:rsidP="005E65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Annexe 2</w:t>
      </w:r>
    </w:p>
    <w:p w:rsidR="005E65FE" w:rsidRPr="005E65FE" w:rsidRDefault="005E65FE" w:rsidP="005E65FE">
      <w:pPr>
        <w:pStyle w:val="SingleTxt"/>
        <w:spacing w:after="0" w:line="120" w:lineRule="exact"/>
        <w:rPr>
          <w:sz w:val="10"/>
        </w:rPr>
      </w:pPr>
    </w:p>
    <w:p w:rsidR="005E65FE" w:rsidRDefault="005E65FE" w:rsidP="005E65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E65FE">
        <w:t>Exemples de marques d’homologation</w:t>
      </w:r>
    </w:p>
    <w:p w:rsidR="005E65FE" w:rsidRPr="005E65FE" w:rsidRDefault="005E65FE" w:rsidP="005E65FE">
      <w:pPr>
        <w:pStyle w:val="SingleTxt"/>
        <w:spacing w:after="0" w:line="120" w:lineRule="exact"/>
        <w:rPr>
          <w:sz w:val="10"/>
        </w:rPr>
      </w:pPr>
    </w:p>
    <w:p w:rsidR="005E65FE" w:rsidRPr="005E65FE" w:rsidRDefault="005E65FE" w:rsidP="005E65FE">
      <w:pPr>
        <w:pStyle w:val="SingleTxt"/>
        <w:spacing w:after="0" w:line="120" w:lineRule="exact"/>
        <w:rPr>
          <w:sz w:val="10"/>
        </w:rPr>
      </w:pPr>
    </w:p>
    <w:p w:rsidR="005E65FE" w:rsidRDefault="005E65FE" w:rsidP="005E65FE">
      <w:pPr>
        <w:pStyle w:val="SingleTxt"/>
      </w:pPr>
      <w:r w:rsidRPr="005E65FE">
        <w:t>(Voir le paragraphe</w:t>
      </w:r>
      <w:r>
        <w:t> </w:t>
      </w:r>
      <w:r w:rsidRPr="005E65FE">
        <w:t>4.4 du présent Règlement)</w:t>
      </w:r>
    </w:p>
    <w:p w:rsidR="005E65FE" w:rsidRPr="005E65FE" w:rsidRDefault="005E65FE" w:rsidP="005E65FE">
      <w:pPr>
        <w:pStyle w:val="SingleTxt"/>
        <w:spacing w:after="0" w:line="120" w:lineRule="exact"/>
        <w:rPr>
          <w:sz w:val="10"/>
        </w:rPr>
      </w:pPr>
    </w:p>
    <w:p w:rsidR="005E65FE" w:rsidRPr="00ED140C" w:rsidRDefault="005E65FE" w:rsidP="005E65FE">
      <w:pPr>
        <w:pStyle w:val="SingleTxt"/>
        <w:spacing w:line="240" w:lineRule="auto"/>
        <w:rPr>
          <w:sz w:val="10"/>
        </w:rPr>
      </w:pPr>
      <w:r w:rsidRPr="005E65FE">
        <w:rPr>
          <w:noProof/>
          <w:lang w:val="en-GB" w:eastAsia="en-GB"/>
        </w:rPr>
        <mc:AlternateContent>
          <mc:Choice Requires="wps">
            <w:drawing>
              <wp:anchor distT="0" distB="0" distL="114300" distR="114300" simplePos="0" relativeHeight="251659264" behindDoc="0" locked="0" layoutInCell="1" allowOverlap="1" wp14:anchorId="189766C7" wp14:editId="034E9AD1">
                <wp:simplePos x="0" y="0"/>
                <wp:positionH relativeFrom="column">
                  <wp:posOffset>2910840</wp:posOffset>
                </wp:positionH>
                <wp:positionV relativeFrom="paragraph">
                  <wp:posOffset>448310</wp:posOffset>
                </wp:positionV>
                <wp:extent cx="2228850" cy="386080"/>
                <wp:effectExtent l="0" t="0" r="1905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86080"/>
                        </a:xfrm>
                        <a:prstGeom prst="rect">
                          <a:avLst/>
                        </a:prstGeom>
                        <a:solidFill>
                          <a:schemeClr val="bg1"/>
                        </a:solidFill>
                        <a:ln>
                          <a:solidFill>
                            <a:schemeClr val="bg1"/>
                          </a:solidFill>
                        </a:ln>
                        <a:extLst/>
                      </wps:spPr>
                      <wps:txbx>
                        <w:txbxContent>
                          <w:p w:rsidR="005E65FE" w:rsidRDefault="005E65FE" w:rsidP="005E65FE">
                            <w:pPr>
                              <w:spacing w:line="240" w:lineRule="auto"/>
                              <w:rPr>
                                <w:b/>
                                <w:strike/>
                                <w:sz w:val="40"/>
                                <w:szCs w:val="40"/>
                                <w:lang w:val="en-US"/>
                              </w:rPr>
                            </w:pPr>
                            <w:r>
                              <w:rPr>
                                <w:b/>
                                <w:sz w:val="40"/>
                                <w:szCs w:val="40"/>
                              </w:rPr>
                              <w:t xml:space="preserve">ХХ </w:t>
                            </w:r>
                            <w:r>
                              <w:rPr>
                                <w:b/>
                                <w:strike/>
                                <w:sz w:val="40"/>
                                <w:szCs w:val="40"/>
                                <w:lang w:val="en-US"/>
                              </w:rPr>
                              <w:t>R</w:t>
                            </w:r>
                            <w:r>
                              <w:rPr>
                                <w:b/>
                                <w:sz w:val="40"/>
                                <w:szCs w:val="40"/>
                                <w:lang w:val="en-US"/>
                              </w:rPr>
                              <w:t xml:space="preserve"> - 002439</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9.2pt;margin-top:35.3pt;width:175.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" fillcolor="white [3212]" strokecolor="white [3212]">
                <v:textbox inset=".5mm,.3mm,.5mm,.3mm">
                  <w:txbxContent>
                    <w:p w:rsidR="005E65FE" w:rsidRDefault="005E65FE" w:rsidP="005E65FE">
                      <w:pPr>
                        <w:spacing w:line="240" w:lineRule="auto"/>
                        <w:rPr>
                          <w:b/>
                          <w:strike/>
                          <w:sz w:val="40"/>
                          <w:szCs w:val="40"/>
                          <w:lang w:val="en-US"/>
                        </w:rPr>
                      </w:pPr>
                      <w:r>
                        <w:rPr>
                          <w:b/>
                          <w:sz w:val="40"/>
                          <w:szCs w:val="40"/>
                        </w:rPr>
                        <w:t xml:space="preserve">ХХ </w:t>
                      </w:r>
                      <w:r>
                        <w:rPr>
                          <w:b/>
                          <w:strike/>
                          <w:sz w:val="40"/>
                          <w:szCs w:val="40"/>
                          <w:lang w:val="en-US"/>
                        </w:rPr>
                        <w:t>R</w:t>
                      </w:r>
                      <w:r>
                        <w:rPr>
                          <w:b/>
                          <w:sz w:val="40"/>
                          <w:szCs w:val="40"/>
                          <w:lang w:val="en-US"/>
                        </w:rPr>
                        <w:t xml:space="preserve"> - 002439</w:t>
                      </w:r>
                    </w:p>
                  </w:txbxContent>
                </v:textbox>
              </v:shape>
            </w:pict>
          </mc:Fallback>
        </mc:AlternateContent>
      </w:r>
      <w:r w:rsidR="00E262EE" w:rsidRPr="005E65FE">
        <w:rPr>
          <w:lang w:val="ru-RU"/>
        </w:rPr>
        <w:object w:dxaOrig="7095" w:dyaOrig="1995">
          <v:shape id="_x0000_i1026" type="#_x0000_t75" style="width:370.5pt;height:99.75pt" o:ole="">
            <v:imagedata r:id="rId21" o:title=""/>
          </v:shape>
          <o:OLEObject Type="Embed" ProgID="PBrush" ShapeID="_x0000_i1026" DrawAspect="Content" ObjectID="_1512975726" r:id="rId22"/>
        </w:object>
      </w:r>
    </w:p>
    <w:p w:rsidR="00ED140C" w:rsidRPr="00ED140C" w:rsidRDefault="00ED140C" w:rsidP="00ED140C">
      <w:pPr>
        <w:pStyle w:val="SingleTxt"/>
        <w:spacing w:after="0" w:line="120" w:lineRule="exact"/>
        <w:rPr>
          <w:sz w:val="10"/>
        </w:rPr>
      </w:pPr>
    </w:p>
    <w:p w:rsidR="00ED140C" w:rsidRPr="00ED140C" w:rsidRDefault="00ED140C" w:rsidP="00ED140C">
      <w:pPr>
        <w:pStyle w:val="SingleTxt"/>
        <w:spacing w:after="0" w:line="120" w:lineRule="exact"/>
        <w:rPr>
          <w:sz w:val="10"/>
        </w:rPr>
      </w:pPr>
    </w:p>
    <w:p w:rsidR="00ED140C" w:rsidRDefault="00ED140C" w:rsidP="00ED140C">
      <w:pPr>
        <w:pStyle w:val="SingleTxt"/>
        <w:spacing w:line="240" w:lineRule="auto"/>
        <w:jc w:val="right"/>
      </w:pPr>
      <w:r>
        <w:t>a = 8 mm min.</w:t>
      </w:r>
    </w:p>
    <w:p w:rsidR="005E65FE" w:rsidRDefault="005E65FE" w:rsidP="005E65FE">
      <w:pPr>
        <w:pStyle w:val="SingleTxt"/>
        <w:spacing w:line="240" w:lineRule="auto"/>
      </w:pPr>
      <w:r>
        <w:tab/>
      </w:r>
      <w:r w:rsidRPr="005E65FE">
        <w:t xml:space="preserve">La marque d’homologation ci-dessus, apposée sur un véhicule, indique que le type de ce véhicule </w:t>
      </w:r>
      <w:r w:rsidR="00ED140C">
        <w:t>a été homologué aux Pays-Bas (E </w:t>
      </w:r>
      <w:r w:rsidRPr="005E65FE">
        <w:t>4), en ce qui concerne l’équipement comportant un système de surveillance de la pression des pneumatique</w:t>
      </w:r>
      <w:r w:rsidR="00ED140C">
        <w:t>s, en application du Règlement n</w:t>
      </w:r>
      <w:r w:rsidR="00ED140C" w:rsidRPr="00ED140C">
        <w:rPr>
          <w:vertAlign w:val="superscript"/>
        </w:rPr>
        <w:t>o</w:t>
      </w:r>
      <w:r w:rsidR="00ED140C">
        <w:t> </w:t>
      </w:r>
      <w:r w:rsidRPr="005E65FE">
        <w:t>[</w:t>
      </w:r>
      <w:r w:rsidR="00ED140C">
        <w:t>TPMS</w:t>
      </w:r>
      <w:r w:rsidRPr="005E65FE">
        <w:t>] et sous le numéro d’homologation</w:t>
      </w:r>
      <w:r w:rsidR="00ED140C" w:rsidRPr="00ED140C">
        <w:rPr>
          <w:strike/>
        </w:rPr>
        <w:t> </w:t>
      </w:r>
      <w:r w:rsidRPr="00ED140C">
        <w:rPr>
          <w:strike/>
        </w:rPr>
        <w:t xml:space="preserve">022439 </w:t>
      </w:r>
      <w:r w:rsidRPr="005E65FE">
        <w:rPr>
          <w:b/>
        </w:rPr>
        <w:t>002439</w:t>
      </w:r>
      <w:r w:rsidRPr="005E65FE">
        <w:t xml:space="preserve">. Ce numéro indique que l’homologation a été accordée conformément aux prescriptions du Règlement </w:t>
      </w:r>
      <w:r w:rsidR="00ED140C">
        <w:t>n</w:t>
      </w:r>
      <w:r w:rsidR="00ED140C" w:rsidRPr="00ED140C">
        <w:rPr>
          <w:vertAlign w:val="superscript"/>
        </w:rPr>
        <w:t>o</w:t>
      </w:r>
      <w:r w:rsidR="00ED140C">
        <w:t> </w:t>
      </w:r>
      <w:r w:rsidRPr="005E65FE">
        <w:t>[</w:t>
      </w:r>
      <w:r w:rsidR="00ED140C">
        <w:t>TPMS</w:t>
      </w:r>
      <w:r w:rsidRPr="005E65FE">
        <w:t>] dans sa version originale.</w:t>
      </w:r>
    </w:p>
    <w:p w:rsidR="005E65FE" w:rsidRDefault="005E65FE" w:rsidP="005E65FE">
      <w:pPr>
        <w:pStyle w:val="SingleTxt"/>
      </w:pPr>
    </w:p>
    <w:p w:rsidR="005E65FE" w:rsidRDefault="005E65FE" w:rsidP="005E65FE">
      <w:pPr>
        <w:pStyle w:val="SingleTxt"/>
        <w:sectPr w:rsidR="005E65FE" w:rsidSect="00E608A9">
          <w:headerReference w:type="default" r:id="rId23"/>
          <w:footnotePr>
            <w:numRestart w:val="eachSect"/>
          </w:footnotePr>
          <w:pgSz w:w="11909" w:h="16834"/>
          <w:pgMar w:top="1742" w:right="936" w:bottom="1898" w:left="936" w:header="576" w:footer="1030" w:gutter="0"/>
          <w:cols w:space="720"/>
          <w:noEndnote/>
          <w:docGrid w:linePitch="360"/>
        </w:sectPr>
      </w:pPr>
    </w:p>
    <w:p w:rsidR="005E65FE" w:rsidRDefault="008505F6" w:rsidP="008505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Annexe 3</w:t>
      </w:r>
    </w:p>
    <w:p w:rsidR="008505F6" w:rsidRDefault="008505F6" w:rsidP="008505F6">
      <w:pPr>
        <w:pStyle w:val="SingleTxt"/>
        <w:spacing w:after="0" w:line="120" w:lineRule="exact"/>
        <w:rPr>
          <w:sz w:val="10"/>
        </w:rPr>
      </w:pPr>
    </w:p>
    <w:p w:rsidR="00D21C94" w:rsidRDefault="00D21C94" w:rsidP="00E262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C94">
        <w:tab/>
      </w:r>
      <w:r w:rsidRPr="00D21C94">
        <w:tab/>
        <w:t>Essais des systèmes de surveillance de la pression des pneus</w:t>
      </w:r>
    </w:p>
    <w:p w:rsidR="00E262EE" w:rsidRPr="00E262EE" w:rsidRDefault="00E262EE" w:rsidP="00E262EE">
      <w:pPr>
        <w:pStyle w:val="SingleTxt"/>
        <w:spacing w:after="0" w:line="120" w:lineRule="exact"/>
        <w:rPr>
          <w:sz w:val="10"/>
        </w:rPr>
      </w:pPr>
    </w:p>
    <w:p w:rsidR="00E262EE" w:rsidRPr="00E262EE" w:rsidRDefault="00E262EE" w:rsidP="00E262EE">
      <w:pPr>
        <w:pStyle w:val="SingleTxt"/>
        <w:spacing w:after="0" w:line="120" w:lineRule="exact"/>
        <w:rPr>
          <w:sz w:val="10"/>
        </w:rPr>
      </w:pPr>
    </w:p>
    <w:p w:rsidR="00D21C94" w:rsidRPr="00D21C94" w:rsidRDefault="00D21C94" w:rsidP="00D21C94">
      <w:pPr>
        <w:pStyle w:val="SingleTxt"/>
      </w:pPr>
      <w:r w:rsidRPr="00D21C94">
        <w:t>1.</w:t>
      </w:r>
      <w:r w:rsidRPr="00D21C94">
        <w:tab/>
      </w:r>
      <w:r w:rsidRPr="00D21C94">
        <w:tab/>
        <w:t>Conditions d’essai</w:t>
      </w:r>
    </w:p>
    <w:p w:rsidR="00D21C94" w:rsidRPr="00D21C94" w:rsidRDefault="00D21C94" w:rsidP="00D21C94">
      <w:pPr>
        <w:pStyle w:val="SingleTxt"/>
      </w:pPr>
      <w:r w:rsidRPr="00D21C94">
        <w:t>1.1</w:t>
      </w:r>
      <w:r w:rsidRPr="00D21C94">
        <w:tab/>
      </w:r>
      <w:r w:rsidRPr="00D21C94">
        <w:tab/>
        <w:t>Température ambiante</w:t>
      </w:r>
    </w:p>
    <w:p w:rsidR="00D21C94" w:rsidRPr="00D21C94" w:rsidRDefault="00D21C94" w:rsidP="00D21C94">
      <w:pPr>
        <w:pStyle w:val="SingleTxt"/>
      </w:pPr>
      <w:r w:rsidRPr="00D21C94">
        <w:tab/>
      </w:r>
      <w:r w:rsidRPr="00D21C94">
        <w:tab/>
        <w:t>La température ambiante doit être comprise entre 0 et 40 °C.</w:t>
      </w:r>
    </w:p>
    <w:p w:rsidR="00D21C94" w:rsidRPr="00D21C94" w:rsidRDefault="00D21C94" w:rsidP="00D21C94">
      <w:pPr>
        <w:pStyle w:val="SingleTxt"/>
      </w:pPr>
      <w:r w:rsidRPr="00D21C94">
        <w:t>1.2</w:t>
      </w:r>
      <w:r w:rsidRPr="00D21C94">
        <w:tab/>
      </w:r>
      <w:r w:rsidRPr="00D21C94">
        <w:tab/>
        <w:t>Revêtement routier d’essai</w:t>
      </w:r>
    </w:p>
    <w:p w:rsidR="00D21C94" w:rsidRPr="00D21C94" w:rsidRDefault="00D21C94" w:rsidP="00E262EE">
      <w:pPr>
        <w:pStyle w:val="SingleTxt"/>
        <w:ind w:left="2218" w:hanging="951"/>
      </w:pPr>
      <w:r w:rsidRPr="00D21C94">
        <w:tab/>
      </w:r>
      <w:r w:rsidRPr="00D21C94">
        <w:tab/>
        <w:t>Le revêtement routier de la chaussée doit présenter de bonnes conditions d’adhérence. Lors de l’essai, il doit être sec.</w:t>
      </w:r>
    </w:p>
    <w:p w:rsidR="00D21C94" w:rsidRPr="00D21C94" w:rsidRDefault="00D21C94" w:rsidP="00E262EE">
      <w:pPr>
        <w:pStyle w:val="SingleTxt"/>
        <w:ind w:left="2218" w:hanging="951"/>
      </w:pPr>
      <w:r w:rsidRPr="00D21C94">
        <w:t>1.3</w:t>
      </w:r>
      <w:r w:rsidRPr="00D21C94">
        <w:tab/>
      </w:r>
      <w:r w:rsidRPr="00D21C94">
        <w:tab/>
        <w:t>Les essais sont effectués dans un environnement exempt d’interférences dues à des ondes radioélectriques.</w:t>
      </w:r>
    </w:p>
    <w:p w:rsidR="00D21C94" w:rsidRPr="00D21C94" w:rsidRDefault="00D21C94" w:rsidP="00D21C94">
      <w:pPr>
        <w:pStyle w:val="SingleTxt"/>
      </w:pPr>
      <w:r w:rsidRPr="00D21C94">
        <w:t>1.4</w:t>
      </w:r>
      <w:r w:rsidRPr="00D21C94">
        <w:tab/>
      </w:r>
      <w:r w:rsidR="00E262EE">
        <w:tab/>
      </w:r>
      <w:r w:rsidRPr="00D21C94">
        <w:t>Préparation du véhicule</w:t>
      </w:r>
    </w:p>
    <w:p w:rsidR="00D21C94" w:rsidRPr="00D21C94" w:rsidRDefault="00D21C94" w:rsidP="00D21C94">
      <w:pPr>
        <w:pStyle w:val="SingleTxt"/>
      </w:pPr>
      <w:r w:rsidRPr="00D21C94">
        <w:t>1.4.1</w:t>
      </w:r>
      <w:r w:rsidRPr="00D21C94">
        <w:tab/>
      </w:r>
      <w:r w:rsidR="00E262EE">
        <w:tab/>
      </w:r>
      <w:r w:rsidRPr="00D21C94">
        <w:t>Masse d’essai</w:t>
      </w:r>
    </w:p>
    <w:p w:rsidR="00D21C94" w:rsidRPr="00D21C94" w:rsidRDefault="00D21C94" w:rsidP="00E262EE">
      <w:pPr>
        <w:pStyle w:val="SingleTxt"/>
        <w:ind w:left="2218" w:hanging="951"/>
      </w:pPr>
      <w:r w:rsidRPr="00D21C94">
        <w:tab/>
      </w:r>
      <w:r w:rsidR="00E262EE">
        <w:tab/>
      </w:r>
      <w:r w:rsidRPr="00D21C94">
        <w:t>Le véhicule peut être soumis à l’essai dans un état de charge quelconque, la répartition de la masse sur les essieux étant celle déclarée par le constructeur automobile, sans que soit dépassée la masse maximale admissible pour chacun d’eux.</w:t>
      </w:r>
    </w:p>
    <w:p w:rsidR="00D21C94" w:rsidRPr="00D21C94" w:rsidRDefault="00D21C94" w:rsidP="00E262EE">
      <w:pPr>
        <w:pStyle w:val="SingleTxt"/>
        <w:ind w:left="2218" w:hanging="951"/>
      </w:pPr>
      <w:r w:rsidRPr="00D21C94">
        <w:tab/>
      </w:r>
      <w:r w:rsidR="00E262EE">
        <w:tab/>
      </w:r>
      <w:r w:rsidRPr="00D21C94">
        <w:t>Toutefois, lorsqu’il n’est pas possible d’initialiser ou de réinitialiser le système, le véhicule doit être à vide. Outre le conducteur, il peut y avoir, sur le siège avant, une deuxième personne chargée de noter les résultats des essais. L’état de charge du véhicule ne doit pas être modifié pendant l’essai.</w:t>
      </w:r>
    </w:p>
    <w:p w:rsidR="00D21C94" w:rsidRPr="00D21C94" w:rsidRDefault="00D21C94" w:rsidP="00D21C94">
      <w:pPr>
        <w:pStyle w:val="SingleTxt"/>
      </w:pPr>
      <w:r w:rsidRPr="00D21C94">
        <w:t>1.4.2</w:t>
      </w:r>
      <w:r w:rsidR="00E262EE">
        <w:tab/>
      </w:r>
      <w:r w:rsidRPr="00D21C94">
        <w:tab/>
        <w:t>Vitesse du véhicule</w:t>
      </w:r>
    </w:p>
    <w:p w:rsidR="00D21C94" w:rsidRPr="00D21C94" w:rsidRDefault="00E262EE" w:rsidP="00E262EE">
      <w:pPr>
        <w:pStyle w:val="SingleTxt"/>
        <w:ind w:left="2218" w:hanging="951"/>
      </w:pPr>
      <w:r>
        <w:tab/>
      </w:r>
      <w:r w:rsidR="00D21C94" w:rsidRPr="00D21C94">
        <w:tab/>
        <w:t>Le système de surveillance de la pression des pneumatiques du véhicule doit être étalonné et éprouvé</w:t>
      </w:r>
      <w:r>
        <w:t> </w:t>
      </w:r>
      <w:r w:rsidR="00D21C94" w:rsidRPr="00D21C94">
        <w:t>:</w:t>
      </w:r>
    </w:p>
    <w:p w:rsidR="00D21C94" w:rsidRPr="00D21C94" w:rsidRDefault="00E262EE" w:rsidP="00E262EE">
      <w:pPr>
        <w:pStyle w:val="SingleTxt"/>
        <w:ind w:left="2693" w:hanging="1426"/>
        <w:rPr>
          <w:bCs/>
        </w:rPr>
      </w:pPr>
      <w:r>
        <w:tab/>
      </w:r>
      <w:r>
        <w:tab/>
      </w:r>
      <w:r w:rsidR="00D21C94" w:rsidRPr="00D21C94">
        <w:t>a)</w:t>
      </w:r>
      <w:r w:rsidR="00D21C94" w:rsidRPr="00D21C94">
        <w:tab/>
        <w:t>Dans une plage de vitesses comprises entre 40</w:t>
      </w:r>
      <w:r>
        <w:t> </w:t>
      </w:r>
      <w:r w:rsidR="00D21C94" w:rsidRPr="00D21C94">
        <w:t>km/h et 120</w:t>
      </w:r>
      <w:r>
        <w:t> </w:t>
      </w:r>
      <w:r w:rsidR="00D21C94" w:rsidRPr="00D21C94">
        <w:t>km/h ou à la vitesse maximale par construction du véhicule si celle-ci est inférieure à 120</w:t>
      </w:r>
      <w:r>
        <w:t> </w:t>
      </w:r>
      <w:r w:rsidR="00D21C94" w:rsidRPr="00D21C94">
        <w:t>km/h pour l’essai de crevaison permettant de vérifier les prescriptions du paragraphe</w:t>
      </w:r>
      <w:r>
        <w:t> </w:t>
      </w:r>
      <w:r w:rsidR="00214AA4">
        <w:t>5</w:t>
      </w:r>
      <w:r w:rsidR="00D21C94" w:rsidRPr="00D21C94">
        <w:t>.2 du présent Règlement; et</w:t>
      </w:r>
    </w:p>
    <w:p w:rsidR="00D21C94" w:rsidRPr="00D21C94" w:rsidRDefault="00E262EE" w:rsidP="00E262EE">
      <w:pPr>
        <w:pStyle w:val="SingleTxt"/>
        <w:ind w:left="2693" w:hanging="1426"/>
        <w:rPr>
          <w:bCs/>
        </w:rPr>
      </w:pPr>
      <w:r>
        <w:tab/>
      </w:r>
      <w:r>
        <w:tab/>
      </w:r>
      <w:r w:rsidR="00D21C94" w:rsidRPr="00D21C94">
        <w:t>b)</w:t>
      </w:r>
      <w:r w:rsidR="00D21C94" w:rsidRPr="00D21C94">
        <w:tab/>
        <w:t>Dans une plage de vitesses comprises entre 40</w:t>
      </w:r>
      <w:r>
        <w:t> </w:t>
      </w:r>
      <w:r w:rsidR="00D21C94" w:rsidRPr="00D21C94">
        <w:t>km/h et 100</w:t>
      </w:r>
      <w:r>
        <w:t> </w:t>
      </w:r>
      <w:r w:rsidR="00D21C94" w:rsidRPr="00D21C94">
        <w:t>km/h pour l’essai de défaut d’étanchéité permettant de vérifier les prescriptions du paragraphe</w:t>
      </w:r>
      <w:r>
        <w:t> </w:t>
      </w:r>
      <w:r w:rsidR="00214AA4">
        <w:t>5</w:t>
      </w:r>
      <w:r w:rsidR="00D21C94" w:rsidRPr="00D21C94">
        <w:t xml:space="preserve">.3 du présent Règlement et l’essai de défaut de fonctionnement permettant de vérifier </w:t>
      </w:r>
      <w:r>
        <w:t>les prescriptions du paragraphe </w:t>
      </w:r>
      <w:r w:rsidR="00D21C94" w:rsidRPr="00D21C94">
        <w:t>5.4 dudit règlement.</w:t>
      </w:r>
    </w:p>
    <w:p w:rsidR="00D21C94" w:rsidRPr="00D21C94" w:rsidRDefault="00D21C94" w:rsidP="00D21C94">
      <w:pPr>
        <w:pStyle w:val="SingleTxt"/>
      </w:pPr>
      <w:r w:rsidRPr="00D21C94">
        <w:tab/>
      </w:r>
      <w:r w:rsidRPr="00D21C94">
        <w:tab/>
        <w:t>L’essai doit porter sur l’intégralité de la plage de vitesses.</w:t>
      </w:r>
    </w:p>
    <w:p w:rsidR="00D21C94" w:rsidRPr="00D21C94" w:rsidRDefault="00D21C94" w:rsidP="00E262EE">
      <w:pPr>
        <w:pStyle w:val="SingleTxt"/>
        <w:ind w:left="2218" w:hanging="951"/>
      </w:pPr>
      <w:r w:rsidRPr="00D21C94">
        <w:tab/>
      </w:r>
      <w:r w:rsidR="00E262EE">
        <w:tab/>
      </w:r>
      <w:r w:rsidRPr="00D21C94">
        <w:t>Sur les véhicules équipés d’un régulateur de vitesse, le régulateur de vitesse ne doit pas être enclenché pendant l’essai.</w:t>
      </w:r>
    </w:p>
    <w:p w:rsidR="00D21C94" w:rsidRPr="00D21C94" w:rsidRDefault="00D21C94" w:rsidP="00D21C94">
      <w:pPr>
        <w:pStyle w:val="SingleTxt"/>
      </w:pPr>
      <w:r w:rsidRPr="00D21C94">
        <w:t>1.4.3</w:t>
      </w:r>
      <w:r w:rsidRPr="00D21C94">
        <w:tab/>
      </w:r>
      <w:r w:rsidR="00E262EE">
        <w:tab/>
      </w:r>
      <w:r w:rsidRPr="00D21C94">
        <w:t>Placement des jantes</w:t>
      </w:r>
    </w:p>
    <w:p w:rsidR="00D21C94" w:rsidRPr="00D21C94" w:rsidRDefault="00E262EE" w:rsidP="00E262EE">
      <w:pPr>
        <w:pStyle w:val="SingleTxt"/>
        <w:ind w:left="2218" w:hanging="951"/>
      </w:pPr>
      <w:r>
        <w:tab/>
      </w:r>
      <w:r w:rsidR="00D21C94" w:rsidRPr="00D21C94">
        <w:tab/>
        <w:t>Les jantes du véhicule peuvent être placées en une position de roue quelconque, conformément aux instructions ou limitations y relatives indiquées par le constructeur.</w:t>
      </w:r>
    </w:p>
    <w:p w:rsidR="00D21C94" w:rsidRPr="00D21C94" w:rsidRDefault="00D21C94" w:rsidP="00D21C94">
      <w:pPr>
        <w:pStyle w:val="SingleTxt"/>
      </w:pPr>
      <w:r w:rsidRPr="00D21C94">
        <w:t>1.4.4</w:t>
      </w:r>
      <w:r w:rsidR="00E262EE">
        <w:tab/>
      </w:r>
      <w:r w:rsidR="00E262EE">
        <w:tab/>
      </w:r>
      <w:r w:rsidRPr="00D21C94">
        <w:t>Emplacement fixe</w:t>
      </w:r>
    </w:p>
    <w:p w:rsidR="00D21C94" w:rsidRPr="00D21C94" w:rsidRDefault="00E262EE" w:rsidP="00E262EE">
      <w:pPr>
        <w:pStyle w:val="SingleTxt"/>
        <w:ind w:left="2218" w:hanging="951"/>
      </w:pPr>
      <w:r>
        <w:tab/>
      </w:r>
      <w:r w:rsidR="00D21C94" w:rsidRPr="00D21C94">
        <w:tab/>
        <w:t>Lorsque le véhicule est stationné, ses pneumatiques doivent être protégés du rayonnement direct du soleil. L’emplacement doit être abrité de tout vent susceptible d’affecter les résultats.</w:t>
      </w:r>
    </w:p>
    <w:p w:rsidR="00D21C94" w:rsidRPr="00D21C94" w:rsidRDefault="00D21C94" w:rsidP="00D21C94">
      <w:pPr>
        <w:pStyle w:val="SingleTxt"/>
      </w:pPr>
      <w:r w:rsidRPr="00D21C94">
        <w:lastRenderedPageBreak/>
        <w:t>1.4.5</w:t>
      </w:r>
      <w:r w:rsidRPr="00D21C94">
        <w:tab/>
      </w:r>
      <w:r w:rsidR="00352FFC">
        <w:tab/>
      </w:r>
      <w:r w:rsidRPr="00D21C94">
        <w:t>Actionnement de la pédale de frein</w:t>
      </w:r>
    </w:p>
    <w:p w:rsidR="00D21C94" w:rsidRPr="00D21C94" w:rsidRDefault="00D21C94" w:rsidP="00352FFC">
      <w:pPr>
        <w:pStyle w:val="SingleTxt"/>
        <w:ind w:left="2218" w:hanging="951"/>
      </w:pPr>
      <w:r w:rsidRPr="00D21C94">
        <w:tab/>
      </w:r>
      <w:r w:rsidR="00352FFC">
        <w:tab/>
      </w:r>
      <w:r w:rsidRPr="00D21C94">
        <w:t>Il n’est pas tenu compte du temps de conduite au cours duquel le frein est actionné alors que le véhicule roule.</w:t>
      </w:r>
    </w:p>
    <w:p w:rsidR="00D21C94" w:rsidRPr="00D21C94" w:rsidRDefault="00D21C94" w:rsidP="00D21C94">
      <w:pPr>
        <w:pStyle w:val="SingleTxt"/>
      </w:pPr>
      <w:r w:rsidRPr="00D21C94">
        <w:t>1.4.6</w:t>
      </w:r>
      <w:r w:rsidRPr="00D21C94">
        <w:tab/>
      </w:r>
      <w:r w:rsidR="00352FFC">
        <w:tab/>
      </w:r>
      <w:r w:rsidRPr="00D21C94">
        <w:t>Pneumatiques</w:t>
      </w:r>
    </w:p>
    <w:p w:rsidR="00D21C94" w:rsidRPr="00D21C94" w:rsidRDefault="00D21C94" w:rsidP="00352FFC">
      <w:pPr>
        <w:pStyle w:val="SingleTxt"/>
        <w:ind w:left="2218" w:hanging="951"/>
      </w:pPr>
      <w:r w:rsidRPr="00D21C94">
        <w:tab/>
      </w:r>
      <w:r w:rsidR="00352FFC">
        <w:tab/>
      </w:r>
      <w:r w:rsidRPr="00D21C94">
        <w:t>Le véhicule est soumis à l’essai, les pneumatiques étant montés conformément aux recommandations du constructeur. Toutefois, on peut utiliser le pneumatique de secours pour vérifier que le système de surveillance de la pression des pneumatiques ne présente pas de défaut de fonctionnement.</w:t>
      </w:r>
    </w:p>
    <w:p w:rsidR="00D21C94" w:rsidRPr="00D21C94" w:rsidRDefault="00D21C94" w:rsidP="00D21C94">
      <w:pPr>
        <w:pStyle w:val="SingleTxt"/>
      </w:pPr>
      <w:r w:rsidRPr="00D21C94">
        <w:t>1.5</w:t>
      </w:r>
      <w:r w:rsidRPr="00D21C94">
        <w:tab/>
      </w:r>
      <w:r w:rsidR="00352FFC">
        <w:tab/>
      </w:r>
      <w:r w:rsidRPr="00D21C94">
        <w:t>Précision du matériel de mesure de pression</w:t>
      </w:r>
    </w:p>
    <w:p w:rsidR="00D21C94" w:rsidRPr="00D21C94" w:rsidRDefault="00D21C94" w:rsidP="00352FFC">
      <w:pPr>
        <w:pStyle w:val="SingleTxt"/>
        <w:ind w:left="2218" w:hanging="951"/>
      </w:pPr>
      <w:r w:rsidRPr="00D21C94">
        <w:tab/>
      </w:r>
      <w:r w:rsidR="00352FFC">
        <w:tab/>
      </w:r>
      <w:r w:rsidRPr="00D21C94">
        <w:t>La précision du matériel de mesure de pression lors des essais de la p</w:t>
      </w:r>
      <w:r w:rsidR="00352FFC">
        <w:t>résente annexe doit être de +/-</w:t>
      </w:r>
      <w:r w:rsidRPr="00D21C94">
        <w:t>3kPa.</w:t>
      </w:r>
    </w:p>
    <w:p w:rsidR="00D21C94" w:rsidRPr="00D21C94" w:rsidRDefault="00D21C94" w:rsidP="00D21C94">
      <w:pPr>
        <w:pStyle w:val="SingleTxt"/>
      </w:pPr>
      <w:r w:rsidRPr="00D21C94">
        <w:t>2.</w:t>
      </w:r>
      <w:r w:rsidRPr="00D21C94">
        <w:tab/>
      </w:r>
      <w:r w:rsidRPr="00D21C94">
        <w:tab/>
        <w:t>Mode opératoire</w:t>
      </w:r>
    </w:p>
    <w:p w:rsidR="00D21C94" w:rsidRPr="00D21C94" w:rsidRDefault="00D21C94" w:rsidP="00352FFC">
      <w:pPr>
        <w:pStyle w:val="SingleTxt"/>
        <w:ind w:left="2218" w:hanging="951"/>
      </w:pPr>
      <w:r w:rsidRPr="00D21C94">
        <w:tab/>
      </w:r>
      <w:r w:rsidR="00352FFC">
        <w:tab/>
      </w:r>
      <w:r w:rsidRPr="00D21C94">
        <w:t>L’essai est réalisé à une vitesse d’essai dans la plage indiquée au paragraphe</w:t>
      </w:r>
      <w:r w:rsidR="00352FFC">
        <w:t> </w:t>
      </w:r>
      <w:r w:rsidRPr="00D21C94">
        <w:t>1.4.2 de la présente annexe, au moins une fois pour le cas prévu au paragraphe</w:t>
      </w:r>
      <w:r w:rsidR="00352FFC">
        <w:t> 2.6.1 de ladite annexe (“</w:t>
      </w:r>
      <w:r w:rsidRPr="00D21C94">
        <w:t>essai de crevaison</w:t>
      </w:r>
      <w:r w:rsidR="00352FFC">
        <w:t>”</w:t>
      </w:r>
      <w:r w:rsidRPr="00D21C94">
        <w:t>), et au moins une fois pour chaque cas prévu au paragr</w:t>
      </w:r>
      <w:r w:rsidR="00352FFC">
        <w:t>aphe 2.6.2 de ladite annexe (“</w:t>
      </w:r>
      <w:r w:rsidRPr="00D21C94">
        <w:t>essai de défaut d’étanchéité</w:t>
      </w:r>
      <w:r w:rsidR="00352FFC">
        <w:t>”</w:t>
      </w:r>
      <w:r w:rsidRPr="00D21C94">
        <w:t>).</w:t>
      </w:r>
    </w:p>
    <w:p w:rsidR="00D21C94" w:rsidRPr="00D21C94" w:rsidRDefault="00D21C94" w:rsidP="00352FFC">
      <w:pPr>
        <w:pStyle w:val="SingleTxt"/>
        <w:ind w:left="2218" w:hanging="951"/>
      </w:pPr>
      <w:r w:rsidRPr="00D21C94">
        <w:t>2.1</w:t>
      </w:r>
      <w:r w:rsidRPr="00D21C94">
        <w:tab/>
      </w:r>
      <w:r w:rsidR="00352FFC">
        <w:tab/>
      </w:r>
      <w:r w:rsidRPr="00D21C94">
        <w:t>Avant de gonfler les pneumatiques du véhicule, immobiliser le véhicule en extérieur à température ambiante pendant au moins une heure, moteur coupé, en le protégeant du rayonnement direct du soleil, du vent ou d’autres facteurs de réchauffement ou de refroidissement. Gonfler les pneumatiques du véhicule à la pression à froid recommandée par le constructeur du véhicule (P</w:t>
      </w:r>
      <w:r w:rsidRPr="00D21C94">
        <w:rPr>
          <w:vertAlign w:val="subscript"/>
        </w:rPr>
        <w:t>rec</w:t>
      </w:r>
      <w:r w:rsidRPr="00D21C94">
        <w:t>), conformément aux recommandations de celui-ci en matière de vitesse, de charge et de position des pneumatiques. Toutes les mesures de pression doivent être faites avec le même matériel de mesure.</w:t>
      </w:r>
    </w:p>
    <w:p w:rsidR="00D21C94" w:rsidRPr="00D21C94" w:rsidRDefault="00D21C94" w:rsidP="00352FFC">
      <w:pPr>
        <w:pStyle w:val="SingleTxt"/>
        <w:ind w:left="2218" w:hanging="951"/>
      </w:pPr>
      <w:r w:rsidRPr="00D21C94">
        <w:t>2.2</w:t>
      </w:r>
      <w:r w:rsidRPr="00D21C94">
        <w:tab/>
      </w:r>
      <w:r w:rsidR="00352FFC">
        <w:tab/>
      </w:r>
      <w:r w:rsidRPr="00D21C94">
        <w:t>Le véhicule étant à l’arrêt et la commande</w:t>
      </w:r>
      <w:r w:rsidR="00352FFC">
        <w:t xml:space="preserve"> de contact étant en position “</w:t>
      </w:r>
      <w:r w:rsidRPr="00D21C94">
        <w:t>Verrouillé</w:t>
      </w:r>
      <w:r w:rsidR="00352FFC">
        <w:t>” ou “</w:t>
      </w:r>
      <w:r w:rsidRPr="00D21C94">
        <w:t>Arrêt</w:t>
      </w:r>
      <w:r w:rsidR="00352FFC">
        <w:t>”</w:t>
      </w:r>
      <w:r w:rsidRPr="00D21C94">
        <w:t>, mettre la co</w:t>
      </w:r>
      <w:r w:rsidR="00352FFC">
        <w:t>mmande de contact en position “</w:t>
      </w:r>
      <w:r w:rsidRPr="00D21C94">
        <w:t>Marche</w:t>
      </w:r>
      <w:r w:rsidR="00352FFC">
        <w:t>”</w:t>
      </w:r>
      <w:r w:rsidRPr="00D21C94">
        <w:t>. Le système de surveillance de la pression des pneumatiques procède à un contrôle du fonctionnement de la lampe du témoin de sous-gonflage des pneumatiques, comme indiqué au paragraphe</w:t>
      </w:r>
      <w:r w:rsidR="00352FFC">
        <w:t> </w:t>
      </w:r>
      <w:r w:rsidRPr="00D21C94">
        <w:t>5.5.2 du présent Règlement. Cette dernière prescription ne s’applique pas aux témoins figurant dans l’espace d’affichage commun.</w:t>
      </w:r>
    </w:p>
    <w:p w:rsidR="00D21C94" w:rsidRPr="00D21C94" w:rsidRDefault="00D21C94" w:rsidP="00352FFC">
      <w:pPr>
        <w:pStyle w:val="SingleTxt"/>
        <w:ind w:left="2218" w:hanging="951"/>
      </w:pPr>
      <w:r w:rsidRPr="00D21C94">
        <w:t>2.3</w:t>
      </w:r>
      <w:r w:rsidRPr="00D21C94">
        <w:tab/>
      </w:r>
      <w:r w:rsidR="00352FFC">
        <w:tab/>
      </w:r>
      <w:r w:rsidRPr="00D21C94">
        <w:t>Le cas échéant, initialiser ou réinitialiser le système de surveillance de la pression des pneumatiques conformément aux recommandations du constructeur du véhicule.</w:t>
      </w:r>
    </w:p>
    <w:p w:rsidR="00D21C94" w:rsidRPr="00D21C94" w:rsidRDefault="00D21C94" w:rsidP="00D21C94">
      <w:pPr>
        <w:pStyle w:val="SingleTxt"/>
      </w:pPr>
      <w:r w:rsidRPr="00D21C94">
        <w:t>2.4</w:t>
      </w:r>
      <w:r w:rsidRPr="00D21C94">
        <w:tab/>
      </w:r>
      <w:r w:rsidR="00352FFC">
        <w:tab/>
      </w:r>
      <w:r w:rsidRPr="00D21C94">
        <w:t>Phase d’apprentissage</w:t>
      </w:r>
    </w:p>
    <w:p w:rsidR="00D21C94" w:rsidRPr="00D21C94" w:rsidRDefault="00D21C94" w:rsidP="00352FFC">
      <w:pPr>
        <w:pStyle w:val="SingleTxt"/>
        <w:ind w:left="2218" w:hanging="951"/>
      </w:pPr>
      <w:r w:rsidRPr="00D21C94">
        <w:t>2.4.1</w:t>
      </w:r>
      <w:r w:rsidRPr="00D21C94">
        <w:tab/>
      </w:r>
      <w:r w:rsidR="00352FFC">
        <w:tab/>
      </w:r>
      <w:r w:rsidRPr="00D21C94">
        <w:t xml:space="preserve">Conduire le véhicule pendant un minimum de </w:t>
      </w:r>
      <w:r w:rsidR="00352FFC">
        <w:t>vingt</w:t>
      </w:r>
      <w:r w:rsidRPr="00D21C94">
        <w:t xml:space="preserve"> minutes, la gamme des vitesses étant celle du paragraphe</w:t>
      </w:r>
      <w:r w:rsidR="00352FFC">
        <w:t> </w:t>
      </w:r>
      <w:r w:rsidRPr="00D21C94">
        <w:t>1.4.2 de la présente annexe et la vitesse moyenne étant de 80</w:t>
      </w:r>
      <w:r w:rsidR="00352FFC">
        <w:t> </w:t>
      </w:r>
      <w:r w:rsidRPr="00D21C94">
        <w:t>km/h (+/-10</w:t>
      </w:r>
      <w:r w:rsidR="00352FFC">
        <w:t> </w:t>
      </w:r>
      <w:r w:rsidRPr="00D21C94">
        <w:t>km/h). Il est autorisé de sortir de la gamme des vitesses pendant un temps cumulé maximum de deux minutes au cou</w:t>
      </w:r>
      <w:r w:rsidR="00352FFC">
        <w:t>rs de la phase d’apprentissage.</w:t>
      </w:r>
    </w:p>
    <w:p w:rsidR="00D21C94" w:rsidRPr="00D21C94" w:rsidRDefault="00D21C94" w:rsidP="00352FFC">
      <w:pPr>
        <w:pStyle w:val="SingleTxt"/>
        <w:ind w:left="2218" w:hanging="951"/>
      </w:pPr>
      <w:r w:rsidRPr="00D21C94">
        <w:t>2.4.2</w:t>
      </w:r>
      <w:r w:rsidRPr="00D21C94">
        <w:tab/>
      </w:r>
      <w:r w:rsidR="00352FFC">
        <w:tab/>
      </w:r>
      <w:r w:rsidRPr="00D21C94">
        <w:t>Au choix du service technique, lorsque l’essai de conduite est exécuté sur une piste (circulaire/ovale), les virages n’étant que dans une seule direction, l’essai de conduite visé au paragraphe</w:t>
      </w:r>
      <w:r w:rsidR="00352FFC">
        <w:t> </w:t>
      </w:r>
      <w:r w:rsidRPr="00D21C94">
        <w:t>2.4.1 ci-dessus devrait être scin</w:t>
      </w:r>
      <w:r w:rsidR="00352FFC">
        <w:t>dé en deux parties égales (+/-2 </w:t>
      </w:r>
      <w:r w:rsidRPr="00D21C94">
        <w:t>minutes), une partie pour chacune des directions.</w:t>
      </w:r>
    </w:p>
    <w:p w:rsidR="00D21C94" w:rsidRPr="00D21C94" w:rsidRDefault="00D21C94" w:rsidP="00A02FE7">
      <w:pPr>
        <w:pStyle w:val="SingleTxt"/>
        <w:ind w:left="2218" w:hanging="951"/>
      </w:pPr>
      <w:r w:rsidRPr="00D21C94">
        <w:lastRenderedPageBreak/>
        <w:t>2.4.3</w:t>
      </w:r>
      <w:r w:rsidRPr="00D21C94">
        <w:tab/>
      </w:r>
      <w:r w:rsidR="00A02FE7">
        <w:tab/>
      </w:r>
      <w:r w:rsidRPr="00D21C94">
        <w:t>Dans les cinq minutes qui suivent l’achèvement de la phase d’apprentissage, mesurer la pression réelle à chaud du ou des pneumatiques à dégonfler. Cette valeur, P</w:t>
      </w:r>
      <w:r w:rsidRPr="00D21C94">
        <w:rPr>
          <w:vertAlign w:val="subscript"/>
        </w:rPr>
        <w:t>warm</w:t>
      </w:r>
      <w:r w:rsidRPr="00D21C94">
        <w:t>, sera utilisée pour les opérations suivantes.</w:t>
      </w:r>
    </w:p>
    <w:p w:rsidR="00D21C94" w:rsidRPr="00D21C94" w:rsidRDefault="00D21C94" w:rsidP="00D21C94">
      <w:pPr>
        <w:pStyle w:val="SingleTxt"/>
      </w:pPr>
      <w:r w:rsidRPr="00D21C94">
        <w:t>2.5</w:t>
      </w:r>
      <w:r w:rsidRPr="00D21C94">
        <w:tab/>
      </w:r>
      <w:r w:rsidR="00A02FE7">
        <w:tab/>
      </w:r>
      <w:r w:rsidRPr="00D21C94">
        <w:t>Phase de dégonflage</w:t>
      </w:r>
    </w:p>
    <w:p w:rsidR="00D21C94" w:rsidRPr="00D21C94" w:rsidRDefault="00D21C94" w:rsidP="00153C31">
      <w:pPr>
        <w:pStyle w:val="SingleTxt"/>
        <w:ind w:left="2218" w:hanging="951"/>
      </w:pPr>
      <w:r w:rsidRPr="00D21C94">
        <w:t>2.5.1</w:t>
      </w:r>
      <w:r w:rsidR="00A02FE7">
        <w:tab/>
      </w:r>
      <w:r w:rsidRPr="00D21C94">
        <w:tab/>
        <w:t>Mode opératoire pour l’essai de crevaison permettant de vérifier les prescriptions du paragraphe</w:t>
      </w:r>
      <w:r w:rsidR="004B43E6">
        <w:t> </w:t>
      </w:r>
      <w:r w:rsidRPr="00D21C94">
        <w:t>5.2 du présent Règlement.</w:t>
      </w:r>
    </w:p>
    <w:p w:rsidR="00D21C94" w:rsidRPr="00D21C94" w:rsidRDefault="00D21C94" w:rsidP="00153C31">
      <w:pPr>
        <w:pStyle w:val="SingleTxt"/>
        <w:ind w:left="2218" w:hanging="951"/>
      </w:pPr>
      <w:r w:rsidRPr="00D21C94">
        <w:tab/>
      </w:r>
      <w:r w:rsidR="00A02FE7">
        <w:tab/>
      </w:r>
      <w:r w:rsidRPr="00D21C94">
        <w:t>Dans les cinq minutes qui suivent la mesure de la pression à chaud décrite au paragraphe</w:t>
      </w:r>
      <w:r w:rsidR="004B43E6">
        <w:t> </w:t>
      </w:r>
      <w:r w:rsidRPr="00D21C94">
        <w:t>2.4.3, dégonfler un des pneumatiques du véhicule jusqu’à atteindre un niveau de pression P</w:t>
      </w:r>
      <w:r w:rsidRPr="00D21C94">
        <w:rPr>
          <w:vertAlign w:val="subscript"/>
        </w:rPr>
        <w:t>test</w:t>
      </w:r>
      <w:r w:rsidRPr="00D21C94">
        <w:t xml:space="preserve"> correspondant à P</w:t>
      </w:r>
      <w:r w:rsidRPr="00D21C94">
        <w:rPr>
          <w:vertAlign w:val="subscript"/>
        </w:rPr>
        <w:t>warm</w:t>
      </w:r>
      <w:r w:rsidRPr="00D21C94">
        <w:t xml:space="preserve"> -20</w:t>
      </w:r>
      <w:r w:rsidR="004B43E6">
        <w:t> </w:t>
      </w:r>
      <w:r w:rsidRPr="00D21C94">
        <w:t>% ou à la pression minimale de 150</w:t>
      </w:r>
      <w:r w:rsidR="004B43E6">
        <w:t> </w:t>
      </w:r>
      <w:r w:rsidRPr="00D21C94">
        <w:t xml:space="preserve">kPa, la valeur retenue étant la plus élevée des deux. Suite à une période de stabilisation comprise entre </w:t>
      </w:r>
      <w:r w:rsidR="004B43E6">
        <w:t>deux</w:t>
      </w:r>
      <w:r w:rsidRPr="00D21C94">
        <w:t xml:space="preserve"> et</w:t>
      </w:r>
      <w:r w:rsidR="004B43E6">
        <w:t xml:space="preserve"> cinq</w:t>
      </w:r>
      <w:r w:rsidRPr="00D21C94">
        <w:t xml:space="preserve"> minutes, vérifier le niveau de pression P</w:t>
      </w:r>
      <w:r w:rsidRPr="00D21C94">
        <w:rPr>
          <w:vertAlign w:val="subscript"/>
        </w:rPr>
        <w:t>test</w:t>
      </w:r>
      <w:r w:rsidRPr="00D21C94">
        <w:t xml:space="preserve"> et l’ajuster si nécessaire.</w:t>
      </w:r>
    </w:p>
    <w:p w:rsidR="00D21C94" w:rsidRPr="00D21C94" w:rsidRDefault="00D21C94" w:rsidP="00153C31">
      <w:pPr>
        <w:pStyle w:val="SingleTxt"/>
        <w:ind w:left="2218" w:hanging="951"/>
      </w:pPr>
      <w:r w:rsidRPr="00D21C94">
        <w:t>2.5.2</w:t>
      </w:r>
      <w:r w:rsidRPr="00D21C94">
        <w:tab/>
      </w:r>
      <w:r w:rsidR="00A02FE7">
        <w:tab/>
      </w:r>
      <w:r w:rsidRPr="00D21C94">
        <w:t>Mode opératoire de l’essai de défaut d’étanchéité permettant de vérifier les prescriptions du paragraphe</w:t>
      </w:r>
      <w:r w:rsidR="004B43E6">
        <w:t> </w:t>
      </w:r>
      <w:r w:rsidRPr="00D21C94">
        <w:t>5.3 du présent Règlement</w:t>
      </w:r>
      <w:r w:rsidR="00214AA4">
        <w:t>.</w:t>
      </w:r>
    </w:p>
    <w:p w:rsidR="00D21C94" w:rsidRPr="00D21C94" w:rsidRDefault="00D21C94" w:rsidP="00153C31">
      <w:pPr>
        <w:pStyle w:val="SingleTxt"/>
        <w:ind w:left="2218" w:hanging="951"/>
      </w:pPr>
      <w:r w:rsidRPr="00D21C94">
        <w:tab/>
      </w:r>
      <w:r w:rsidR="00A02FE7">
        <w:tab/>
      </w:r>
      <w:r w:rsidRPr="00D21C94">
        <w:t>Dans les cinq minutes qui suivent la mesure de la pression à chaud décrite au paragraphe</w:t>
      </w:r>
      <w:r w:rsidR="00C60C68">
        <w:t> </w:t>
      </w:r>
      <w:r w:rsidRPr="00D21C94">
        <w:t>2.4.3, dégonfler les quatre pneumatiques jusqu’à atteindre le niveau de pression P</w:t>
      </w:r>
      <w:r w:rsidRPr="00D21C94">
        <w:rPr>
          <w:vertAlign w:val="subscript"/>
        </w:rPr>
        <w:t>test</w:t>
      </w:r>
      <w:r w:rsidRPr="00D21C94">
        <w:t xml:space="preserve"> correspondant à P</w:t>
      </w:r>
      <w:r w:rsidRPr="00D21C94">
        <w:rPr>
          <w:vertAlign w:val="subscript"/>
        </w:rPr>
        <w:t>warm</w:t>
      </w:r>
      <w:r w:rsidR="00C60C68">
        <w:t xml:space="preserve"> (-</w:t>
      </w:r>
      <w:r w:rsidRPr="00D21C94">
        <w:t>20</w:t>
      </w:r>
      <w:r w:rsidR="00C60C68">
        <w:t> % +7 </w:t>
      </w:r>
      <w:r w:rsidRPr="00D21C94">
        <w:t xml:space="preserve">Kpa). Suite à une période de stabilisation comprise entre </w:t>
      </w:r>
      <w:r w:rsidR="00C60C68">
        <w:t>deux</w:t>
      </w:r>
      <w:r w:rsidRPr="00D21C94">
        <w:t xml:space="preserve"> et </w:t>
      </w:r>
      <w:r w:rsidR="00C60C68">
        <w:t>cinq</w:t>
      </w:r>
      <w:r w:rsidRPr="00D21C94">
        <w:t xml:space="preserve"> minutes, vérifier le niveau de pression P</w:t>
      </w:r>
      <w:r w:rsidRPr="00D21C94">
        <w:rPr>
          <w:vertAlign w:val="subscript"/>
        </w:rPr>
        <w:t>test</w:t>
      </w:r>
      <w:r w:rsidRPr="00D21C94">
        <w:t xml:space="preserve"> et l’ajuster si nécessaire.</w:t>
      </w:r>
    </w:p>
    <w:p w:rsidR="00D21C94" w:rsidRPr="00D21C94" w:rsidRDefault="00D21C94" w:rsidP="00D21C94">
      <w:pPr>
        <w:pStyle w:val="SingleTxt"/>
      </w:pPr>
      <w:r w:rsidRPr="00D21C94">
        <w:t>2.6</w:t>
      </w:r>
      <w:r w:rsidRPr="00D21C94">
        <w:tab/>
      </w:r>
      <w:r w:rsidR="00A02FE7">
        <w:tab/>
      </w:r>
      <w:r w:rsidRPr="00D21C94">
        <w:t>Phase de détection d’un sous-gonflage</w:t>
      </w:r>
    </w:p>
    <w:p w:rsidR="00D21C94" w:rsidRPr="00D21C94" w:rsidRDefault="00D21C94" w:rsidP="00153C31">
      <w:pPr>
        <w:pStyle w:val="SingleTxt"/>
        <w:ind w:left="2218" w:hanging="951"/>
      </w:pPr>
      <w:r w:rsidRPr="00D21C94">
        <w:t>2.6.1</w:t>
      </w:r>
      <w:r w:rsidRPr="00D21C94">
        <w:tab/>
      </w:r>
      <w:r w:rsidR="00A02FE7">
        <w:tab/>
      </w:r>
      <w:r w:rsidRPr="00D21C94">
        <w:t>Mode opératoire pour l’essai de crevaison permettant de vérifier les prescriptions du paragraphe</w:t>
      </w:r>
      <w:r w:rsidR="00C60C68">
        <w:t> </w:t>
      </w:r>
      <w:r w:rsidRPr="00D21C94">
        <w:t>5.2 du présent Règlement.</w:t>
      </w:r>
    </w:p>
    <w:p w:rsidR="00D21C94" w:rsidRPr="00D21C94" w:rsidRDefault="00D21C94" w:rsidP="00153C31">
      <w:pPr>
        <w:pStyle w:val="SingleTxt"/>
        <w:ind w:left="2218" w:hanging="951"/>
      </w:pPr>
      <w:r w:rsidRPr="00D21C94">
        <w:t>2.6.1.1</w:t>
      </w:r>
      <w:r w:rsidRPr="00D21C94">
        <w:tab/>
        <w:t xml:space="preserve">Conduire le véhicule sur une quelconque portion du parcours d’essai (pas nécessairement en continu). Au total, la somme des temps de conduite cumulés doit être inférieure à </w:t>
      </w:r>
      <w:r w:rsidR="00C60C68">
        <w:t>dix</w:t>
      </w:r>
      <w:r w:rsidRPr="00D21C94">
        <w:t xml:space="preserve"> minutes ou à la durée pendant laquelle le témoin de sous gonflage des pneumatiques s’allume.</w:t>
      </w:r>
    </w:p>
    <w:p w:rsidR="00D21C94" w:rsidRPr="00D21C94" w:rsidRDefault="00D21C94" w:rsidP="00153C31">
      <w:pPr>
        <w:pStyle w:val="SingleTxt"/>
        <w:ind w:left="2218" w:hanging="951"/>
      </w:pPr>
      <w:r w:rsidRPr="00D21C94">
        <w:t>2.6.2</w:t>
      </w:r>
      <w:r w:rsidRPr="00D21C94">
        <w:tab/>
      </w:r>
      <w:r w:rsidR="00A02FE7">
        <w:tab/>
      </w:r>
      <w:r w:rsidRPr="00D21C94">
        <w:t>Mode opératoire de l’essai de défaut d’étanchéité permettant de vérifier les prescriptions du paragraphe</w:t>
      </w:r>
      <w:r w:rsidR="00C60C68">
        <w:t> </w:t>
      </w:r>
      <w:r w:rsidRPr="00D21C94">
        <w:t>5.3 du présent Règlement</w:t>
      </w:r>
      <w:r w:rsidR="00214AA4">
        <w:t>.</w:t>
      </w:r>
    </w:p>
    <w:p w:rsidR="00D21C94" w:rsidRPr="00D21C94" w:rsidRDefault="00D21C94" w:rsidP="00153C31">
      <w:pPr>
        <w:pStyle w:val="SingleTxt"/>
        <w:ind w:left="2218" w:hanging="951"/>
      </w:pPr>
      <w:r w:rsidRPr="00D21C94">
        <w:t>2.6.2.1</w:t>
      </w:r>
      <w:r w:rsidRPr="00D21C94">
        <w:tab/>
        <w:t xml:space="preserve">Conduire le véhicule sur une quelconque portion du parcours d’essai. Après </w:t>
      </w:r>
      <w:r w:rsidR="00C60C68">
        <w:t>vingt</w:t>
      </w:r>
      <w:r w:rsidRPr="00D21C94">
        <w:t xml:space="preserve"> minutes au moins et </w:t>
      </w:r>
      <w:r w:rsidR="00C60C68">
        <w:t>quarante</w:t>
      </w:r>
      <w:r w:rsidRPr="00D21C94">
        <w:t xml:space="preserve"> minutes au plus, immobiliser complètement le véhicule, le moteur étant coupé et la clef de contact étant retirée depuis une minute au moins et trois minutes au plus. Reprendre l’essai. Au total, la somme des temps de conduite cumulé doit être inférieure soit à </w:t>
      </w:r>
      <w:r w:rsidR="00C60C68">
        <w:t>soixante</w:t>
      </w:r>
      <w:r w:rsidRPr="00D21C94">
        <w:t xml:space="preserve"> minutes de temps de conduite cumulé dans les conditions définies au paragraphe</w:t>
      </w:r>
      <w:r w:rsidR="00C60C68">
        <w:t> </w:t>
      </w:r>
      <w:r w:rsidRPr="00D21C94">
        <w:t>1.4.2 ci-dessus, soit à la durée pendant laquelle le témoin de sous gonflage des pneumatiques s’allume, la valeur retenue étant toujours la moins élevée des deux.</w:t>
      </w:r>
    </w:p>
    <w:p w:rsidR="00D21C94" w:rsidRPr="00D21C94" w:rsidRDefault="00D21C94" w:rsidP="00C60C68">
      <w:pPr>
        <w:pStyle w:val="SingleTxt"/>
        <w:ind w:left="2218" w:hanging="951"/>
      </w:pPr>
      <w:r w:rsidRPr="00D21C94">
        <w:t>2.6.3</w:t>
      </w:r>
      <w:r w:rsidRPr="00D21C94">
        <w:tab/>
      </w:r>
      <w:r w:rsidRPr="00D21C94">
        <w:tab/>
        <w:t>Si le témoin de sous-gonflage des pneumatiques ne s’est pas allumé, mettre fin à l’essai.</w:t>
      </w:r>
    </w:p>
    <w:p w:rsidR="00D21C94" w:rsidRPr="00D21C94" w:rsidRDefault="00D21C94" w:rsidP="003542A7">
      <w:pPr>
        <w:pStyle w:val="SingleTxt"/>
        <w:ind w:left="2218" w:hanging="951"/>
      </w:pPr>
      <w:r w:rsidRPr="00D21C94">
        <w:t>2.7</w:t>
      </w:r>
      <w:r w:rsidRPr="00D21C94">
        <w:tab/>
      </w:r>
      <w:r w:rsidRPr="00D21C94">
        <w:tab/>
        <w:t>Si le témoin de sous-gonflage des pneumatiques s’est allumé au cours du mode opératoire décrit au paragraphe</w:t>
      </w:r>
      <w:r w:rsidR="00C60C68">
        <w:t> </w:t>
      </w:r>
      <w:r w:rsidRPr="00D21C94">
        <w:t>2.6 ci-dessus, mettre la co</w:t>
      </w:r>
      <w:r w:rsidR="00C60C68">
        <w:t>mmande de contact en position “</w:t>
      </w:r>
      <w:r w:rsidRPr="00D21C94">
        <w:t>Arrêt</w:t>
      </w:r>
      <w:r w:rsidR="00C60C68">
        <w:t>” ou “</w:t>
      </w:r>
      <w:r w:rsidRPr="00D21C94">
        <w:t>Verrouillé</w:t>
      </w:r>
      <w:r w:rsidR="00C60C68">
        <w:t>”</w:t>
      </w:r>
      <w:r w:rsidRPr="00D21C94">
        <w:t>. Cinq minutes plus tard, remettre la commande de co</w:t>
      </w:r>
      <w:r w:rsidR="00C60C68">
        <w:t>ntact du véhicule en position “</w:t>
      </w:r>
      <w:r w:rsidRPr="00D21C94">
        <w:t>Marche</w:t>
      </w:r>
      <w:r w:rsidR="00C60C68">
        <w:t>”</w:t>
      </w:r>
      <w:r w:rsidRPr="00D21C94">
        <w:t>. Le témoin doit s’allumer et rester allumé aussi longtemps que la commande de contact est en position “Marche</w:t>
      </w:r>
      <w:r w:rsidR="00C60C68">
        <w:t>”</w:t>
      </w:r>
      <w:r w:rsidRPr="00D21C94">
        <w:t>.</w:t>
      </w:r>
    </w:p>
    <w:p w:rsidR="00D21C94" w:rsidRPr="00D21C94" w:rsidRDefault="00D21C94" w:rsidP="003542A7">
      <w:pPr>
        <w:pStyle w:val="SingleTxt"/>
        <w:ind w:left="2218" w:hanging="951"/>
      </w:pPr>
      <w:r w:rsidRPr="00D21C94">
        <w:t>2.8</w:t>
      </w:r>
      <w:r w:rsidRPr="00D21C94">
        <w:tab/>
      </w:r>
      <w:r w:rsidRPr="00D21C94">
        <w:tab/>
        <w:t xml:space="preserve">Gonfler tous les pneumatiques du véhicule à la pression de gonflage à froid recommandée par le constructeur du véhicule. Réinitialiser le système conformément aux instructions de celui-ci. S’assurer que le témoin s’est </w:t>
      </w:r>
      <w:r w:rsidRPr="00D21C94">
        <w:lastRenderedPageBreak/>
        <w:t>bien éteint. S’il y a lieu, conduire le véhicule jusqu’à l’extinction du témoin. Si le témoin ne s’éteint pas, mettre fin à l’essai.</w:t>
      </w:r>
    </w:p>
    <w:p w:rsidR="00D21C94" w:rsidRPr="00D21C94" w:rsidRDefault="00D21C94" w:rsidP="00D21C94">
      <w:pPr>
        <w:pStyle w:val="SingleTxt"/>
      </w:pPr>
      <w:r w:rsidRPr="00D21C94">
        <w:t>2.9</w:t>
      </w:r>
      <w:r w:rsidRPr="00D21C94">
        <w:tab/>
      </w:r>
      <w:r w:rsidR="00A02FE7">
        <w:tab/>
      </w:r>
      <w:r w:rsidRPr="00D21C94">
        <w:t>Répétition de la phase de dégonflage</w:t>
      </w:r>
    </w:p>
    <w:p w:rsidR="00D21C94" w:rsidRPr="00D21C94" w:rsidRDefault="00D21C94" w:rsidP="003542A7">
      <w:pPr>
        <w:pStyle w:val="SingleTxt"/>
        <w:ind w:left="2218" w:hanging="951"/>
      </w:pPr>
      <w:r w:rsidRPr="00D21C94">
        <w:tab/>
      </w:r>
      <w:r w:rsidR="00A02FE7">
        <w:tab/>
      </w:r>
      <w:r w:rsidRPr="00D21C94">
        <w:t>L’essai peut être répété, avec la même charge ou une charge différente, selon les modes opératoires décrits aux paragraphes</w:t>
      </w:r>
      <w:r w:rsidR="003542A7">
        <w:t> </w:t>
      </w:r>
      <w:r w:rsidRPr="00D21C94">
        <w:t>2.1 à 2.8 ci-dessus, le ou les pneumatiques du véhicule concernés étant sous-gonflés, conformément aux dispositions du paragraphe</w:t>
      </w:r>
      <w:r w:rsidR="003542A7">
        <w:t> </w:t>
      </w:r>
      <w:r w:rsidR="00214AA4">
        <w:t>5.2 ou 5.</w:t>
      </w:r>
      <w:r w:rsidRPr="00D21C94">
        <w:t>3 du présent Règlement, selon qu’il convient.</w:t>
      </w:r>
    </w:p>
    <w:p w:rsidR="00D21C94" w:rsidRPr="00D21C94" w:rsidRDefault="00D21C94" w:rsidP="003542A7">
      <w:pPr>
        <w:pStyle w:val="SingleTxt"/>
        <w:ind w:left="2218" w:hanging="951"/>
      </w:pPr>
      <w:r w:rsidRPr="00D21C94">
        <w:t>3.</w:t>
      </w:r>
      <w:r w:rsidRPr="00D21C94">
        <w:tab/>
      </w:r>
      <w:r w:rsidRPr="00D21C94">
        <w:tab/>
        <w:t>Détection des défauts de fonctionnement du système de surveillance de la pression des pneumatiques</w:t>
      </w:r>
    </w:p>
    <w:p w:rsidR="00D21C94" w:rsidRPr="00D21C94" w:rsidRDefault="00D21C94" w:rsidP="003542A7">
      <w:pPr>
        <w:pStyle w:val="SingleTxt"/>
        <w:ind w:left="2218" w:hanging="951"/>
      </w:pPr>
      <w:r w:rsidRPr="00D21C94">
        <w:t>3.1</w:t>
      </w:r>
      <w:r w:rsidRPr="00D21C94">
        <w:tab/>
      </w:r>
      <w:r w:rsidR="00A02FE7">
        <w:tab/>
      </w:r>
      <w:r w:rsidRPr="00D21C94">
        <w:t>Simuler un défaut de fonctionnement du système de surveillance de la pression des pneumatiques, par exemple, en déconnectant la source de l’alimentation de tout composant du système de surveillance de la pression des pneumatiques, en interrompant la connexion électrique entre les composants eux-mêmes ou en montant sur le véhicule un pneumatique ou une roue incompatible avec le système de surveillance de la pression des pneumatiques. Lors de la simulation d’un défaut de fonctionnement du système de surveillance de la pression des pneumatiques, les connexions électriques des témoins ne doivent pas être interrompues.</w:t>
      </w:r>
    </w:p>
    <w:p w:rsidR="00D21C94" w:rsidRPr="00D21C94" w:rsidRDefault="00D21C94" w:rsidP="003542A7">
      <w:pPr>
        <w:pStyle w:val="SingleTxt"/>
        <w:ind w:left="2218" w:hanging="951"/>
      </w:pPr>
      <w:r w:rsidRPr="00D21C94">
        <w:t>3.2</w:t>
      </w:r>
      <w:r w:rsidRPr="00D21C94">
        <w:tab/>
      </w:r>
      <w:r w:rsidR="00A02FE7">
        <w:tab/>
      </w:r>
      <w:r w:rsidRPr="00D21C94">
        <w:t>Conduire le véhicule pendant un temps cumulé de dix minutes au plus (pas nécessairement en continu) sur une quelconque portion du parcours d’essai.</w:t>
      </w:r>
    </w:p>
    <w:p w:rsidR="00D21C94" w:rsidRPr="00D21C94" w:rsidRDefault="00D21C94" w:rsidP="003542A7">
      <w:pPr>
        <w:pStyle w:val="SingleTxt"/>
        <w:ind w:left="2218" w:hanging="951"/>
      </w:pPr>
      <w:r w:rsidRPr="00D21C94">
        <w:t>3.3</w:t>
      </w:r>
      <w:r w:rsidRPr="00D21C94">
        <w:tab/>
      </w:r>
      <w:r w:rsidR="00A02FE7">
        <w:tab/>
      </w:r>
      <w:r w:rsidRPr="00D21C94">
        <w:t>Au total, la somme des temps de conduite cumulés visés au paragraphe</w:t>
      </w:r>
      <w:r w:rsidR="003542A7">
        <w:t> </w:t>
      </w:r>
      <w:r w:rsidRPr="00D21C94">
        <w:t xml:space="preserve">3.2 doit être inférieure à </w:t>
      </w:r>
      <w:r w:rsidR="003542A7">
        <w:t>dix</w:t>
      </w:r>
      <w:r w:rsidRPr="00D21C94">
        <w:t xml:space="preserve"> minutes ou à la durée pendant laquelle le témoin de défaut de fonctionnement du système de surveillance de la pression des pneumatiques s’allume, la valeur retenue étant la plus petite des deux.</w:t>
      </w:r>
    </w:p>
    <w:p w:rsidR="00D21C94" w:rsidRPr="00D21C94" w:rsidRDefault="00D21C94" w:rsidP="003542A7">
      <w:pPr>
        <w:pStyle w:val="SingleTxt"/>
        <w:ind w:left="2218" w:hanging="951"/>
      </w:pPr>
      <w:r w:rsidRPr="00D21C94">
        <w:t>3.4</w:t>
      </w:r>
      <w:r w:rsidR="00A02FE7">
        <w:tab/>
      </w:r>
      <w:r w:rsidRPr="00D21C94">
        <w:tab/>
        <w:t>Si le témoin de défaut de fonctionnement du système de surveillance de la pression des pneumatiques ne s’est pas allumé conformément au paragraphe</w:t>
      </w:r>
      <w:r w:rsidR="003542A7">
        <w:t> </w:t>
      </w:r>
      <w:r w:rsidR="00214AA4">
        <w:t>5.</w:t>
      </w:r>
      <w:r w:rsidRPr="00D21C94">
        <w:t>4 du présent Règlement, mettre fin à l’essai.</w:t>
      </w:r>
    </w:p>
    <w:p w:rsidR="00D21C94" w:rsidRPr="00D21C94" w:rsidRDefault="00D21C94" w:rsidP="003542A7">
      <w:pPr>
        <w:pStyle w:val="SingleTxt"/>
        <w:ind w:left="2218" w:hanging="951"/>
      </w:pPr>
      <w:r w:rsidRPr="00D21C94">
        <w:t>3.5</w:t>
      </w:r>
      <w:r w:rsidRPr="00D21C94">
        <w:tab/>
      </w:r>
      <w:r w:rsidR="00A02FE7">
        <w:tab/>
      </w:r>
      <w:r w:rsidRPr="00D21C94">
        <w:t>Si le témoin de défaut de fonctionnement du système de surveillance de la pression des pneumatiques s’est allumé ou s’allume au cours du mode opératoire décrit aux paragraphes</w:t>
      </w:r>
      <w:r w:rsidR="003542A7">
        <w:t> </w:t>
      </w:r>
      <w:r w:rsidRPr="00D21C94">
        <w:t>3.1 à 3.3 ci-dessus, mettre la co</w:t>
      </w:r>
      <w:r w:rsidR="003542A7">
        <w:t>mmande de contact en position “</w:t>
      </w:r>
      <w:r w:rsidRPr="00D21C94">
        <w:t>Arrêt</w:t>
      </w:r>
      <w:r w:rsidR="003542A7">
        <w:t>”</w:t>
      </w:r>
      <w:r w:rsidRPr="00D21C94">
        <w:t xml:space="preserve"> ou “Verrouillé</w:t>
      </w:r>
      <w:r w:rsidR="003542A7">
        <w:t>”</w:t>
      </w:r>
      <w:r w:rsidRPr="00D21C94">
        <w:t>. Cinq minutes plus tard, remettre la commande de co</w:t>
      </w:r>
      <w:r w:rsidR="003542A7">
        <w:t>ntact du véhicule en position “</w:t>
      </w:r>
      <w:r w:rsidRPr="00D21C94">
        <w:t>Marche</w:t>
      </w:r>
      <w:r w:rsidR="003542A7">
        <w:t>”</w:t>
      </w:r>
      <w:r w:rsidRPr="00D21C94">
        <w:t>. Le témoin doit de nouveau signaler un défaut de fonctionnement et rester allumé aussi longtemps que la comman</w:t>
      </w:r>
      <w:r w:rsidR="003542A7">
        <w:t>de de contact est en position “</w:t>
      </w:r>
      <w:r w:rsidRPr="00D21C94">
        <w:t>Marche</w:t>
      </w:r>
      <w:r w:rsidR="003542A7">
        <w:t>”</w:t>
      </w:r>
      <w:r w:rsidRPr="00D21C94">
        <w:t>.</w:t>
      </w:r>
    </w:p>
    <w:p w:rsidR="00D21C94" w:rsidRPr="00D21C94" w:rsidRDefault="00D21C94" w:rsidP="005F7596">
      <w:pPr>
        <w:pStyle w:val="SingleTxt"/>
        <w:ind w:left="2218" w:hanging="951"/>
      </w:pPr>
      <w:r w:rsidRPr="00D21C94">
        <w:t>3.6</w:t>
      </w:r>
      <w:r w:rsidRPr="00D21C94">
        <w:tab/>
      </w:r>
      <w:r w:rsidR="00A02FE7">
        <w:tab/>
      </w:r>
      <w:r w:rsidRPr="00D21C94">
        <w:t>Ramener le système de surveillance de la pression des pneumatiques à son mode de fonctionnement normal. S’il y a lieu, conduire le véhicule jusqu’à l’extinction du témoin d’avertissement. Si celui-ci ne s’éteint pas, mettre fin à l’essai.</w:t>
      </w:r>
    </w:p>
    <w:p w:rsidR="008505F6" w:rsidRDefault="00D21C94" w:rsidP="005F7596">
      <w:pPr>
        <w:pStyle w:val="SingleTxt"/>
        <w:ind w:left="2218" w:hanging="951"/>
      </w:pPr>
      <w:r w:rsidRPr="00D21C94">
        <w:t>3.7</w:t>
      </w:r>
      <w:r w:rsidRPr="00D21C94">
        <w:tab/>
      </w:r>
      <w:r w:rsidR="00A02FE7">
        <w:tab/>
      </w:r>
      <w:r w:rsidRPr="00D21C94">
        <w:t>L’essai peut être répété selon les modes opér</w:t>
      </w:r>
      <w:r w:rsidR="005F7596">
        <w:t>atoires décrits aux paragraphes </w:t>
      </w:r>
      <w:r w:rsidRPr="00D21C94">
        <w:t>3.1 à 3.6 ci-dessus, chaque essai se limitant à la simulation d’un seul défaut de fonctionnement.</w:t>
      </w:r>
    </w:p>
    <w:p w:rsidR="00D21C94" w:rsidRDefault="00D21C94">
      <w:pPr>
        <w:spacing w:line="240" w:lineRule="auto"/>
      </w:pPr>
      <w:r>
        <w:br w:type="page"/>
      </w:r>
    </w:p>
    <w:p w:rsidR="00D21C94" w:rsidRDefault="00D21C94" w:rsidP="00D21C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C94">
        <w:lastRenderedPageBreak/>
        <w:tab/>
        <w:t>II.</w:t>
      </w:r>
      <w:r w:rsidRPr="00D21C94">
        <w:tab/>
        <w:t>Justification</w:t>
      </w:r>
    </w:p>
    <w:p w:rsidR="00D21C94" w:rsidRPr="00D21C94" w:rsidRDefault="00D21C94" w:rsidP="00D21C94">
      <w:pPr>
        <w:pStyle w:val="SingleTxt"/>
        <w:spacing w:after="0" w:line="120" w:lineRule="exact"/>
        <w:rPr>
          <w:sz w:val="10"/>
        </w:rPr>
      </w:pPr>
    </w:p>
    <w:p w:rsidR="00D21C94" w:rsidRPr="00D21C94" w:rsidRDefault="00D21C94" w:rsidP="00D21C94">
      <w:pPr>
        <w:pStyle w:val="SingleTxt"/>
        <w:spacing w:after="0" w:line="120" w:lineRule="exact"/>
        <w:rPr>
          <w:sz w:val="10"/>
        </w:rPr>
      </w:pPr>
    </w:p>
    <w:p w:rsidR="00D21C94" w:rsidRPr="00D21C94" w:rsidRDefault="00D21C94" w:rsidP="00D21C94">
      <w:pPr>
        <w:pStyle w:val="SingleTxt"/>
        <w:numPr>
          <w:ilvl w:val="0"/>
          <w:numId w:val="8"/>
        </w:numPr>
        <w:tabs>
          <w:tab w:val="clear" w:pos="475"/>
          <w:tab w:val="num" w:pos="1742"/>
        </w:tabs>
        <w:ind w:left="1267"/>
      </w:pPr>
      <w:r w:rsidRPr="00D21C94">
        <w:t>Dans le présent document est reproduit le texte unifié d’un nouveau projet de Règlement sur les systèmes de surveillance de la pression des pneumatiques, qui remplace celui du document ECE/TRANS/WP.29/GRRF/2015/13. Les modifications apportées visent uniquement les dispositions qui sont nécessaires à la réglementation des systèmes de surveillance de la pression des pneumatiques au moyen d’un Règlement distinct, dont le projet était inscrit à l’ordre du jour de la quatre-vingtième session du GRRF dans le document informel GRRF-80-34.</w:t>
      </w:r>
    </w:p>
    <w:p w:rsidR="00D21C94" w:rsidRPr="00D21C94" w:rsidRDefault="00D21C94" w:rsidP="00D21C94">
      <w:pPr>
        <w:pStyle w:val="SingleTxt"/>
        <w:numPr>
          <w:ilvl w:val="0"/>
          <w:numId w:val="8"/>
        </w:numPr>
        <w:tabs>
          <w:tab w:val="clear" w:pos="475"/>
          <w:tab w:val="num" w:pos="1742"/>
        </w:tabs>
        <w:ind w:left="1267"/>
        <w:rPr>
          <w:b/>
        </w:rPr>
      </w:pPr>
      <w:r w:rsidRPr="00D21C94">
        <w:t>Conformément aux observations reçues à la s</w:t>
      </w:r>
      <w:r w:rsidR="00E2084E">
        <w:t>oixante-dix-huitième session du </w:t>
      </w:r>
      <w:r w:rsidRPr="00D21C94">
        <w:t xml:space="preserve">GRRF, l’OICA a tenu des débats avec les parties intéressées en vue de parvenir à un consensus concernant les modifications à apporter au projet de document inscrit à l’ordre du </w:t>
      </w:r>
      <w:r w:rsidR="00543F1B">
        <w:t>jour sous le symbole GRRF-78-39</w:t>
      </w:r>
      <w:r w:rsidR="00E2084E">
        <w:t>.</w:t>
      </w:r>
    </w:p>
    <w:p w:rsidR="00D21C94" w:rsidRPr="009B4A28" w:rsidRDefault="00D21C94" w:rsidP="00543F1B">
      <w:pPr>
        <w:pStyle w:val="Bullet1"/>
        <w:rPr>
          <w:b/>
        </w:rPr>
      </w:pPr>
      <w:r w:rsidRPr="009B4A28">
        <w:rPr>
          <w:b/>
        </w:rPr>
        <w:t xml:space="preserve">Les observations formulées par la France à la </w:t>
      </w:r>
      <w:r w:rsidR="00E2084E" w:rsidRPr="009B4A28">
        <w:rPr>
          <w:b/>
        </w:rPr>
        <w:t>soixante-dix-neuvième</w:t>
      </w:r>
      <w:r w:rsidRPr="009B4A28">
        <w:rPr>
          <w:b/>
        </w:rPr>
        <w:t xml:space="preserve"> session du GRRF sont prises en compte (au par</w:t>
      </w:r>
      <w:r w:rsidR="00E2084E" w:rsidRPr="009B4A28">
        <w:rPr>
          <w:b/>
        </w:rPr>
        <w:t>agraphe</w:t>
      </w:r>
      <w:r w:rsidRPr="009B4A28">
        <w:rPr>
          <w:b/>
        </w:rPr>
        <w:t> 2.2, lire</w:t>
      </w:r>
      <w:r w:rsidR="00E2084E" w:rsidRPr="009B4A28">
        <w:rPr>
          <w:b/>
        </w:rPr>
        <w:t xml:space="preserve"> “</w:t>
      </w:r>
      <w:r w:rsidRPr="009B4A28">
        <w:rPr>
          <w:b/>
          <w:i/>
        </w:rPr>
        <w:t xml:space="preserve">Type de </w:t>
      </w:r>
      <w:r w:rsidRPr="009B4A28">
        <w:rPr>
          <w:i/>
        </w:rPr>
        <w:t>véhicule</w:t>
      </w:r>
      <w:r w:rsidRPr="009B4A28">
        <w:rPr>
          <w:b/>
          <w:i/>
        </w:rPr>
        <w:t xml:space="preserve"> pour ce qui concerne son système de surveillance de la pression des pneumatiques</w:t>
      </w:r>
      <w:r w:rsidR="00E2084E" w:rsidRPr="009B4A28">
        <w:rPr>
          <w:b/>
        </w:rPr>
        <w:t>”</w:t>
      </w:r>
      <w:r w:rsidRPr="009B4A28">
        <w:rPr>
          <w:b/>
          <w:i/>
        </w:rPr>
        <w:t xml:space="preserve"> </w:t>
      </w:r>
      <w:r w:rsidR="00E2084E" w:rsidRPr="009B4A28">
        <w:rPr>
          <w:b/>
        </w:rPr>
        <w:t>et au paragraphe</w:t>
      </w:r>
      <w:r w:rsidRPr="009B4A28">
        <w:rPr>
          <w:b/>
        </w:rPr>
        <w:t> 2.2</w:t>
      </w:r>
      <w:r w:rsidR="009E6EF5" w:rsidRPr="009B4A28">
        <w:rPr>
          <w:b/>
        </w:rPr>
        <w:t> </w:t>
      </w:r>
      <w:r w:rsidR="00E2084E" w:rsidRPr="009B4A28">
        <w:rPr>
          <w:b/>
        </w:rPr>
        <w:t>c), mentionner uniquement la “</w:t>
      </w:r>
      <w:r w:rsidRPr="009B4A28">
        <w:rPr>
          <w:b/>
          <w:i/>
        </w:rPr>
        <w:t>conception</w:t>
      </w:r>
      <w:r w:rsidR="00E2084E" w:rsidRPr="009B4A28">
        <w:rPr>
          <w:b/>
        </w:rPr>
        <w:t>”</w:t>
      </w:r>
      <w:r w:rsidRPr="009B4A28">
        <w:rPr>
          <w:b/>
        </w:rPr>
        <w:t xml:space="preserve"> du système de surveillance de la pression des pneumatiques, à l’exclusion de son type);</w:t>
      </w:r>
    </w:p>
    <w:p w:rsidR="00D21C94" w:rsidRPr="009B4A28" w:rsidRDefault="00D21C94" w:rsidP="00543F1B">
      <w:pPr>
        <w:pStyle w:val="Bullet1"/>
        <w:rPr>
          <w:b/>
        </w:rPr>
      </w:pPr>
      <w:r w:rsidRPr="009B4A28">
        <w:rPr>
          <w:b/>
        </w:rPr>
        <w:t xml:space="preserve">Les observations formulées par l’Organisation technique européenne du pneumatique et de la jante après la </w:t>
      </w:r>
      <w:r w:rsidR="00960ABF" w:rsidRPr="009B4A28">
        <w:rPr>
          <w:b/>
        </w:rPr>
        <w:t xml:space="preserve">soixante-dix-neuvième </w:t>
      </w:r>
      <w:r w:rsidRPr="009B4A28">
        <w:rPr>
          <w:b/>
        </w:rPr>
        <w:t>session du GRRF sont également prises en compte (suppression des par</w:t>
      </w:r>
      <w:r w:rsidR="00960ABF" w:rsidRPr="009B4A28">
        <w:rPr>
          <w:b/>
        </w:rPr>
        <w:t>agraphes</w:t>
      </w:r>
      <w:r w:rsidRPr="009B4A28">
        <w:rPr>
          <w:b/>
        </w:rPr>
        <w:t> 2.4.1 à 2.7 et nouvelle numérotation des paragraphes en conséquence).</w:t>
      </w:r>
    </w:p>
    <w:p w:rsidR="00D21C94" w:rsidRDefault="00D21C94" w:rsidP="00D21C94">
      <w:pPr>
        <w:pStyle w:val="SingleTxt"/>
        <w:numPr>
          <w:ilvl w:val="0"/>
          <w:numId w:val="8"/>
        </w:numPr>
        <w:tabs>
          <w:tab w:val="clear" w:pos="475"/>
          <w:tab w:val="num" w:pos="1742"/>
        </w:tabs>
        <w:ind w:left="1267"/>
      </w:pPr>
      <w:r w:rsidRPr="00D21C94">
        <w:t xml:space="preserve">Le secteur concerné propose d’opter pour une date d’entrée en vigueur conforme à la recommandation du groupe informel chargé de la révision de l’Accord de 1958, de sorte que la division du Règlement </w:t>
      </w:r>
      <w:r w:rsidR="0090651F">
        <w:t>n</w:t>
      </w:r>
      <w:r w:rsidR="0090651F" w:rsidRPr="0090651F">
        <w:rPr>
          <w:vertAlign w:val="superscript"/>
        </w:rPr>
        <w:t>o</w:t>
      </w:r>
      <w:r w:rsidR="0090651F">
        <w:t> </w:t>
      </w:r>
      <w:r w:rsidRPr="00D21C94">
        <w:t>64 en deux Règlements distincts soit effective au 1</w:t>
      </w:r>
      <w:r w:rsidRPr="00D21C94">
        <w:rPr>
          <w:vertAlign w:val="superscript"/>
        </w:rPr>
        <w:t>er</w:t>
      </w:r>
      <w:r w:rsidRPr="00D21C94">
        <w:t> septembre d’une année dont le choix est laissé à l’appréciation des experts du GRRF</w:t>
      </w:r>
      <w:r w:rsidR="00FE7F85">
        <w:t xml:space="preserve">. Ceux-ci doivent décider s’il s’agit de l’année 2017, </w:t>
      </w:r>
      <w:r w:rsidRPr="00D21C94">
        <w:t>sachant que la Révision 3 de l’Accord de 1958 est censée entrer en vigueur à la session du WP.29 de juin 2016.</w:t>
      </w:r>
      <w:r w:rsidR="009E6EF5">
        <w:t> ».</w:t>
      </w:r>
    </w:p>
    <w:p w:rsidR="00D21C94" w:rsidRPr="00D21C94" w:rsidRDefault="00D21C94" w:rsidP="00D21C94">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21C94" w:rsidRPr="00D21C94" w:rsidSect="00E608A9">
      <w:headerReference w:type="even" r:id="rId24"/>
      <w:headerReference w:type="default" r:id="rId25"/>
      <w:footnotePr>
        <w:numRestart w:val="eachSect"/>
      </w:footnotePr>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8T11:12:00Z" w:initials="Start">
    <w:p w:rsidR="005E65FE" w:rsidRDefault="005E65F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NO&gt;&gt;N1526553F&lt;&lt;ODS JOB NO&gt;&gt;</w:t>
      </w:r>
    </w:p>
    <w:p w:rsidR="005E65FE" w:rsidRDefault="005E65FE">
      <w:pPr>
        <w:pStyle w:val="CommentText"/>
      </w:pPr>
      <w:r>
        <w:t>&lt;&lt;ODS DOC SYMBOL1&gt;&gt;ECE/TRANS/WP.29/GRRF/2016/5&lt;&lt;ODS DOC SYMBOL1&gt;&gt;</w:t>
      </w:r>
    </w:p>
    <w:p w:rsidR="005E65FE" w:rsidRDefault="005E65F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FE" w:rsidRDefault="005E65FE" w:rsidP="00F3330B">
      <w:pPr>
        <w:spacing w:line="240" w:lineRule="auto"/>
      </w:pPr>
      <w:r>
        <w:separator/>
      </w:r>
    </w:p>
  </w:endnote>
  <w:endnote w:type="continuationSeparator" w:id="0">
    <w:p w:rsidR="005E65FE" w:rsidRDefault="005E65F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E65FE" w:rsidTr="00594AD0">
      <w:trPr>
        <w:jc w:val="center"/>
      </w:trPr>
      <w:tc>
        <w:tcPr>
          <w:tcW w:w="5126" w:type="dxa"/>
          <w:shd w:val="clear" w:color="auto" w:fill="auto"/>
        </w:tcPr>
        <w:p w:rsidR="005E65FE" w:rsidRPr="00594AD0" w:rsidRDefault="005E65FE" w:rsidP="00594AD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0B28">
            <w:rPr>
              <w:b w:val="0"/>
              <w:w w:val="103"/>
              <w:sz w:val="14"/>
            </w:rPr>
            <w:t>GE.15-20475</w:t>
          </w:r>
          <w:r>
            <w:rPr>
              <w:b w:val="0"/>
              <w:w w:val="103"/>
              <w:sz w:val="14"/>
            </w:rPr>
            <w:fldChar w:fldCharType="end"/>
          </w:r>
        </w:p>
      </w:tc>
      <w:tc>
        <w:tcPr>
          <w:tcW w:w="5127" w:type="dxa"/>
          <w:shd w:val="clear" w:color="auto" w:fill="auto"/>
        </w:tcPr>
        <w:p w:rsidR="005E65FE" w:rsidRPr="00594AD0" w:rsidRDefault="005E65FE" w:rsidP="00594AD0">
          <w:pPr>
            <w:pStyle w:val="Footer"/>
            <w:rPr>
              <w:w w:val="103"/>
            </w:rPr>
          </w:pPr>
          <w:r>
            <w:rPr>
              <w:w w:val="103"/>
            </w:rPr>
            <w:fldChar w:fldCharType="begin"/>
          </w:r>
          <w:r>
            <w:rPr>
              <w:w w:val="103"/>
            </w:rPr>
            <w:instrText xml:space="preserve"> PAGE  \* Arabic  \* MERGEFORMAT </w:instrText>
          </w:r>
          <w:r>
            <w:rPr>
              <w:w w:val="103"/>
            </w:rPr>
            <w:fldChar w:fldCharType="separate"/>
          </w:r>
          <w:r w:rsidR="00C0659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6596">
            <w:rPr>
              <w:noProof/>
              <w:w w:val="103"/>
            </w:rPr>
            <w:t>16</w:t>
          </w:r>
          <w:r>
            <w:rPr>
              <w:w w:val="103"/>
            </w:rPr>
            <w:fldChar w:fldCharType="end"/>
          </w:r>
        </w:p>
      </w:tc>
    </w:tr>
  </w:tbl>
  <w:p w:rsidR="005E65FE" w:rsidRPr="00594AD0" w:rsidRDefault="005E65FE" w:rsidP="00594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E65FE" w:rsidTr="00594AD0">
      <w:trPr>
        <w:jc w:val="center"/>
      </w:trPr>
      <w:tc>
        <w:tcPr>
          <w:tcW w:w="5126" w:type="dxa"/>
          <w:shd w:val="clear" w:color="auto" w:fill="auto"/>
        </w:tcPr>
        <w:p w:rsidR="005E65FE" w:rsidRPr="00594AD0" w:rsidRDefault="005E65FE" w:rsidP="00594AD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06596">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6596">
            <w:rPr>
              <w:noProof/>
              <w:w w:val="103"/>
            </w:rPr>
            <w:t>15</w:t>
          </w:r>
          <w:r>
            <w:rPr>
              <w:w w:val="103"/>
            </w:rPr>
            <w:fldChar w:fldCharType="end"/>
          </w:r>
        </w:p>
      </w:tc>
      <w:tc>
        <w:tcPr>
          <w:tcW w:w="5127" w:type="dxa"/>
          <w:shd w:val="clear" w:color="auto" w:fill="auto"/>
        </w:tcPr>
        <w:p w:rsidR="005E65FE" w:rsidRPr="00594AD0" w:rsidRDefault="005E65FE" w:rsidP="00594AD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0B28">
            <w:rPr>
              <w:b w:val="0"/>
              <w:w w:val="103"/>
              <w:sz w:val="14"/>
            </w:rPr>
            <w:t>GE.15-20475</w:t>
          </w:r>
          <w:r>
            <w:rPr>
              <w:b w:val="0"/>
              <w:w w:val="103"/>
              <w:sz w:val="14"/>
            </w:rPr>
            <w:fldChar w:fldCharType="end"/>
          </w:r>
        </w:p>
      </w:tc>
    </w:tr>
  </w:tbl>
  <w:p w:rsidR="005E65FE" w:rsidRPr="00594AD0" w:rsidRDefault="005E65FE" w:rsidP="00594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FE" w:rsidRDefault="005E65FE">
    <w:pPr>
      <w:pStyle w:val="Footer"/>
    </w:pPr>
    <w:r>
      <w:rPr>
        <w:noProof/>
        <w:lang w:val="en-GB" w:eastAsia="en-GB"/>
      </w:rPr>
      <w:drawing>
        <wp:anchor distT="0" distB="0" distL="114300" distR="114300" simplePos="0" relativeHeight="251658240" behindDoc="0" locked="0" layoutInCell="1" allowOverlap="1" wp14:anchorId="41346889" wp14:editId="129B321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E65FE" w:rsidTr="00594AD0">
      <w:tc>
        <w:tcPr>
          <w:tcW w:w="3859" w:type="dxa"/>
        </w:tcPr>
        <w:p w:rsidR="005E65FE" w:rsidRDefault="005E65FE" w:rsidP="00594AD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30B28">
            <w:rPr>
              <w:b w:val="0"/>
              <w:sz w:val="20"/>
            </w:rPr>
            <w:t>GE.15-20475 (F)</w:t>
          </w:r>
          <w:r>
            <w:rPr>
              <w:b w:val="0"/>
              <w:sz w:val="20"/>
            </w:rPr>
            <w:fldChar w:fldCharType="end"/>
          </w:r>
          <w:r>
            <w:rPr>
              <w:b w:val="0"/>
              <w:sz w:val="20"/>
            </w:rPr>
            <w:t xml:space="preserve">    241215    2</w:t>
          </w:r>
          <w:r w:rsidR="00015C43">
            <w:rPr>
              <w:b w:val="0"/>
              <w:sz w:val="20"/>
            </w:rPr>
            <w:t>9</w:t>
          </w:r>
          <w:r>
            <w:rPr>
              <w:b w:val="0"/>
              <w:sz w:val="20"/>
            </w:rPr>
            <w:t>1215</w:t>
          </w:r>
        </w:p>
        <w:p w:rsidR="005E65FE" w:rsidRPr="00594AD0" w:rsidRDefault="005E65FE" w:rsidP="00594AD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30B28">
            <w:rPr>
              <w:rFonts w:ascii="Barcode 3 of 9 by request" w:hAnsi="Barcode 3 of 9 by request"/>
              <w:b w:val="0"/>
              <w:spacing w:val="0"/>
              <w:w w:val="100"/>
              <w:sz w:val="24"/>
            </w:rPr>
            <w:t>*1520475*</w:t>
          </w:r>
          <w:r>
            <w:rPr>
              <w:rFonts w:ascii="Barcode 3 of 9 by request" w:hAnsi="Barcode 3 of 9 by request"/>
              <w:b w:val="0"/>
              <w:spacing w:val="0"/>
              <w:w w:val="100"/>
              <w:sz w:val="24"/>
            </w:rPr>
            <w:fldChar w:fldCharType="end"/>
          </w:r>
        </w:p>
      </w:tc>
      <w:tc>
        <w:tcPr>
          <w:tcW w:w="5127" w:type="dxa"/>
        </w:tcPr>
        <w:p w:rsidR="005E65FE" w:rsidRDefault="005E65FE" w:rsidP="00594AD0">
          <w:pPr>
            <w:pStyle w:val="Footer"/>
            <w:spacing w:line="240" w:lineRule="atLeast"/>
            <w:jc w:val="right"/>
            <w:rPr>
              <w:b w:val="0"/>
              <w:sz w:val="20"/>
            </w:rPr>
          </w:pPr>
          <w:r>
            <w:rPr>
              <w:b w:val="0"/>
              <w:noProof/>
              <w:sz w:val="20"/>
              <w:lang w:val="en-GB" w:eastAsia="en-GB"/>
            </w:rPr>
            <w:drawing>
              <wp:inline distT="0" distB="0" distL="0" distR="0" wp14:anchorId="66DCE8BA" wp14:editId="43D9220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E65FE" w:rsidRPr="00594AD0" w:rsidRDefault="005E65FE" w:rsidP="00594AD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FE" w:rsidRPr="00681E37" w:rsidRDefault="00681E37" w:rsidP="00681E37">
      <w:pPr>
        <w:pStyle w:val="Footer"/>
        <w:spacing w:after="80"/>
        <w:ind w:left="792"/>
        <w:rPr>
          <w:sz w:val="16"/>
        </w:rPr>
      </w:pPr>
      <w:r w:rsidRPr="00681E37">
        <w:rPr>
          <w:sz w:val="16"/>
        </w:rPr>
        <w:t>__________________</w:t>
      </w:r>
    </w:p>
  </w:footnote>
  <w:footnote w:type="continuationSeparator" w:id="0">
    <w:p w:rsidR="005E65FE" w:rsidRPr="00681E37" w:rsidRDefault="00681E37" w:rsidP="00681E37">
      <w:pPr>
        <w:pStyle w:val="Footer"/>
        <w:spacing w:after="80"/>
        <w:ind w:left="792"/>
        <w:rPr>
          <w:sz w:val="16"/>
        </w:rPr>
      </w:pPr>
      <w:r w:rsidRPr="00681E37">
        <w:rPr>
          <w:sz w:val="16"/>
        </w:rPr>
        <w:t>__________________</w:t>
      </w:r>
    </w:p>
  </w:footnote>
  <w:footnote w:id="1">
    <w:p w:rsidR="005E65FE" w:rsidRPr="00C76474" w:rsidRDefault="005E65FE" w:rsidP="00681E37">
      <w:pPr>
        <w:pStyle w:val="FootnoteText"/>
        <w:tabs>
          <w:tab w:val="right" w:pos="1195"/>
          <w:tab w:val="left" w:pos="1267"/>
          <w:tab w:val="left" w:pos="1742"/>
          <w:tab w:val="left" w:pos="2218"/>
          <w:tab w:val="left" w:pos="2693"/>
        </w:tabs>
        <w:ind w:left="1267" w:right="1260" w:hanging="432"/>
        <w:rPr>
          <w:lang w:val="fr-CH"/>
        </w:rPr>
      </w:pPr>
      <w:r>
        <w:tab/>
      </w:r>
      <w:r w:rsidRPr="00C76474">
        <w:rPr>
          <w:rStyle w:val="FootnoteReference"/>
          <w:sz w:val="20"/>
          <w:vertAlign w:val="baseline"/>
        </w:rPr>
        <w:t>*</w:t>
      </w:r>
      <w:r>
        <w:tab/>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 w:id="2">
    <w:p w:rsidR="005E65FE" w:rsidRPr="00E608A9" w:rsidRDefault="005E65FE" w:rsidP="00681E37">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t xml:space="preserve">Selon les définitions de la Résolution d’ensemble sur la construction des véhicules (R.E.3.), document ECE/TRANS/WP.29/78/Rev.3, par. 2 – </w:t>
      </w:r>
      <w:r w:rsidRPr="00E608A9">
        <w:t>www.unece.org/trans/main/wp29/wp29wgs/</w:t>
      </w:r>
      <w:r>
        <w:br/>
      </w:r>
      <w:r w:rsidRPr="00E608A9">
        <w:t>wp29gen/wp29resolutions.html</w:t>
      </w:r>
      <w:r>
        <w:t>.</w:t>
      </w:r>
    </w:p>
  </w:footnote>
  <w:footnote w:id="3">
    <w:p w:rsidR="005E65FE" w:rsidRPr="00B354F0" w:rsidRDefault="005E65FE" w:rsidP="00681E37">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EB550E">
        <w:t xml:space="preserve">Les numéros distinctifs des Parties contractantes à l’Accord de 1958 reproduits dans l’annexe 3 de la </w:t>
      </w:r>
      <w:r w:rsidRPr="00EB550E">
        <w:rPr>
          <w:spacing w:val="0"/>
        </w:rPr>
        <w:t>Résolution d’ensemble sur la construction des véhicules (R.E.3), document ECE/TRANS/WP.29/78/Rev.3,</w:t>
      </w:r>
      <w:r w:rsidRPr="00EB550E">
        <w:t xml:space="preserve"> </w:t>
      </w:r>
      <w:r w:rsidRPr="00EB550E">
        <w:br/>
        <w:t>annexe 3 – www.unece.org/trans/main/wp29/wp29wgs/wp29gen/wp29resolutions.html.</w:t>
      </w:r>
    </w:p>
  </w:footnote>
  <w:footnote w:id="4">
    <w:p w:rsidR="005E65FE" w:rsidRDefault="005E65FE" w:rsidP="00681E37">
      <w:pPr>
        <w:pStyle w:val="FootnoteText"/>
        <w:tabs>
          <w:tab w:val="right" w:pos="1195"/>
          <w:tab w:val="left" w:pos="1267"/>
          <w:tab w:val="left" w:pos="1742"/>
          <w:tab w:val="left" w:pos="2218"/>
          <w:tab w:val="left" w:pos="2693"/>
        </w:tabs>
        <w:ind w:left="1267" w:right="1260" w:hanging="432"/>
      </w:pPr>
      <w:r>
        <w:tab/>
      </w:r>
      <w:r>
        <w:rPr>
          <w:vertAlign w:val="superscript"/>
        </w:rPr>
        <w:t>1</w:t>
      </w:r>
      <w:r>
        <w:rPr>
          <w:vertAlign w:val="superscript"/>
        </w:rPr>
        <w:tab/>
      </w:r>
      <w:r>
        <w:t>Numéro distinctif du pays qui a délivré/étendu/refusé/retiré l’homologation (voir les dispositions du Règlement relatives à l’homologation).</w:t>
      </w:r>
    </w:p>
  </w:footnote>
  <w:footnote w:id="5">
    <w:p w:rsidR="005E65FE" w:rsidRDefault="005E65FE" w:rsidP="00681E37">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ab/>
        <w:t>Biffer les mentions inutiles.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E65FE" w:rsidTr="00594AD0">
      <w:trPr>
        <w:trHeight w:hRule="exact" w:val="864"/>
        <w:jc w:val="center"/>
      </w:trPr>
      <w:tc>
        <w:tcPr>
          <w:tcW w:w="4882" w:type="dxa"/>
          <w:shd w:val="clear" w:color="auto" w:fill="auto"/>
          <w:vAlign w:val="bottom"/>
        </w:tcPr>
        <w:p w:rsidR="005E65FE" w:rsidRPr="00594AD0" w:rsidRDefault="005E65FE" w:rsidP="00594AD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30B28">
            <w:rPr>
              <w:b/>
              <w:color w:val="000000"/>
            </w:rPr>
            <w:t>ECE/TRANS/WP.29/GRRF/2016/5</w:t>
          </w:r>
          <w:r>
            <w:rPr>
              <w:b/>
              <w:color w:val="000000"/>
            </w:rPr>
            <w:fldChar w:fldCharType="end"/>
          </w:r>
          <w:r w:rsidR="00B6191E">
            <w:rPr>
              <w:b/>
              <w:color w:val="000000"/>
            </w:rPr>
            <w:t xml:space="preserve"> </w:t>
          </w:r>
          <w:r w:rsidR="00B6191E">
            <w:rPr>
              <w:b/>
              <w:color w:val="000000"/>
            </w:rPr>
            <w:br/>
            <w:t>Annexe 1</w:t>
          </w:r>
        </w:p>
      </w:tc>
      <w:tc>
        <w:tcPr>
          <w:tcW w:w="5127" w:type="dxa"/>
          <w:shd w:val="clear" w:color="auto" w:fill="auto"/>
          <w:vAlign w:val="bottom"/>
        </w:tcPr>
        <w:p w:rsidR="005E65FE" w:rsidRDefault="005E65FE" w:rsidP="00594AD0">
          <w:pPr>
            <w:pStyle w:val="Header"/>
          </w:pPr>
        </w:p>
      </w:tc>
    </w:tr>
  </w:tbl>
  <w:p w:rsidR="005E65FE" w:rsidRPr="00594AD0" w:rsidRDefault="005E65FE" w:rsidP="00594AD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E65FE" w:rsidTr="00594AD0">
      <w:trPr>
        <w:trHeight w:hRule="exact" w:val="864"/>
        <w:jc w:val="center"/>
      </w:trPr>
      <w:tc>
        <w:tcPr>
          <w:tcW w:w="4882" w:type="dxa"/>
          <w:shd w:val="clear" w:color="auto" w:fill="auto"/>
          <w:vAlign w:val="bottom"/>
        </w:tcPr>
        <w:p w:rsidR="005E65FE" w:rsidRDefault="005E65FE" w:rsidP="00594AD0">
          <w:pPr>
            <w:pStyle w:val="Header"/>
          </w:pPr>
        </w:p>
      </w:tc>
      <w:tc>
        <w:tcPr>
          <w:tcW w:w="5127" w:type="dxa"/>
          <w:shd w:val="clear" w:color="auto" w:fill="auto"/>
          <w:vAlign w:val="bottom"/>
        </w:tcPr>
        <w:p w:rsidR="005E65FE" w:rsidRPr="00594AD0" w:rsidRDefault="005E65FE" w:rsidP="001B481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30B28">
            <w:rPr>
              <w:b/>
              <w:color w:val="000000"/>
            </w:rPr>
            <w:t>ECE/TRANS/WP.29/GRRF/2016/5</w:t>
          </w:r>
          <w:r>
            <w:rPr>
              <w:b/>
              <w:color w:val="000000"/>
            </w:rPr>
            <w:fldChar w:fldCharType="end"/>
          </w:r>
        </w:p>
      </w:tc>
    </w:tr>
  </w:tbl>
  <w:p w:rsidR="005E65FE" w:rsidRPr="00594AD0" w:rsidRDefault="005E65FE" w:rsidP="00594AD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E65FE" w:rsidTr="00594AD0">
      <w:trPr>
        <w:trHeight w:hRule="exact" w:val="864"/>
      </w:trPr>
      <w:tc>
        <w:tcPr>
          <w:tcW w:w="1267" w:type="dxa"/>
          <w:tcBorders>
            <w:bottom w:val="single" w:sz="4" w:space="0" w:color="auto"/>
          </w:tcBorders>
          <w:shd w:val="clear" w:color="auto" w:fill="auto"/>
          <w:vAlign w:val="bottom"/>
        </w:tcPr>
        <w:p w:rsidR="005E65FE" w:rsidRDefault="005E65FE" w:rsidP="00594AD0">
          <w:pPr>
            <w:pStyle w:val="Header"/>
            <w:spacing w:after="120"/>
          </w:pPr>
        </w:p>
      </w:tc>
      <w:tc>
        <w:tcPr>
          <w:tcW w:w="2059" w:type="dxa"/>
          <w:tcBorders>
            <w:bottom w:val="single" w:sz="4" w:space="0" w:color="auto"/>
          </w:tcBorders>
          <w:shd w:val="clear" w:color="auto" w:fill="auto"/>
          <w:vAlign w:val="bottom"/>
        </w:tcPr>
        <w:p w:rsidR="005E65FE" w:rsidRPr="00594AD0" w:rsidRDefault="005E65FE" w:rsidP="00594AD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E65FE" w:rsidRDefault="005E65FE" w:rsidP="00594AD0">
          <w:pPr>
            <w:pStyle w:val="Header"/>
            <w:spacing w:after="120"/>
          </w:pPr>
        </w:p>
      </w:tc>
      <w:tc>
        <w:tcPr>
          <w:tcW w:w="6653" w:type="dxa"/>
          <w:gridSpan w:val="4"/>
          <w:tcBorders>
            <w:bottom w:val="single" w:sz="4" w:space="0" w:color="auto"/>
          </w:tcBorders>
          <w:shd w:val="clear" w:color="auto" w:fill="auto"/>
          <w:vAlign w:val="bottom"/>
        </w:tcPr>
        <w:p w:rsidR="005E65FE" w:rsidRPr="00594AD0" w:rsidRDefault="005E65FE" w:rsidP="00594AD0">
          <w:pPr>
            <w:spacing w:after="80" w:line="240" w:lineRule="auto"/>
            <w:jc w:val="right"/>
            <w:rPr>
              <w:position w:val="-4"/>
            </w:rPr>
          </w:pPr>
          <w:r>
            <w:rPr>
              <w:position w:val="-4"/>
              <w:sz w:val="40"/>
            </w:rPr>
            <w:t>ECE</w:t>
          </w:r>
          <w:r>
            <w:rPr>
              <w:position w:val="-4"/>
            </w:rPr>
            <w:t>/TRANS/WP.29/GRRF/2016/5</w:t>
          </w:r>
        </w:p>
      </w:tc>
    </w:tr>
    <w:tr w:rsidR="005E65FE" w:rsidRPr="00594AD0" w:rsidTr="00594AD0">
      <w:trPr>
        <w:gridAfter w:val="1"/>
        <w:wAfter w:w="18" w:type="dxa"/>
        <w:trHeight w:hRule="exact" w:val="2880"/>
      </w:trPr>
      <w:tc>
        <w:tcPr>
          <w:tcW w:w="1267" w:type="dxa"/>
          <w:tcBorders>
            <w:top w:val="single" w:sz="4" w:space="0" w:color="auto"/>
            <w:bottom w:val="single" w:sz="12" w:space="0" w:color="auto"/>
          </w:tcBorders>
          <w:shd w:val="clear" w:color="auto" w:fill="auto"/>
        </w:tcPr>
        <w:p w:rsidR="005E65FE" w:rsidRPr="00594AD0" w:rsidRDefault="005E65FE" w:rsidP="00594AD0">
          <w:pPr>
            <w:pStyle w:val="Header"/>
            <w:spacing w:before="120" w:line="240" w:lineRule="auto"/>
            <w:ind w:left="-72"/>
            <w:jc w:val="center"/>
          </w:pPr>
          <w:r>
            <w:rPr>
              <w:noProof/>
              <w:lang w:val="en-GB" w:eastAsia="en-GB"/>
            </w:rPr>
            <w:drawing>
              <wp:inline distT="0" distB="0" distL="0" distR="0" wp14:anchorId="5530B6A8" wp14:editId="48DC299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E65FE" w:rsidRPr="00594AD0" w:rsidRDefault="005E65FE" w:rsidP="00594AD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E65FE" w:rsidRPr="00594AD0" w:rsidRDefault="005E65FE" w:rsidP="00594AD0">
          <w:pPr>
            <w:pStyle w:val="Header"/>
            <w:spacing w:before="109"/>
          </w:pPr>
        </w:p>
      </w:tc>
      <w:tc>
        <w:tcPr>
          <w:tcW w:w="3280" w:type="dxa"/>
          <w:tcBorders>
            <w:top w:val="single" w:sz="4" w:space="0" w:color="auto"/>
            <w:bottom w:val="single" w:sz="12" w:space="0" w:color="auto"/>
          </w:tcBorders>
          <w:shd w:val="clear" w:color="auto" w:fill="auto"/>
        </w:tcPr>
        <w:p w:rsidR="005E65FE" w:rsidRDefault="005E65FE" w:rsidP="00594AD0">
          <w:pPr>
            <w:pStyle w:val="Distribution"/>
            <w:rPr>
              <w:color w:val="000000"/>
            </w:rPr>
          </w:pPr>
          <w:r>
            <w:rPr>
              <w:color w:val="000000"/>
            </w:rPr>
            <w:t>Distr. générale</w:t>
          </w:r>
        </w:p>
        <w:p w:rsidR="005E65FE" w:rsidRDefault="005E65FE" w:rsidP="00594AD0">
          <w:pPr>
            <w:pStyle w:val="Publication"/>
            <w:rPr>
              <w:color w:val="000000"/>
            </w:rPr>
          </w:pPr>
          <w:r>
            <w:rPr>
              <w:color w:val="000000"/>
            </w:rPr>
            <w:t>20 novembre 2015</w:t>
          </w:r>
        </w:p>
        <w:p w:rsidR="005E65FE" w:rsidRDefault="005E65FE" w:rsidP="00594AD0">
          <w:pPr>
            <w:rPr>
              <w:lang w:val="en-US"/>
            </w:rPr>
          </w:pPr>
          <w:r>
            <w:rPr>
              <w:lang w:val="en-US"/>
            </w:rPr>
            <w:t>Français</w:t>
          </w:r>
        </w:p>
        <w:p w:rsidR="005E65FE" w:rsidRPr="00594AD0" w:rsidRDefault="005E65FE" w:rsidP="00594AD0">
          <w:pPr>
            <w:pStyle w:val="Original"/>
            <w:rPr>
              <w:color w:val="000000"/>
            </w:rPr>
          </w:pPr>
          <w:r>
            <w:rPr>
              <w:color w:val="000000"/>
            </w:rPr>
            <w:t>Original : anglais</w:t>
          </w:r>
        </w:p>
      </w:tc>
    </w:tr>
  </w:tbl>
  <w:p w:rsidR="005E65FE" w:rsidRPr="00594AD0" w:rsidRDefault="005E65FE" w:rsidP="00594AD0">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191E" w:rsidTr="00594AD0">
      <w:trPr>
        <w:trHeight w:hRule="exact" w:val="864"/>
        <w:jc w:val="center"/>
      </w:trPr>
      <w:tc>
        <w:tcPr>
          <w:tcW w:w="4882" w:type="dxa"/>
          <w:shd w:val="clear" w:color="auto" w:fill="auto"/>
          <w:vAlign w:val="bottom"/>
        </w:tcPr>
        <w:p w:rsidR="00B6191E" w:rsidRPr="00594AD0" w:rsidRDefault="00B6191E" w:rsidP="00B6191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30B28">
            <w:rPr>
              <w:b/>
              <w:color w:val="000000"/>
            </w:rPr>
            <w:t>ECE/TRANS/WP.29/GRRF/2016/5</w:t>
          </w:r>
          <w:r>
            <w:rPr>
              <w:b/>
              <w:color w:val="000000"/>
            </w:rPr>
            <w:fldChar w:fldCharType="end"/>
          </w:r>
        </w:p>
      </w:tc>
      <w:tc>
        <w:tcPr>
          <w:tcW w:w="5127" w:type="dxa"/>
          <w:shd w:val="clear" w:color="auto" w:fill="auto"/>
          <w:vAlign w:val="bottom"/>
        </w:tcPr>
        <w:p w:rsidR="00B6191E" w:rsidRDefault="00B6191E" w:rsidP="00594AD0">
          <w:pPr>
            <w:pStyle w:val="Header"/>
          </w:pPr>
        </w:p>
      </w:tc>
    </w:tr>
  </w:tbl>
  <w:p w:rsidR="00B6191E" w:rsidRPr="00594AD0" w:rsidRDefault="00B6191E" w:rsidP="00594AD0">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191E" w:rsidTr="00594AD0">
      <w:trPr>
        <w:trHeight w:hRule="exact" w:val="864"/>
        <w:jc w:val="center"/>
      </w:trPr>
      <w:tc>
        <w:tcPr>
          <w:tcW w:w="4882" w:type="dxa"/>
          <w:shd w:val="clear" w:color="auto" w:fill="auto"/>
          <w:vAlign w:val="bottom"/>
        </w:tcPr>
        <w:p w:rsidR="00B6191E" w:rsidRPr="00594AD0" w:rsidRDefault="00B6191E" w:rsidP="00B6191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30B28">
            <w:rPr>
              <w:b/>
              <w:color w:val="000000"/>
            </w:rPr>
            <w:t>ECE/TRANS/WP.29/GRRF/2016/5</w:t>
          </w:r>
          <w:r>
            <w:rPr>
              <w:b/>
              <w:color w:val="000000"/>
            </w:rPr>
            <w:fldChar w:fldCharType="end"/>
          </w:r>
          <w:r>
            <w:rPr>
              <w:b/>
              <w:color w:val="000000"/>
            </w:rPr>
            <w:t xml:space="preserve"> </w:t>
          </w:r>
          <w:r>
            <w:rPr>
              <w:b/>
              <w:color w:val="000000"/>
            </w:rPr>
            <w:br/>
            <w:t>Annexe 1</w:t>
          </w:r>
        </w:p>
      </w:tc>
      <w:tc>
        <w:tcPr>
          <w:tcW w:w="5127" w:type="dxa"/>
          <w:shd w:val="clear" w:color="auto" w:fill="auto"/>
          <w:vAlign w:val="bottom"/>
        </w:tcPr>
        <w:p w:rsidR="00B6191E" w:rsidRDefault="00B6191E" w:rsidP="00594AD0">
          <w:pPr>
            <w:pStyle w:val="Header"/>
          </w:pPr>
        </w:p>
      </w:tc>
    </w:tr>
  </w:tbl>
  <w:p w:rsidR="00B6191E" w:rsidRPr="00594AD0" w:rsidRDefault="00B6191E" w:rsidP="00594AD0">
    <w:pPr>
      <w:pStyle w:val="Heade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191E" w:rsidTr="00594AD0">
      <w:trPr>
        <w:trHeight w:hRule="exact" w:val="864"/>
        <w:jc w:val="center"/>
      </w:trPr>
      <w:tc>
        <w:tcPr>
          <w:tcW w:w="4882" w:type="dxa"/>
          <w:shd w:val="clear" w:color="auto" w:fill="auto"/>
          <w:vAlign w:val="bottom"/>
        </w:tcPr>
        <w:p w:rsidR="00B6191E" w:rsidRDefault="00B6191E" w:rsidP="00594AD0">
          <w:pPr>
            <w:pStyle w:val="Header"/>
          </w:pPr>
        </w:p>
      </w:tc>
      <w:tc>
        <w:tcPr>
          <w:tcW w:w="5127" w:type="dxa"/>
          <w:shd w:val="clear" w:color="auto" w:fill="auto"/>
          <w:vAlign w:val="bottom"/>
        </w:tcPr>
        <w:p w:rsidR="00B6191E" w:rsidRPr="00594AD0" w:rsidRDefault="00B6191E" w:rsidP="00B6191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30B28">
            <w:rPr>
              <w:b/>
              <w:color w:val="000000"/>
            </w:rPr>
            <w:t>ECE/TRANS/WP.29/GRRF/2016/5</w:t>
          </w:r>
          <w:r>
            <w:rPr>
              <w:b/>
              <w:color w:val="000000"/>
            </w:rPr>
            <w:fldChar w:fldCharType="end"/>
          </w:r>
          <w:r>
            <w:rPr>
              <w:b/>
              <w:color w:val="000000"/>
            </w:rPr>
            <w:br/>
            <w:t>Annexe 1</w:t>
          </w:r>
        </w:p>
      </w:tc>
    </w:tr>
  </w:tbl>
  <w:p w:rsidR="00B6191E" w:rsidRPr="00594AD0" w:rsidRDefault="00B6191E" w:rsidP="00594AD0">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191E" w:rsidTr="00594AD0">
      <w:trPr>
        <w:trHeight w:hRule="exact" w:val="864"/>
        <w:jc w:val="center"/>
      </w:trPr>
      <w:tc>
        <w:tcPr>
          <w:tcW w:w="4882" w:type="dxa"/>
          <w:shd w:val="clear" w:color="auto" w:fill="auto"/>
          <w:vAlign w:val="bottom"/>
        </w:tcPr>
        <w:p w:rsidR="00B6191E" w:rsidRDefault="00B6191E" w:rsidP="00594AD0">
          <w:pPr>
            <w:pStyle w:val="Header"/>
          </w:pPr>
        </w:p>
      </w:tc>
      <w:tc>
        <w:tcPr>
          <w:tcW w:w="5127" w:type="dxa"/>
          <w:shd w:val="clear" w:color="auto" w:fill="auto"/>
          <w:vAlign w:val="bottom"/>
        </w:tcPr>
        <w:p w:rsidR="00B6191E" w:rsidRPr="00594AD0" w:rsidRDefault="00B6191E" w:rsidP="00B6191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30B28">
            <w:rPr>
              <w:b/>
              <w:color w:val="000000"/>
            </w:rPr>
            <w:t>ECE/TRANS/WP.29/GRRF/2016/5</w:t>
          </w:r>
          <w:r>
            <w:rPr>
              <w:b/>
              <w:color w:val="000000"/>
            </w:rPr>
            <w:fldChar w:fldCharType="end"/>
          </w:r>
          <w:r>
            <w:rPr>
              <w:b/>
              <w:color w:val="000000"/>
            </w:rPr>
            <w:br/>
            <w:t>Annexe</w:t>
          </w:r>
          <w:r w:rsidR="009F1A17">
            <w:rPr>
              <w:b/>
              <w:color w:val="000000"/>
            </w:rPr>
            <w:t xml:space="preserve"> 2</w:t>
          </w:r>
          <w:r>
            <w:rPr>
              <w:b/>
              <w:color w:val="000000"/>
            </w:rPr>
            <w:t xml:space="preserve"> </w:t>
          </w:r>
        </w:p>
      </w:tc>
    </w:tr>
  </w:tbl>
  <w:p w:rsidR="00B6191E" w:rsidRPr="00594AD0" w:rsidRDefault="00B6191E" w:rsidP="00594AD0">
    <w:pPr>
      <w:pStyle w:val="Header"/>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191E" w:rsidTr="00594AD0">
      <w:trPr>
        <w:trHeight w:hRule="exact" w:val="864"/>
        <w:jc w:val="center"/>
      </w:trPr>
      <w:tc>
        <w:tcPr>
          <w:tcW w:w="4882" w:type="dxa"/>
          <w:shd w:val="clear" w:color="auto" w:fill="auto"/>
          <w:vAlign w:val="bottom"/>
        </w:tcPr>
        <w:p w:rsidR="00B6191E" w:rsidRPr="00594AD0" w:rsidRDefault="00B6191E" w:rsidP="00B6191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30B28">
            <w:rPr>
              <w:b/>
              <w:color w:val="000000"/>
            </w:rPr>
            <w:t>ECE/TRANS/WP.29/GRRF/2016/5</w:t>
          </w:r>
          <w:r>
            <w:rPr>
              <w:b/>
              <w:color w:val="000000"/>
            </w:rPr>
            <w:fldChar w:fldCharType="end"/>
          </w:r>
          <w:r>
            <w:rPr>
              <w:b/>
              <w:color w:val="000000"/>
            </w:rPr>
            <w:t xml:space="preserve"> </w:t>
          </w:r>
          <w:r>
            <w:rPr>
              <w:b/>
              <w:color w:val="000000"/>
            </w:rPr>
            <w:br/>
            <w:t>Annexe 3</w:t>
          </w:r>
        </w:p>
      </w:tc>
      <w:tc>
        <w:tcPr>
          <w:tcW w:w="5127" w:type="dxa"/>
          <w:shd w:val="clear" w:color="auto" w:fill="auto"/>
          <w:vAlign w:val="bottom"/>
        </w:tcPr>
        <w:p w:rsidR="00B6191E" w:rsidRDefault="00B6191E" w:rsidP="00594AD0">
          <w:pPr>
            <w:pStyle w:val="Header"/>
          </w:pPr>
        </w:p>
      </w:tc>
    </w:tr>
  </w:tbl>
  <w:p w:rsidR="00B6191E" w:rsidRPr="00594AD0" w:rsidRDefault="00B6191E" w:rsidP="00594AD0">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6191E" w:rsidTr="00594AD0">
      <w:trPr>
        <w:trHeight w:hRule="exact" w:val="864"/>
        <w:jc w:val="center"/>
      </w:trPr>
      <w:tc>
        <w:tcPr>
          <w:tcW w:w="4882" w:type="dxa"/>
          <w:shd w:val="clear" w:color="auto" w:fill="auto"/>
          <w:vAlign w:val="bottom"/>
        </w:tcPr>
        <w:p w:rsidR="00B6191E" w:rsidRDefault="00B6191E" w:rsidP="00594AD0">
          <w:pPr>
            <w:pStyle w:val="Header"/>
          </w:pPr>
        </w:p>
      </w:tc>
      <w:tc>
        <w:tcPr>
          <w:tcW w:w="5127" w:type="dxa"/>
          <w:shd w:val="clear" w:color="auto" w:fill="auto"/>
          <w:vAlign w:val="bottom"/>
        </w:tcPr>
        <w:p w:rsidR="00B6191E" w:rsidRPr="00594AD0" w:rsidRDefault="00B6191E" w:rsidP="00B6191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30B28">
            <w:rPr>
              <w:b/>
              <w:color w:val="000000"/>
            </w:rPr>
            <w:t>ECE/TRANS/WP.29/GRRF/2016/5</w:t>
          </w:r>
          <w:r>
            <w:rPr>
              <w:b/>
              <w:color w:val="000000"/>
            </w:rPr>
            <w:fldChar w:fldCharType="end"/>
          </w:r>
          <w:r>
            <w:rPr>
              <w:b/>
              <w:color w:val="000000"/>
            </w:rPr>
            <w:br/>
            <w:t xml:space="preserve">Annexe 3 </w:t>
          </w:r>
        </w:p>
      </w:tc>
    </w:tr>
  </w:tbl>
  <w:p w:rsidR="00B6191E" w:rsidRPr="00594AD0" w:rsidRDefault="00B6191E" w:rsidP="00594AD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D645995"/>
    <w:multiLevelType w:val="singleLevel"/>
    <w:tmpl w:val="14242DBA"/>
    <w:lvl w:ilvl="0">
      <w:start w:val="1"/>
      <w:numFmt w:val="decimal"/>
      <w:lvlRestart w:val="0"/>
      <w:lvlText w:val="%1."/>
      <w:lvlJc w:val="left"/>
      <w:pPr>
        <w:tabs>
          <w:tab w:val="num" w:pos="475"/>
        </w:tabs>
        <w:ind w:left="0" w:firstLine="0"/>
      </w:pPr>
      <w:rPr>
        <w:b w:val="0"/>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51284"/>
    <w:multiLevelType w:val="multilevel"/>
    <w:tmpl w:val="5E0202D8"/>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C5331"/>
    <w:multiLevelType w:val="multilevel"/>
    <w:tmpl w:val="5E0202D8"/>
    <w:name w:val="TOC"/>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F181E39"/>
    <w:multiLevelType w:val="singleLevel"/>
    <w:tmpl w:val="690C9116"/>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475*"/>
    <w:docVar w:name="CreationDt" w:val="12/28/2015 11:12 AM"/>
    <w:docVar w:name="DocCategory" w:val="Doc"/>
    <w:docVar w:name="DocType" w:val="Final"/>
    <w:docVar w:name="DutyStation" w:val="Geneva"/>
    <w:docVar w:name="FooterJN" w:val="GE.15-20475"/>
    <w:docVar w:name="jobn" w:val="GE.15-20475 (F)"/>
    <w:docVar w:name="jobnDT" w:val="GE.15-20475 (F)   281215"/>
    <w:docVar w:name="jobnDTDT" w:val="GE.15-20475 (F)   281215   281215"/>
    <w:docVar w:name="JobNo" w:val="GE.1520475F"/>
    <w:docVar w:name="JobNo2" w:val="GE.1526553F"/>
    <w:docVar w:name="LocalDrive" w:val="0"/>
    <w:docVar w:name="OandT" w:val="M. Deschamps"/>
    <w:docVar w:name="PaperSize" w:val="A4"/>
    <w:docVar w:name="sss1" w:val="ECE/TRANS/WP.29/GRRF/2016/5"/>
    <w:docVar w:name="sss2" w:val="-"/>
    <w:docVar w:name="Symbol1" w:val="ECE/TRANS/WP.29/GRRF/2016/5"/>
    <w:docVar w:name="Symbol2" w:val="-"/>
  </w:docVars>
  <w:rsids>
    <w:rsidRoot w:val="00D42A9A"/>
    <w:rsid w:val="000015B8"/>
    <w:rsid w:val="000046A5"/>
    <w:rsid w:val="000055E9"/>
    <w:rsid w:val="000055FB"/>
    <w:rsid w:val="00010C97"/>
    <w:rsid w:val="00015C43"/>
    <w:rsid w:val="00016483"/>
    <w:rsid w:val="000179E2"/>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57F5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733"/>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4F3"/>
    <w:rsid w:val="001027E2"/>
    <w:rsid w:val="0010575E"/>
    <w:rsid w:val="00106549"/>
    <w:rsid w:val="00107710"/>
    <w:rsid w:val="00107C97"/>
    <w:rsid w:val="00110242"/>
    <w:rsid w:val="0011255C"/>
    <w:rsid w:val="001126A7"/>
    <w:rsid w:val="00112FE9"/>
    <w:rsid w:val="0011497A"/>
    <w:rsid w:val="00114B31"/>
    <w:rsid w:val="001156F7"/>
    <w:rsid w:val="00116149"/>
    <w:rsid w:val="0011657E"/>
    <w:rsid w:val="00117A14"/>
    <w:rsid w:val="00123812"/>
    <w:rsid w:val="001256F6"/>
    <w:rsid w:val="001262BA"/>
    <w:rsid w:val="00126FB2"/>
    <w:rsid w:val="00127266"/>
    <w:rsid w:val="0013186C"/>
    <w:rsid w:val="00132A45"/>
    <w:rsid w:val="001359FA"/>
    <w:rsid w:val="0013714F"/>
    <w:rsid w:val="00140666"/>
    <w:rsid w:val="001411BC"/>
    <w:rsid w:val="0014233F"/>
    <w:rsid w:val="00143703"/>
    <w:rsid w:val="00144DE1"/>
    <w:rsid w:val="00145A1F"/>
    <w:rsid w:val="001466A3"/>
    <w:rsid w:val="00147051"/>
    <w:rsid w:val="001471CF"/>
    <w:rsid w:val="00151710"/>
    <w:rsid w:val="00151AC8"/>
    <w:rsid w:val="00153C31"/>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389"/>
    <w:rsid w:val="001A2E2D"/>
    <w:rsid w:val="001A44A4"/>
    <w:rsid w:val="001A4BAA"/>
    <w:rsid w:val="001A4F4E"/>
    <w:rsid w:val="001A5D31"/>
    <w:rsid w:val="001A76F3"/>
    <w:rsid w:val="001B481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4AA4"/>
    <w:rsid w:val="002178A7"/>
    <w:rsid w:val="002220FF"/>
    <w:rsid w:val="00224191"/>
    <w:rsid w:val="00232341"/>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5F2B"/>
    <w:rsid w:val="00266AFD"/>
    <w:rsid w:val="00270780"/>
    <w:rsid w:val="002730C7"/>
    <w:rsid w:val="0027435B"/>
    <w:rsid w:val="00276E85"/>
    <w:rsid w:val="00280143"/>
    <w:rsid w:val="00280E2F"/>
    <w:rsid w:val="002810F0"/>
    <w:rsid w:val="00281BC7"/>
    <w:rsid w:val="00282CFD"/>
    <w:rsid w:val="00285DC4"/>
    <w:rsid w:val="00286531"/>
    <w:rsid w:val="002867C7"/>
    <w:rsid w:val="0029018C"/>
    <w:rsid w:val="00291235"/>
    <w:rsid w:val="00293DE4"/>
    <w:rsid w:val="002967DF"/>
    <w:rsid w:val="002A07EF"/>
    <w:rsid w:val="002A2122"/>
    <w:rsid w:val="002A27E5"/>
    <w:rsid w:val="002A530D"/>
    <w:rsid w:val="002A598F"/>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2265"/>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2FFC"/>
    <w:rsid w:val="003542A7"/>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5420"/>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2B7"/>
    <w:rsid w:val="004039C7"/>
    <w:rsid w:val="004065B7"/>
    <w:rsid w:val="004066EB"/>
    <w:rsid w:val="00406E1E"/>
    <w:rsid w:val="00414C9D"/>
    <w:rsid w:val="00415A2B"/>
    <w:rsid w:val="00415C06"/>
    <w:rsid w:val="00416293"/>
    <w:rsid w:val="004204AE"/>
    <w:rsid w:val="004216F7"/>
    <w:rsid w:val="0042753D"/>
    <w:rsid w:val="00427C0A"/>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17C"/>
    <w:rsid w:val="00457BEC"/>
    <w:rsid w:val="00457D04"/>
    <w:rsid w:val="00460112"/>
    <w:rsid w:val="00461788"/>
    <w:rsid w:val="004627F7"/>
    <w:rsid w:val="00462FE3"/>
    <w:rsid w:val="004638A8"/>
    <w:rsid w:val="00464787"/>
    <w:rsid w:val="004668FB"/>
    <w:rsid w:val="004669E9"/>
    <w:rsid w:val="004726A4"/>
    <w:rsid w:val="00472794"/>
    <w:rsid w:val="00475F9F"/>
    <w:rsid w:val="00476698"/>
    <w:rsid w:val="00477592"/>
    <w:rsid w:val="004814BB"/>
    <w:rsid w:val="00481634"/>
    <w:rsid w:val="0048528E"/>
    <w:rsid w:val="00486801"/>
    <w:rsid w:val="00487428"/>
    <w:rsid w:val="00491CD5"/>
    <w:rsid w:val="00492510"/>
    <w:rsid w:val="00492DC3"/>
    <w:rsid w:val="004973EC"/>
    <w:rsid w:val="004A0AA6"/>
    <w:rsid w:val="004A1763"/>
    <w:rsid w:val="004A186E"/>
    <w:rsid w:val="004A2319"/>
    <w:rsid w:val="004A2455"/>
    <w:rsid w:val="004A698E"/>
    <w:rsid w:val="004A7606"/>
    <w:rsid w:val="004B1DBB"/>
    <w:rsid w:val="004B43E6"/>
    <w:rsid w:val="004B56C6"/>
    <w:rsid w:val="004B7E99"/>
    <w:rsid w:val="004C1A6A"/>
    <w:rsid w:val="004C304C"/>
    <w:rsid w:val="004C38FF"/>
    <w:rsid w:val="004C5C41"/>
    <w:rsid w:val="004D13C8"/>
    <w:rsid w:val="004D4F44"/>
    <w:rsid w:val="004D5D20"/>
    <w:rsid w:val="004D6212"/>
    <w:rsid w:val="004D75EF"/>
    <w:rsid w:val="004D789D"/>
    <w:rsid w:val="004E0FB8"/>
    <w:rsid w:val="004E272F"/>
    <w:rsid w:val="004E2B64"/>
    <w:rsid w:val="004E4258"/>
    <w:rsid w:val="004E47A4"/>
    <w:rsid w:val="004F1F9F"/>
    <w:rsid w:val="004F2765"/>
    <w:rsid w:val="004F5238"/>
    <w:rsid w:val="004F53F0"/>
    <w:rsid w:val="004F5C26"/>
    <w:rsid w:val="004F69D3"/>
    <w:rsid w:val="004F6B7C"/>
    <w:rsid w:val="00500CBD"/>
    <w:rsid w:val="005011BF"/>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43F1B"/>
    <w:rsid w:val="00551176"/>
    <w:rsid w:val="00551EAE"/>
    <w:rsid w:val="00552150"/>
    <w:rsid w:val="005522D6"/>
    <w:rsid w:val="005536AE"/>
    <w:rsid w:val="00554B37"/>
    <w:rsid w:val="0055536F"/>
    <w:rsid w:val="005628B7"/>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D0"/>
    <w:rsid w:val="00594AE2"/>
    <w:rsid w:val="005958B3"/>
    <w:rsid w:val="00596647"/>
    <w:rsid w:val="00596B8E"/>
    <w:rsid w:val="00597A85"/>
    <w:rsid w:val="005A037D"/>
    <w:rsid w:val="005A0DEC"/>
    <w:rsid w:val="005A1E12"/>
    <w:rsid w:val="005A305D"/>
    <w:rsid w:val="005A6A6E"/>
    <w:rsid w:val="005A6D92"/>
    <w:rsid w:val="005A6DD6"/>
    <w:rsid w:val="005A7976"/>
    <w:rsid w:val="005B33A4"/>
    <w:rsid w:val="005B3C4C"/>
    <w:rsid w:val="005B476B"/>
    <w:rsid w:val="005B5D99"/>
    <w:rsid w:val="005B74B8"/>
    <w:rsid w:val="005C1353"/>
    <w:rsid w:val="005C1587"/>
    <w:rsid w:val="005C3A63"/>
    <w:rsid w:val="005C65C2"/>
    <w:rsid w:val="005C765D"/>
    <w:rsid w:val="005C7B4D"/>
    <w:rsid w:val="005D7CA9"/>
    <w:rsid w:val="005E0F5F"/>
    <w:rsid w:val="005E3059"/>
    <w:rsid w:val="005E65FE"/>
    <w:rsid w:val="005F12E0"/>
    <w:rsid w:val="005F2726"/>
    <w:rsid w:val="005F2A30"/>
    <w:rsid w:val="005F2FA6"/>
    <w:rsid w:val="005F34E5"/>
    <w:rsid w:val="005F35C5"/>
    <w:rsid w:val="005F3CD5"/>
    <w:rsid w:val="005F43E1"/>
    <w:rsid w:val="005F47D4"/>
    <w:rsid w:val="005F6A9F"/>
    <w:rsid w:val="005F6E3F"/>
    <w:rsid w:val="005F7596"/>
    <w:rsid w:val="0060033E"/>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1E37"/>
    <w:rsid w:val="00683C7E"/>
    <w:rsid w:val="006853D8"/>
    <w:rsid w:val="006866E8"/>
    <w:rsid w:val="00687FB1"/>
    <w:rsid w:val="0069608C"/>
    <w:rsid w:val="00697952"/>
    <w:rsid w:val="006A04E6"/>
    <w:rsid w:val="006A0B3D"/>
    <w:rsid w:val="006A2F71"/>
    <w:rsid w:val="006A5910"/>
    <w:rsid w:val="006B1ABC"/>
    <w:rsid w:val="006B27F5"/>
    <w:rsid w:val="006B2934"/>
    <w:rsid w:val="006B2A92"/>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4FAE"/>
    <w:rsid w:val="006E5649"/>
    <w:rsid w:val="006F41DD"/>
    <w:rsid w:val="006F5A33"/>
    <w:rsid w:val="006F6787"/>
    <w:rsid w:val="006F6EDD"/>
    <w:rsid w:val="006F79A5"/>
    <w:rsid w:val="00701932"/>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176"/>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32F9"/>
    <w:rsid w:val="007C3D62"/>
    <w:rsid w:val="007C4A36"/>
    <w:rsid w:val="007C662A"/>
    <w:rsid w:val="007C7D7F"/>
    <w:rsid w:val="007D33BA"/>
    <w:rsid w:val="007D385A"/>
    <w:rsid w:val="007D6FCB"/>
    <w:rsid w:val="007D7FD4"/>
    <w:rsid w:val="007E2FEB"/>
    <w:rsid w:val="007E3CF9"/>
    <w:rsid w:val="007E74E9"/>
    <w:rsid w:val="007F0ED6"/>
    <w:rsid w:val="007F1AB9"/>
    <w:rsid w:val="007F38F1"/>
    <w:rsid w:val="007F3DCC"/>
    <w:rsid w:val="007F49BD"/>
    <w:rsid w:val="007F6F95"/>
    <w:rsid w:val="007F77CB"/>
    <w:rsid w:val="00800903"/>
    <w:rsid w:val="008040BA"/>
    <w:rsid w:val="00804131"/>
    <w:rsid w:val="00804565"/>
    <w:rsid w:val="00806A3B"/>
    <w:rsid w:val="00807CA4"/>
    <w:rsid w:val="008100FD"/>
    <w:rsid w:val="00811268"/>
    <w:rsid w:val="008114C3"/>
    <w:rsid w:val="00814C2A"/>
    <w:rsid w:val="00816ECE"/>
    <w:rsid w:val="008173CF"/>
    <w:rsid w:val="00817884"/>
    <w:rsid w:val="0082537E"/>
    <w:rsid w:val="00825C31"/>
    <w:rsid w:val="00830B28"/>
    <w:rsid w:val="00831BD0"/>
    <w:rsid w:val="00833A79"/>
    <w:rsid w:val="00833BFF"/>
    <w:rsid w:val="0083677A"/>
    <w:rsid w:val="00837284"/>
    <w:rsid w:val="0083731D"/>
    <w:rsid w:val="00837549"/>
    <w:rsid w:val="008415FE"/>
    <w:rsid w:val="00842319"/>
    <w:rsid w:val="008435C2"/>
    <w:rsid w:val="00844B5C"/>
    <w:rsid w:val="00845C9F"/>
    <w:rsid w:val="00846431"/>
    <w:rsid w:val="008505F6"/>
    <w:rsid w:val="00850A6F"/>
    <w:rsid w:val="00851353"/>
    <w:rsid w:val="008555BA"/>
    <w:rsid w:val="00856155"/>
    <w:rsid w:val="00856CD0"/>
    <w:rsid w:val="008579A6"/>
    <w:rsid w:val="00860226"/>
    <w:rsid w:val="00861D7A"/>
    <w:rsid w:val="00862E29"/>
    <w:rsid w:val="00863E44"/>
    <w:rsid w:val="0086499F"/>
    <w:rsid w:val="00865A5F"/>
    <w:rsid w:val="008677DD"/>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821"/>
    <w:rsid w:val="008F3DAE"/>
    <w:rsid w:val="008F4411"/>
    <w:rsid w:val="008F6630"/>
    <w:rsid w:val="008F7622"/>
    <w:rsid w:val="0090294A"/>
    <w:rsid w:val="0090311E"/>
    <w:rsid w:val="0090438E"/>
    <w:rsid w:val="00906110"/>
    <w:rsid w:val="0090651F"/>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0ABF"/>
    <w:rsid w:val="00962CAC"/>
    <w:rsid w:val="00964BDE"/>
    <w:rsid w:val="00967192"/>
    <w:rsid w:val="009676D3"/>
    <w:rsid w:val="00970A5C"/>
    <w:rsid w:val="00971E24"/>
    <w:rsid w:val="0098128C"/>
    <w:rsid w:val="009813FE"/>
    <w:rsid w:val="00983DD0"/>
    <w:rsid w:val="0098506E"/>
    <w:rsid w:val="0098670F"/>
    <w:rsid w:val="00986E56"/>
    <w:rsid w:val="0098725F"/>
    <w:rsid w:val="00990A89"/>
    <w:rsid w:val="00990AFB"/>
    <w:rsid w:val="00991387"/>
    <w:rsid w:val="00992A5D"/>
    <w:rsid w:val="00993B88"/>
    <w:rsid w:val="00993D02"/>
    <w:rsid w:val="009943AB"/>
    <w:rsid w:val="00994740"/>
    <w:rsid w:val="00995515"/>
    <w:rsid w:val="00995F7E"/>
    <w:rsid w:val="009966F8"/>
    <w:rsid w:val="009A10C4"/>
    <w:rsid w:val="009A142A"/>
    <w:rsid w:val="009A17F4"/>
    <w:rsid w:val="009A193C"/>
    <w:rsid w:val="009A325B"/>
    <w:rsid w:val="009A349E"/>
    <w:rsid w:val="009A3FE3"/>
    <w:rsid w:val="009A4787"/>
    <w:rsid w:val="009A7DEC"/>
    <w:rsid w:val="009B0AF7"/>
    <w:rsid w:val="009B0BFB"/>
    <w:rsid w:val="009B4398"/>
    <w:rsid w:val="009B4A28"/>
    <w:rsid w:val="009B4EEC"/>
    <w:rsid w:val="009C1815"/>
    <w:rsid w:val="009C5249"/>
    <w:rsid w:val="009C70D0"/>
    <w:rsid w:val="009C7F1B"/>
    <w:rsid w:val="009D5A2E"/>
    <w:rsid w:val="009D702B"/>
    <w:rsid w:val="009E0573"/>
    <w:rsid w:val="009E06DE"/>
    <w:rsid w:val="009E09FA"/>
    <w:rsid w:val="009E246F"/>
    <w:rsid w:val="009E4194"/>
    <w:rsid w:val="009E6EF5"/>
    <w:rsid w:val="009E76A1"/>
    <w:rsid w:val="009F004A"/>
    <w:rsid w:val="009F1A17"/>
    <w:rsid w:val="009F235E"/>
    <w:rsid w:val="009F29EB"/>
    <w:rsid w:val="009F2D3B"/>
    <w:rsid w:val="009F3C78"/>
    <w:rsid w:val="009F5ACE"/>
    <w:rsid w:val="009F7FE9"/>
    <w:rsid w:val="00A00A92"/>
    <w:rsid w:val="00A02426"/>
    <w:rsid w:val="00A02FE7"/>
    <w:rsid w:val="00A0589C"/>
    <w:rsid w:val="00A06CAB"/>
    <w:rsid w:val="00A12A69"/>
    <w:rsid w:val="00A12DBB"/>
    <w:rsid w:val="00A150A7"/>
    <w:rsid w:val="00A151B8"/>
    <w:rsid w:val="00A153E3"/>
    <w:rsid w:val="00A157E7"/>
    <w:rsid w:val="00A210DD"/>
    <w:rsid w:val="00A21443"/>
    <w:rsid w:val="00A22ED0"/>
    <w:rsid w:val="00A23006"/>
    <w:rsid w:val="00A24099"/>
    <w:rsid w:val="00A264B0"/>
    <w:rsid w:val="00A26D5D"/>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0ECC"/>
    <w:rsid w:val="00AC625F"/>
    <w:rsid w:val="00AC67C3"/>
    <w:rsid w:val="00AC6CA3"/>
    <w:rsid w:val="00AC6DB5"/>
    <w:rsid w:val="00AD3D04"/>
    <w:rsid w:val="00AD500D"/>
    <w:rsid w:val="00AD7C27"/>
    <w:rsid w:val="00AE0DF0"/>
    <w:rsid w:val="00AE10E9"/>
    <w:rsid w:val="00AE11C7"/>
    <w:rsid w:val="00AE145B"/>
    <w:rsid w:val="00AE164F"/>
    <w:rsid w:val="00AE2D40"/>
    <w:rsid w:val="00AE4A38"/>
    <w:rsid w:val="00AE4B9E"/>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54F0"/>
    <w:rsid w:val="00B362BE"/>
    <w:rsid w:val="00B363A2"/>
    <w:rsid w:val="00B37213"/>
    <w:rsid w:val="00B41711"/>
    <w:rsid w:val="00B44EB6"/>
    <w:rsid w:val="00B503F3"/>
    <w:rsid w:val="00B504C9"/>
    <w:rsid w:val="00B5239C"/>
    <w:rsid w:val="00B52A47"/>
    <w:rsid w:val="00B53FB4"/>
    <w:rsid w:val="00B541C6"/>
    <w:rsid w:val="00B5474D"/>
    <w:rsid w:val="00B556DD"/>
    <w:rsid w:val="00B5798F"/>
    <w:rsid w:val="00B57EB0"/>
    <w:rsid w:val="00B61107"/>
    <w:rsid w:val="00B6191E"/>
    <w:rsid w:val="00B61CB4"/>
    <w:rsid w:val="00B65A12"/>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C0A"/>
    <w:rsid w:val="00B932C8"/>
    <w:rsid w:val="00B93B31"/>
    <w:rsid w:val="00B9457F"/>
    <w:rsid w:val="00B94FAA"/>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7C9"/>
    <w:rsid w:val="00BE7E1A"/>
    <w:rsid w:val="00BF041C"/>
    <w:rsid w:val="00BF055A"/>
    <w:rsid w:val="00BF0B13"/>
    <w:rsid w:val="00BF4E69"/>
    <w:rsid w:val="00BF651C"/>
    <w:rsid w:val="00BF734B"/>
    <w:rsid w:val="00BF7BD3"/>
    <w:rsid w:val="00C01B04"/>
    <w:rsid w:val="00C01B3A"/>
    <w:rsid w:val="00C03721"/>
    <w:rsid w:val="00C05291"/>
    <w:rsid w:val="00C06025"/>
    <w:rsid w:val="00C06596"/>
    <w:rsid w:val="00C067A3"/>
    <w:rsid w:val="00C115C1"/>
    <w:rsid w:val="00C118DD"/>
    <w:rsid w:val="00C13C81"/>
    <w:rsid w:val="00C14A5C"/>
    <w:rsid w:val="00C14B0A"/>
    <w:rsid w:val="00C23EFE"/>
    <w:rsid w:val="00C24E79"/>
    <w:rsid w:val="00C26CD3"/>
    <w:rsid w:val="00C3047B"/>
    <w:rsid w:val="00C30749"/>
    <w:rsid w:val="00C3163F"/>
    <w:rsid w:val="00C32D6E"/>
    <w:rsid w:val="00C32F8E"/>
    <w:rsid w:val="00C35E4D"/>
    <w:rsid w:val="00C425AA"/>
    <w:rsid w:val="00C436F7"/>
    <w:rsid w:val="00C45692"/>
    <w:rsid w:val="00C46175"/>
    <w:rsid w:val="00C472E3"/>
    <w:rsid w:val="00C47E57"/>
    <w:rsid w:val="00C55B02"/>
    <w:rsid w:val="00C56142"/>
    <w:rsid w:val="00C56B3A"/>
    <w:rsid w:val="00C56EFE"/>
    <w:rsid w:val="00C571B4"/>
    <w:rsid w:val="00C57F00"/>
    <w:rsid w:val="00C60C0B"/>
    <w:rsid w:val="00C60C68"/>
    <w:rsid w:val="00C66382"/>
    <w:rsid w:val="00C67F09"/>
    <w:rsid w:val="00C72788"/>
    <w:rsid w:val="00C75F9C"/>
    <w:rsid w:val="00C76474"/>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228"/>
    <w:rsid w:val="00CB2393"/>
    <w:rsid w:val="00CB5956"/>
    <w:rsid w:val="00CB60A9"/>
    <w:rsid w:val="00CC3EAA"/>
    <w:rsid w:val="00CD4A8B"/>
    <w:rsid w:val="00CE1548"/>
    <w:rsid w:val="00CE3799"/>
    <w:rsid w:val="00CE4AA9"/>
    <w:rsid w:val="00CE5477"/>
    <w:rsid w:val="00CE7ADD"/>
    <w:rsid w:val="00CF4304"/>
    <w:rsid w:val="00CF5E7B"/>
    <w:rsid w:val="00CF7A75"/>
    <w:rsid w:val="00D00362"/>
    <w:rsid w:val="00D01153"/>
    <w:rsid w:val="00D02293"/>
    <w:rsid w:val="00D026B6"/>
    <w:rsid w:val="00D03953"/>
    <w:rsid w:val="00D03F61"/>
    <w:rsid w:val="00D047D6"/>
    <w:rsid w:val="00D047EE"/>
    <w:rsid w:val="00D058A4"/>
    <w:rsid w:val="00D11FE5"/>
    <w:rsid w:val="00D12150"/>
    <w:rsid w:val="00D12353"/>
    <w:rsid w:val="00D12CFB"/>
    <w:rsid w:val="00D1326C"/>
    <w:rsid w:val="00D1431B"/>
    <w:rsid w:val="00D14690"/>
    <w:rsid w:val="00D15BBA"/>
    <w:rsid w:val="00D16823"/>
    <w:rsid w:val="00D16F48"/>
    <w:rsid w:val="00D17215"/>
    <w:rsid w:val="00D21C94"/>
    <w:rsid w:val="00D250AB"/>
    <w:rsid w:val="00D265B2"/>
    <w:rsid w:val="00D26BA6"/>
    <w:rsid w:val="00D27D4B"/>
    <w:rsid w:val="00D301BE"/>
    <w:rsid w:val="00D320C3"/>
    <w:rsid w:val="00D3284E"/>
    <w:rsid w:val="00D32ACD"/>
    <w:rsid w:val="00D33B40"/>
    <w:rsid w:val="00D35146"/>
    <w:rsid w:val="00D3596F"/>
    <w:rsid w:val="00D40AA1"/>
    <w:rsid w:val="00D42A9A"/>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550B"/>
    <w:rsid w:val="00DB02EF"/>
    <w:rsid w:val="00DB0A56"/>
    <w:rsid w:val="00DB1007"/>
    <w:rsid w:val="00DB1699"/>
    <w:rsid w:val="00DB3DC8"/>
    <w:rsid w:val="00DB5115"/>
    <w:rsid w:val="00DB5177"/>
    <w:rsid w:val="00DB5C75"/>
    <w:rsid w:val="00DB66E6"/>
    <w:rsid w:val="00DC23FE"/>
    <w:rsid w:val="00DC338D"/>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683D"/>
    <w:rsid w:val="00E2084E"/>
    <w:rsid w:val="00E22DB7"/>
    <w:rsid w:val="00E23C1B"/>
    <w:rsid w:val="00E24D2B"/>
    <w:rsid w:val="00E25DDC"/>
    <w:rsid w:val="00E262EE"/>
    <w:rsid w:val="00E27F1B"/>
    <w:rsid w:val="00E345BF"/>
    <w:rsid w:val="00E34D59"/>
    <w:rsid w:val="00E35C78"/>
    <w:rsid w:val="00E405EA"/>
    <w:rsid w:val="00E40877"/>
    <w:rsid w:val="00E41EB3"/>
    <w:rsid w:val="00E474F9"/>
    <w:rsid w:val="00E51F8B"/>
    <w:rsid w:val="00E51FCF"/>
    <w:rsid w:val="00E529D4"/>
    <w:rsid w:val="00E53839"/>
    <w:rsid w:val="00E53C18"/>
    <w:rsid w:val="00E53F41"/>
    <w:rsid w:val="00E54488"/>
    <w:rsid w:val="00E5638A"/>
    <w:rsid w:val="00E56D2F"/>
    <w:rsid w:val="00E608A9"/>
    <w:rsid w:val="00E635B9"/>
    <w:rsid w:val="00E6363C"/>
    <w:rsid w:val="00E66700"/>
    <w:rsid w:val="00E66AD7"/>
    <w:rsid w:val="00E67B0A"/>
    <w:rsid w:val="00E71BAD"/>
    <w:rsid w:val="00E733FF"/>
    <w:rsid w:val="00E73477"/>
    <w:rsid w:val="00E739F9"/>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295"/>
    <w:rsid w:val="00EB0BAE"/>
    <w:rsid w:val="00EB0F20"/>
    <w:rsid w:val="00EB1632"/>
    <w:rsid w:val="00EB377B"/>
    <w:rsid w:val="00EB4086"/>
    <w:rsid w:val="00EB4EB6"/>
    <w:rsid w:val="00EB535D"/>
    <w:rsid w:val="00EB550E"/>
    <w:rsid w:val="00EB5CD2"/>
    <w:rsid w:val="00EC34E0"/>
    <w:rsid w:val="00EC5385"/>
    <w:rsid w:val="00EC5430"/>
    <w:rsid w:val="00EC60B6"/>
    <w:rsid w:val="00EC6373"/>
    <w:rsid w:val="00EC7853"/>
    <w:rsid w:val="00ED047D"/>
    <w:rsid w:val="00ED0A59"/>
    <w:rsid w:val="00ED140C"/>
    <w:rsid w:val="00ED297E"/>
    <w:rsid w:val="00ED3A4D"/>
    <w:rsid w:val="00ED4626"/>
    <w:rsid w:val="00ED5B3C"/>
    <w:rsid w:val="00ED732D"/>
    <w:rsid w:val="00ED7BC4"/>
    <w:rsid w:val="00EE104D"/>
    <w:rsid w:val="00EE5F6D"/>
    <w:rsid w:val="00EE7154"/>
    <w:rsid w:val="00EE7A13"/>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2DF0"/>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6B8"/>
    <w:rsid w:val="00FB3AA4"/>
    <w:rsid w:val="00FB3C35"/>
    <w:rsid w:val="00FB4627"/>
    <w:rsid w:val="00FB4B00"/>
    <w:rsid w:val="00FC0F57"/>
    <w:rsid w:val="00FC1BC9"/>
    <w:rsid w:val="00FC4133"/>
    <w:rsid w:val="00FC41DA"/>
    <w:rsid w:val="00FC5C65"/>
    <w:rsid w:val="00FC75B8"/>
    <w:rsid w:val="00FC75D3"/>
    <w:rsid w:val="00FD318F"/>
    <w:rsid w:val="00FD54BE"/>
    <w:rsid w:val="00FD7CD4"/>
    <w:rsid w:val="00FD7DD5"/>
    <w:rsid w:val="00FE0668"/>
    <w:rsid w:val="00FE1D8A"/>
    <w:rsid w:val="00FE2498"/>
    <w:rsid w:val="00FE3548"/>
    <w:rsid w:val="00FE3F2D"/>
    <w:rsid w:val="00FE6556"/>
    <w:rsid w:val="00FE6E22"/>
    <w:rsid w:val="00FE7F85"/>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94AD0"/>
    <w:rPr>
      <w:sz w:val="16"/>
      <w:szCs w:val="16"/>
    </w:rPr>
  </w:style>
  <w:style w:type="paragraph" w:styleId="CommentText">
    <w:name w:val="annotation text"/>
    <w:basedOn w:val="Normal"/>
    <w:link w:val="CommentTextChar"/>
    <w:uiPriority w:val="99"/>
    <w:semiHidden/>
    <w:unhideWhenUsed/>
    <w:rsid w:val="00594AD0"/>
    <w:pPr>
      <w:spacing w:line="240" w:lineRule="auto"/>
    </w:pPr>
    <w:rPr>
      <w:szCs w:val="20"/>
    </w:rPr>
  </w:style>
  <w:style w:type="character" w:customStyle="1" w:styleId="CommentTextChar">
    <w:name w:val="Comment Text Char"/>
    <w:basedOn w:val="DefaultParagraphFont"/>
    <w:link w:val="CommentText"/>
    <w:uiPriority w:val="99"/>
    <w:semiHidden/>
    <w:rsid w:val="00594AD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94AD0"/>
    <w:rPr>
      <w:b/>
      <w:bCs/>
    </w:rPr>
  </w:style>
  <w:style w:type="character" w:customStyle="1" w:styleId="CommentSubjectChar">
    <w:name w:val="Comment Subject Char"/>
    <w:basedOn w:val="CommentTextChar"/>
    <w:link w:val="CommentSubject"/>
    <w:uiPriority w:val="99"/>
    <w:semiHidden/>
    <w:rsid w:val="00594AD0"/>
    <w:rPr>
      <w:rFonts w:ascii="Times New Roman" w:hAnsi="Times New Roman"/>
      <w:b/>
      <w:bCs/>
      <w:spacing w:val="4"/>
      <w:w w:val="103"/>
      <w:kern w:val="14"/>
      <w:lang w:val="fr-CA"/>
    </w:rPr>
  </w:style>
  <w:style w:type="character" w:styleId="Hyperlink">
    <w:name w:val="Hyperlink"/>
    <w:semiHidden/>
    <w:unhideWhenUsed/>
    <w:rsid w:val="00E608A9"/>
    <w:rPr>
      <w:strike w:val="0"/>
      <w:dstrike w:val="0"/>
      <w:color w:val="auto"/>
      <w:u w:val="none"/>
      <w:effect w:val="none"/>
    </w:rPr>
  </w:style>
  <w:style w:type="table" w:customStyle="1" w:styleId="TableGrid1">
    <w:name w:val="Table Grid1"/>
    <w:basedOn w:val="TableNormal"/>
    <w:rsid w:val="00DC338D"/>
    <w:pPr>
      <w:suppressAutoHyphens/>
      <w:spacing w:line="240" w:lineRule="atLeas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94AD0"/>
    <w:rPr>
      <w:sz w:val="16"/>
      <w:szCs w:val="16"/>
    </w:rPr>
  </w:style>
  <w:style w:type="paragraph" w:styleId="CommentText">
    <w:name w:val="annotation text"/>
    <w:basedOn w:val="Normal"/>
    <w:link w:val="CommentTextChar"/>
    <w:uiPriority w:val="99"/>
    <w:semiHidden/>
    <w:unhideWhenUsed/>
    <w:rsid w:val="00594AD0"/>
    <w:pPr>
      <w:spacing w:line="240" w:lineRule="auto"/>
    </w:pPr>
    <w:rPr>
      <w:szCs w:val="20"/>
    </w:rPr>
  </w:style>
  <w:style w:type="character" w:customStyle="1" w:styleId="CommentTextChar">
    <w:name w:val="Comment Text Char"/>
    <w:basedOn w:val="DefaultParagraphFont"/>
    <w:link w:val="CommentText"/>
    <w:uiPriority w:val="99"/>
    <w:semiHidden/>
    <w:rsid w:val="00594AD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94AD0"/>
    <w:rPr>
      <w:b/>
      <w:bCs/>
    </w:rPr>
  </w:style>
  <w:style w:type="character" w:customStyle="1" w:styleId="CommentSubjectChar">
    <w:name w:val="Comment Subject Char"/>
    <w:basedOn w:val="CommentTextChar"/>
    <w:link w:val="CommentSubject"/>
    <w:uiPriority w:val="99"/>
    <w:semiHidden/>
    <w:rsid w:val="00594AD0"/>
    <w:rPr>
      <w:rFonts w:ascii="Times New Roman" w:hAnsi="Times New Roman"/>
      <w:b/>
      <w:bCs/>
      <w:spacing w:val="4"/>
      <w:w w:val="103"/>
      <w:kern w:val="14"/>
      <w:lang w:val="fr-CA"/>
    </w:rPr>
  </w:style>
  <w:style w:type="character" w:styleId="Hyperlink">
    <w:name w:val="Hyperlink"/>
    <w:semiHidden/>
    <w:unhideWhenUsed/>
    <w:rsid w:val="00E608A9"/>
    <w:rPr>
      <w:strike w:val="0"/>
      <w:dstrike w:val="0"/>
      <w:color w:val="auto"/>
      <w:u w:val="none"/>
      <w:effect w:val="none"/>
    </w:rPr>
  </w:style>
  <w:style w:type="table" w:customStyle="1" w:styleId="TableGrid1">
    <w:name w:val="Table Grid1"/>
    <w:basedOn w:val="TableNormal"/>
    <w:rsid w:val="00DC338D"/>
    <w:pPr>
      <w:suppressAutoHyphens/>
      <w:spacing w:line="240" w:lineRule="atLeas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3075">
      <w:bodyDiv w:val="1"/>
      <w:marLeft w:val="0"/>
      <w:marRight w:val="0"/>
      <w:marTop w:val="0"/>
      <w:marBottom w:val="0"/>
      <w:divBdr>
        <w:top w:val="none" w:sz="0" w:space="0" w:color="auto"/>
        <w:left w:val="none" w:sz="0" w:space="0" w:color="auto"/>
        <w:bottom w:val="none" w:sz="0" w:space="0" w:color="auto"/>
        <w:right w:val="none" w:sz="0" w:space="0" w:color="auto"/>
      </w:divBdr>
    </w:div>
    <w:div w:id="569195295">
      <w:bodyDiv w:val="1"/>
      <w:marLeft w:val="0"/>
      <w:marRight w:val="0"/>
      <w:marTop w:val="0"/>
      <w:marBottom w:val="0"/>
      <w:divBdr>
        <w:top w:val="none" w:sz="0" w:space="0" w:color="auto"/>
        <w:left w:val="none" w:sz="0" w:space="0" w:color="auto"/>
        <w:bottom w:val="none" w:sz="0" w:space="0" w:color="auto"/>
        <w:right w:val="none" w:sz="0" w:space="0" w:color="auto"/>
      </w:divBdr>
    </w:div>
    <w:div w:id="700083443">
      <w:bodyDiv w:val="1"/>
      <w:marLeft w:val="0"/>
      <w:marRight w:val="0"/>
      <w:marTop w:val="0"/>
      <w:marBottom w:val="0"/>
      <w:divBdr>
        <w:top w:val="none" w:sz="0" w:space="0" w:color="auto"/>
        <w:left w:val="none" w:sz="0" w:space="0" w:color="auto"/>
        <w:bottom w:val="none" w:sz="0" w:space="0" w:color="auto"/>
        <w:right w:val="none" w:sz="0" w:space="0" w:color="auto"/>
      </w:divBdr>
    </w:div>
    <w:div w:id="749891269">
      <w:bodyDiv w:val="1"/>
      <w:marLeft w:val="0"/>
      <w:marRight w:val="0"/>
      <w:marTop w:val="0"/>
      <w:marBottom w:val="0"/>
      <w:divBdr>
        <w:top w:val="none" w:sz="0" w:space="0" w:color="auto"/>
        <w:left w:val="none" w:sz="0" w:space="0" w:color="auto"/>
        <w:bottom w:val="none" w:sz="0" w:space="0" w:color="auto"/>
        <w:right w:val="none" w:sz="0" w:space="0" w:color="auto"/>
      </w:divBdr>
    </w:div>
    <w:div w:id="1222057880">
      <w:bodyDiv w:val="1"/>
      <w:marLeft w:val="0"/>
      <w:marRight w:val="0"/>
      <w:marTop w:val="0"/>
      <w:marBottom w:val="0"/>
      <w:divBdr>
        <w:top w:val="none" w:sz="0" w:space="0" w:color="auto"/>
        <w:left w:val="none" w:sz="0" w:space="0" w:color="auto"/>
        <w:bottom w:val="none" w:sz="0" w:space="0" w:color="auto"/>
        <w:right w:val="none" w:sz="0" w:space="0" w:color="auto"/>
      </w:divBdr>
    </w:div>
    <w:div w:id="1734960844">
      <w:bodyDiv w:val="1"/>
      <w:marLeft w:val="0"/>
      <w:marRight w:val="0"/>
      <w:marTop w:val="0"/>
      <w:marBottom w:val="0"/>
      <w:divBdr>
        <w:top w:val="none" w:sz="0" w:space="0" w:color="auto"/>
        <w:left w:val="none" w:sz="0" w:space="0" w:color="auto"/>
        <w:bottom w:val="none" w:sz="0" w:space="0" w:color="auto"/>
        <w:right w:val="none" w:sz="0" w:space="0" w:color="auto"/>
      </w:divBdr>
    </w:div>
    <w:div w:id="1809400799">
      <w:bodyDiv w:val="1"/>
      <w:marLeft w:val="0"/>
      <w:marRight w:val="0"/>
      <w:marTop w:val="0"/>
      <w:marBottom w:val="0"/>
      <w:divBdr>
        <w:top w:val="none" w:sz="0" w:space="0" w:color="auto"/>
        <w:left w:val="none" w:sz="0" w:space="0" w:color="auto"/>
        <w:bottom w:val="none" w:sz="0" w:space="0" w:color="auto"/>
        <w:right w:val="none" w:sz="0" w:space="0" w:color="auto"/>
      </w:divBdr>
    </w:div>
    <w:div w:id="1970164847">
      <w:bodyDiv w:val="1"/>
      <w:marLeft w:val="0"/>
      <w:marRight w:val="0"/>
      <w:marTop w:val="0"/>
      <w:marBottom w:val="0"/>
      <w:divBdr>
        <w:top w:val="none" w:sz="0" w:space="0" w:color="auto"/>
        <w:left w:val="none" w:sz="0" w:space="0" w:color="auto"/>
        <w:bottom w:val="none" w:sz="0" w:space="0" w:color="auto"/>
        <w:right w:val="none" w:sz="0" w:space="0" w:color="auto"/>
      </w:divBdr>
    </w:div>
    <w:div w:id="2040204091">
      <w:bodyDiv w:val="1"/>
      <w:marLeft w:val="0"/>
      <w:marRight w:val="0"/>
      <w:marTop w:val="0"/>
      <w:marBottom w:val="0"/>
      <w:divBdr>
        <w:top w:val="none" w:sz="0" w:space="0" w:color="auto"/>
        <w:left w:val="none" w:sz="0" w:space="0" w:color="auto"/>
        <w:bottom w:val="none" w:sz="0" w:space="0" w:color="auto"/>
        <w:right w:val="none" w:sz="0" w:space="0" w:color="auto"/>
      </w:divBdr>
    </w:div>
    <w:div w:id="20527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A688-ADD6-48CC-BC21-71231928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5146</Words>
  <Characters>29333</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cp:lastPrinted>2015-12-29T11:33:00Z</cp:lastPrinted>
  <dcterms:created xsi:type="dcterms:W3CDTF">2015-12-30T09:16:00Z</dcterms:created>
  <dcterms:modified xsi:type="dcterms:W3CDTF">2015-12-30T09:16:00Z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1520475F</vt:lpwstr>
  </property>
  <property fmtid="{D5CDD505-2E9C-101B-9397-08002B2CF9AE}" pid="3" name="ODSRefJobNo">
    <vt:lpwstr>1526553F</vt:lpwstr>
  </property>
  <property fmtid="{D5CDD505-2E9C-101B-9397-08002B2CF9AE}" pid="4" name="Symbol1">
    <vt:lpwstr>ECE/TRANS/WP.29/GRRF/2016/5</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20 novembre 2015</vt:lpwstr>
  </property>
  <property fmtid="{D5CDD505-2E9C-101B-9397-08002B2CF9AE}" pid="12" name="Original">
    <vt:lpwstr>anglais</vt:lpwstr>
  </property>
  <property fmtid="{D5CDD505-2E9C-101B-9397-08002B2CF9AE}" pid="13" name="Release Date">
    <vt:lpwstr>281215</vt:lpwstr>
  </property>
</Properties>
</file>