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836F00">
            <w:pPr>
              <w:jc w:val="right"/>
            </w:pPr>
            <w:r w:rsidRPr="00FD4196">
              <w:rPr>
                <w:sz w:val="40"/>
              </w:rPr>
              <w:t>ECE</w:t>
            </w:r>
            <w:r w:rsidR="002077C3" w:rsidRPr="00FD4196">
              <w:t>/TRANS/WP.29/GRPE/</w:t>
            </w:r>
            <w:r w:rsidR="00660C48">
              <w:t>2016</w:t>
            </w:r>
            <w:r w:rsidR="00DB2094">
              <w:t>/</w:t>
            </w:r>
            <w:r w:rsidR="008D3588">
              <w:t>11</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1F484D" w:rsidP="00D9503E">
            <w:pPr>
              <w:spacing w:before="120"/>
            </w:pPr>
            <w:r w:rsidRPr="00FD4196">
              <w:rPr>
                <w:noProof/>
                <w:lang w:val="en-US"/>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D45CC9" w:rsidRPr="00DB2094" w:rsidRDefault="00D45CC9" w:rsidP="00D9503E">
            <w:pPr>
              <w:spacing w:before="240" w:line="240" w:lineRule="exact"/>
            </w:pPr>
            <w:r w:rsidRPr="00DB2094">
              <w:t>Distr.: General</w:t>
            </w:r>
          </w:p>
          <w:p w:rsidR="00836F00" w:rsidRPr="00245892" w:rsidRDefault="00836F00" w:rsidP="00836F00">
            <w:fldSimple w:instr=" FILLIN  &quot;Введите дату документа&quot; \* MERGEFORMAT ">
              <w:r w:rsidR="00660C48">
                <w:t>2</w:t>
              </w:r>
              <w:r w:rsidR="00EC143B">
                <w:t>3</w:t>
              </w:r>
              <w:r>
                <w:t xml:space="preserve"> </w:t>
              </w:r>
              <w:r w:rsidR="009A05F7">
                <w:rPr>
                  <w:lang w:val="en-US"/>
                </w:rPr>
                <w:t>March</w:t>
              </w:r>
              <w:r>
                <w:t xml:space="preserve"> 201</w:t>
              </w:r>
            </w:fldSimple>
            <w:r w:rsidR="009A05F7">
              <w:t>6</w:t>
            </w:r>
          </w:p>
          <w:p w:rsidR="0090004D" w:rsidRDefault="0090004D" w:rsidP="00D9503E">
            <w:pPr>
              <w:spacing w:line="240" w:lineRule="exact"/>
            </w:pPr>
          </w:p>
          <w:p w:rsidR="0090004D" w:rsidRPr="00DB2094" w:rsidRDefault="00FA1AC3" w:rsidP="00B47222">
            <w:pPr>
              <w:spacing w:line="240" w:lineRule="exact"/>
            </w:pPr>
            <w:r w:rsidRPr="00DB2094">
              <w:t>Original: English</w:t>
            </w:r>
          </w:p>
        </w:tc>
      </w:tr>
    </w:tbl>
    <w:p w:rsidR="00086456" w:rsidRPr="00FD4196" w:rsidRDefault="00086456" w:rsidP="00086456">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086456" w:rsidRPr="00FD4196" w:rsidRDefault="00086456" w:rsidP="00086456">
      <w:pPr>
        <w:tabs>
          <w:tab w:val="left" w:pos="567"/>
          <w:tab w:val="left" w:pos="1134"/>
        </w:tabs>
        <w:spacing w:before="120"/>
        <w:rPr>
          <w:sz w:val="22"/>
          <w:szCs w:val="22"/>
        </w:rPr>
      </w:pPr>
      <w:r w:rsidRPr="00FD4196">
        <w:rPr>
          <w:sz w:val="28"/>
          <w:szCs w:val="28"/>
        </w:rPr>
        <w:t xml:space="preserve">Inland Transport Committee </w:t>
      </w:r>
    </w:p>
    <w:p w:rsidR="00086456" w:rsidRPr="00FD4196" w:rsidRDefault="00086456" w:rsidP="00086456">
      <w:pPr>
        <w:tabs>
          <w:tab w:val="left" w:pos="567"/>
          <w:tab w:val="left" w:pos="1134"/>
        </w:tabs>
        <w:spacing w:before="120"/>
        <w:rPr>
          <w:sz w:val="22"/>
          <w:szCs w:val="22"/>
        </w:rPr>
      </w:pPr>
      <w:r w:rsidRPr="00FD4196">
        <w:rPr>
          <w:b/>
          <w:bCs/>
          <w:sz w:val="24"/>
          <w:szCs w:val="24"/>
        </w:rPr>
        <w:t xml:space="preserve">World Forum for Harmonization of Vehicle Regulations </w:t>
      </w:r>
    </w:p>
    <w:p w:rsidR="00086456" w:rsidRPr="00E26872" w:rsidRDefault="00086456" w:rsidP="00086456">
      <w:pPr>
        <w:tabs>
          <w:tab w:val="left" w:pos="567"/>
          <w:tab w:val="left" w:pos="1134"/>
        </w:tabs>
        <w:spacing w:before="120" w:after="120"/>
        <w:rPr>
          <w:b/>
          <w:bCs/>
        </w:rPr>
      </w:pPr>
      <w:r w:rsidRPr="00E26872">
        <w:rPr>
          <w:b/>
          <w:bCs/>
        </w:rPr>
        <w:t xml:space="preserve">Working Party on Pollution and Energy </w:t>
      </w:r>
    </w:p>
    <w:p w:rsidR="007B7C35" w:rsidRDefault="007B7C35" w:rsidP="00DB2094">
      <w:pPr>
        <w:rPr>
          <w:b/>
        </w:rPr>
      </w:pPr>
      <w:r>
        <w:rPr>
          <w:b/>
        </w:rPr>
        <w:t>Sevent</w:t>
      </w:r>
      <w:r w:rsidR="00595FE8">
        <w:rPr>
          <w:b/>
        </w:rPr>
        <w:t>y-third</w:t>
      </w:r>
      <w:r>
        <w:rPr>
          <w:b/>
        </w:rPr>
        <w:t xml:space="preserve"> session</w:t>
      </w:r>
    </w:p>
    <w:p w:rsidR="007B7C35" w:rsidRDefault="007B7C35" w:rsidP="00DB2094">
      <w:r>
        <w:t xml:space="preserve">Geneva, </w:t>
      </w:r>
      <w:r w:rsidR="00706EAC">
        <w:t>7-10</w:t>
      </w:r>
      <w:r w:rsidRPr="007B7C35">
        <w:t xml:space="preserve"> </w:t>
      </w:r>
      <w:r w:rsidR="00706EAC">
        <w:t>June</w:t>
      </w:r>
      <w:r w:rsidR="00660C48">
        <w:t xml:space="preserve"> 2016</w:t>
      </w:r>
    </w:p>
    <w:p w:rsidR="006B45CF" w:rsidRDefault="006B45CF" w:rsidP="006B45CF">
      <w:pPr>
        <w:tabs>
          <w:tab w:val="left" w:pos="567"/>
          <w:tab w:val="left" w:pos="1134"/>
        </w:tabs>
        <w:rPr>
          <w:bCs/>
        </w:rPr>
      </w:pPr>
      <w:r>
        <w:rPr>
          <w:bCs/>
        </w:rPr>
        <w:t>Item 3(a) of the provisional agenda</w:t>
      </w:r>
    </w:p>
    <w:p w:rsidR="00303AF8" w:rsidRDefault="00303AF8" w:rsidP="00303AF8">
      <w:pPr>
        <w:rPr>
          <w:b/>
        </w:rPr>
      </w:pPr>
      <w:r>
        <w:rPr>
          <w:b/>
        </w:rPr>
        <w:t>Light vehicles – Regulations Nos. 68 (Measurement of</w:t>
      </w:r>
    </w:p>
    <w:p w:rsidR="00303AF8" w:rsidRDefault="00303AF8" w:rsidP="00303AF8">
      <w:pPr>
        <w:rPr>
          <w:b/>
        </w:rPr>
      </w:pPr>
      <w:r>
        <w:rPr>
          <w:b/>
        </w:rPr>
        <w:t>the maximum speed, including electric vehicles), 83</w:t>
      </w:r>
    </w:p>
    <w:p w:rsidR="00303AF8" w:rsidRDefault="00303AF8" w:rsidP="00303AF8">
      <w:pPr>
        <w:rPr>
          <w:b/>
        </w:rPr>
      </w:pPr>
      <w:r>
        <w:rPr>
          <w:b/>
        </w:rPr>
        <w:t>(Emissions of 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w:t>
      </w:r>
    </w:p>
    <w:p w:rsidR="00303AF8" w:rsidRPr="00944D6C" w:rsidRDefault="00303AF8" w:rsidP="00303AF8">
      <w:pPr>
        <w:tabs>
          <w:tab w:val="left" w:pos="567"/>
          <w:tab w:val="left" w:pos="1134"/>
        </w:tabs>
        <w:rPr>
          <w:b/>
          <w:bCs/>
        </w:rPr>
      </w:pPr>
      <w:r>
        <w:rPr>
          <w:b/>
        </w:rPr>
        <w:t>consumption) and 103 (Replacement pollution control devices)</w:t>
      </w:r>
    </w:p>
    <w:p w:rsidR="00450B28" w:rsidRPr="00FD4196" w:rsidRDefault="00450B28" w:rsidP="00252825">
      <w:pPr>
        <w:pStyle w:val="HChG"/>
      </w:pPr>
      <w:r w:rsidRPr="00FD4196">
        <w:tab/>
      </w:r>
      <w:r w:rsidRPr="00FD4196">
        <w:tab/>
      </w:r>
      <w:r w:rsidR="00303AF8">
        <w:t xml:space="preserve">Proposal for a new Supplement to the </w:t>
      </w:r>
      <w:r w:rsidR="00E43AD4">
        <w:t xml:space="preserve">06 and </w:t>
      </w:r>
      <w:r w:rsidR="00303AF8">
        <w:t>07 series of amendments to Regulation No. 83 (Emissions of M</w:t>
      </w:r>
      <w:r w:rsidR="00303AF8" w:rsidRPr="008337DD">
        <w:rPr>
          <w:vertAlign w:val="subscript"/>
        </w:rPr>
        <w:t>1</w:t>
      </w:r>
      <w:r w:rsidR="00303AF8">
        <w:t xml:space="preserve"> and N</w:t>
      </w:r>
      <w:r w:rsidR="00303AF8" w:rsidRPr="008337DD">
        <w:rPr>
          <w:vertAlign w:val="subscript"/>
        </w:rPr>
        <w:t>1</w:t>
      </w:r>
      <w:r w:rsidR="00303AF8">
        <w:t xml:space="preserve"> vehicles)</w:t>
      </w:r>
    </w:p>
    <w:p w:rsidR="00450B28" w:rsidRPr="007E5C8F" w:rsidRDefault="00C97374" w:rsidP="00450B28">
      <w:pPr>
        <w:pStyle w:val="H1G"/>
        <w:rPr>
          <w:lang w:val="en-GB"/>
        </w:rPr>
      </w:pPr>
      <w:r w:rsidRPr="00FD4196">
        <w:tab/>
      </w:r>
      <w:r w:rsidRPr="00FD4196">
        <w:tab/>
        <w:t xml:space="preserve">Submitted by </w:t>
      </w:r>
      <w:r w:rsidR="00586A6E" w:rsidRPr="00FD4196">
        <w:t xml:space="preserve">the </w:t>
      </w:r>
      <w:r w:rsidR="00DF618D" w:rsidRPr="002C38E8">
        <w:rPr>
          <w:lang w:val="en-GB"/>
        </w:rPr>
        <w:t xml:space="preserve">expert </w:t>
      </w:r>
      <w:r w:rsidR="00DF618D">
        <w:t xml:space="preserve">from </w:t>
      </w:r>
      <w:r w:rsidR="008D3588">
        <w:rPr>
          <w:lang w:val="en-US"/>
        </w:rPr>
        <w:t>the European Commission</w:t>
      </w:r>
      <w:r w:rsidR="00735EE3" w:rsidRPr="007E5C8F">
        <w:rPr>
          <w:rStyle w:val="H1GChar"/>
          <w:lang w:val="en-GB"/>
        </w:rPr>
        <w:footnoteReference w:customMarkFollows="1" w:id="2"/>
        <w:t>*</w:t>
      </w:r>
    </w:p>
    <w:p w:rsidR="00037858" w:rsidRPr="00FD4196" w:rsidRDefault="00037858" w:rsidP="001A0D98">
      <w:pPr>
        <w:pStyle w:val="SingleTxtG"/>
        <w:ind w:firstLine="567"/>
      </w:pPr>
      <w:r w:rsidRPr="00332C2D">
        <w:t>The text reproduced below w</w:t>
      </w:r>
      <w:r w:rsidR="008D3588">
        <w:t>as prepared by the expert from the European Commission</w:t>
      </w:r>
      <w:r w:rsidRPr="00332C2D">
        <w:t xml:space="preserve"> and is based on informal document</w:t>
      </w:r>
      <w:r w:rsidR="008D3588">
        <w:t>s</w:t>
      </w:r>
      <w:r w:rsidRPr="00332C2D">
        <w:t xml:space="preserve"> </w:t>
      </w:r>
      <w:r w:rsidR="008D3588">
        <w:t>GRPE-72-14 and GRPE-72-15</w:t>
      </w:r>
      <w:r>
        <w:t xml:space="preserve"> (see report EC</w:t>
      </w:r>
      <w:r w:rsidR="00B537F9">
        <w:t>E/TRANS/WP.29/GRPE/72, paras. 20-21</w:t>
      </w:r>
      <w:r>
        <w:t>)</w:t>
      </w:r>
      <w:r w:rsidRPr="00332C2D">
        <w:t xml:space="preserve">. The proposal </w:t>
      </w:r>
      <w:r>
        <w:t xml:space="preserve">is aimed at </w:t>
      </w:r>
      <w:r w:rsidR="00B537F9">
        <w:t>providing clarifications and correcting errors in the 06 and 07 series of amendments to Regulation No. 83</w:t>
      </w:r>
      <w:r w:rsidRPr="00332C2D">
        <w:t xml:space="preserve">. The modifications to the </w:t>
      </w:r>
      <w:r>
        <w:t xml:space="preserve">current </w:t>
      </w:r>
      <w:r w:rsidRPr="00332C2D">
        <w:t xml:space="preserve">text of </w:t>
      </w:r>
      <w:r w:rsidR="00B537F9">
        <w:t>the Regulation</w:t>
      </w:r>
      <w:r>
        <w:t xml:space="preserve"> </w:t>
      </w:r>
      <w:r w:rsidRPr="00332C2D">
        <w:t xml:space="preserve">are marked </w:t>
      </w:r>
      <w:r>
        <w:t>in</w:t>
      </w:r>
      <w:r w:rsidRPr="00332C2D">
        <w:t xml:space="preserve"> bold </w:t>
      </w:r>
      <w:r>
        <w:t>for new or strikethrough for deleted characters</w:t>
      </w:r>
      <w:r w:rsidRPr="00332C2D">
        <w:t>.</w:t>
      </w:r>
    </w:p>
    <w:p w:rsidR="00422AF5" w:rsidRDefault="00EC6158" w:rsidP="006911EA">
      <w:pPr>
        <w:pStyle w:val="HChG"/>
        <w:ind w:hanging="567"/>
      </w:pPr>
      <w:r w:rsidRPr="00FD4196">
        <w:br w:type="page"/>
      </w:r>
      <w:r w:rsidR="00FA06A4" w:rsidRPr="00FD4196">
        <w:lastRenderedPageBreak/>
        <w:t>I.</w:t>
      </w:r>
      <w:r w:rsidR="00F70163" w:rsidRPr="00FD4196">
        <w:tab/>
      </w:r>
      <w:r w:rsidR="00730687" w:rsidRPr="00FD4196">
        <w:tab/>
      </w:r>
      <w:r w:rsidR="00E25B71" w:rsidRPr="006911EA">
        <w:t>Proposal</w:t>
      </w:r>
      <w:r w:rsidR="00CB5D7B" w:rsidRPr="006911EA">
        <w:t>s</w:t>
      </w:r>
    </w:p>
    <w:p w:rsidR="00CB5D7B" w:rsidRDefault="00CB5D7B" w:rsidP="006911EA">
      <w:pPr>
        <w:pStyle w:val="H1G"/>
        <w:rPr>
          <w:lang w:val="en-GB"/>
        </w:rPr>
      </w:pPr>
      <w:r>
        <w:rPr>
          <w:lang w:val="en-GB"/>
        </w:rPr>
        <w:tab/>
        <w:t>A</w:t>
      </w:r>
      <w:r w:rsidRPr="0042358E">
        <w:rPr>
          <w:lang w:val="en-GB"/>
        </w:rPr>
        <w:t>.</w:t>
      </w:r>
      <w:r w:rsidRPr="0042358E">
        <w:rPr>
          <w:lang w:val="en-GB"/>
        </w:rPr>
        <w:tab/>
      </w:r>
      <w:r>
        <w:rPr>
          <w:lang w:val="en-GB"/>
        </w:rPr>
        <w:t xml:space="preserve">A </w:t>
      </w:r>
      <w:r w:rsidRPr="006911EA">
        <w:t>new</w:t>
      </w:r>
      <w:r w:rsidRPr="0042358E">
        <w:rPr>
          <w:lang w:val="en-GB"/>
        </w:rPr>
        <w:t xml:space="preserve"> Supplement </w:t>
      </w:r>
      <w:r>
        <w:rPr>
          <w:lang w:val="en-GB"/>
        </w:rPr>
        <w:t>to the 06 series of amendments</w:t>
      </w:r>
    </w:p>
    <w:p w:rsidR="008D7DDE" w:rsidRPr="00B94C87" w:rsidRDefault="008D7DDE" w:rsidP="008D7DDE">
      <w:pPr>
        <w:pStyle w:val="SingleTxtG"/>
        <w:rPr>
          <w:i/>
        </w:rPr>
      </w:pPr>
      <w:r>
        <w:rPr>
          <w:i/>
        </w:rPr>
        <w:t>Paragraph 7.1.4.1.</w:t>
      </w:r>
      <w:r w:rsidRPr="0083042A">
        <w:rPr>
          <w:i/>
        </w:rPr>
        <w:t xml:space="preserve">, </w:t>
      </w:r>
      <w:r w:rsidRPr="00AC4F20">
        <w:t>amend to read</w:t>
      </w:r>
      <w:r>
        <w:t>:</w:t>
      </w:r>
    </w:p>
    <w:p w:rsidR="008D7DDE" w:rsidRDefault="008D7DDE" w:rsidP="008D7DDE">
      <w:pPr>
        <w:pStyle w:val="SingleTxtG"/>
      </w:pPr>
      <w:r w:rsidRPr="00086FAD">
        <w:rPr>
          <w:lang w:val="en-US"/>
        </w:rPr>
        <w:t>"</w:t>
      </w:r>
      <w:r>
        <w:rPr>
          <w:lang w:val="en-US"/>
        </w:rPr>
        <w:t>7.1.4.1.</w:t>
      </w:r>
      <w:r>
        <w:rPr>
          <w:lang w:val="en-US"/>
        </w:rPr>
        <w:tab/>
      </w:r>
      <w:r>
        <w:t>Identical parameters for extending approval are:</w:t>
      </w:r>
    </w:p>
    <w:p w:rsidR="008D7DDE" w:rsidRPr="00E503D8" w:rsidRDefault="00E503D8" w:rsidP="008D7DDE">
      <w:pPr>
        <w:pStyle w:val="SingleTxtG"/>
        <w:ind w:left="2835" w:hanging="567"/>
        <w:rPr>
          <w:strike/>
        </w:rPr>
      </w:pPr>
      <w:r w:rsidRPr="00E503D8">
        <w:rPr>
          <w:strike/>
        </w:rPr>
        <w:t>(a)</w:t>
      </w:r>
      <w:r w:rsidRPr="00E503D8">
        <w:rPr>
          <w:strike/>
        </w:rPr>
        <w:tab/>
        <w:t>Engine;</w:t>
      </w:r>
    </w:p>
    <w:p w:rsidR="00E503D8" w:rsidRPr="00E503D8" w:rsidRDefault="00E503D8" w:rsidP="008D7DDE">
      <w:pPr>
        <w:pStyle w:val="SingleTxtG"/>
        <w:ind w:left="2835" w:hanging="567"/>
        <w:rPr>
          <w:b/>
        </w:rPr>
      </w:pPr>
      <w:r w:rsidRPr="00E503D8">
        <w:rPr>
          <w:b/>
        </w:rPr>
        <w:t>Engine:</w:t>
      </w:r>
    </w:p>
    <w:p w:rsidR="008D7DDE" w:rsidRDefault="00E503D8" w:rsidP="008D7DDE">
      <w:pPr>
        <w:pStyle w:val="SingleTxtG"/>
        <w:ind w:left="2835" w:hanging="567"/>
      </w:pPr>
      <w:r w:rsidRPr="00E503D8">
        <w:rPr>
          <w:strike/>
        </w:rPr>
        <w:t>(b)</w:t>
      </w:r>
      <w:r w:rsidR="008D7DDE" w:rsidRPr="00E503D8">
        <w:rPr>
          <w:b/>
        </w:rPr>
        <w:t>(a)</w:t>
      </w:r>
      <w:r w:rsidR="008D7DDE">
        <w:tab/>
        <w:t xml:space="preserve">Combustion </w:t>
      </w:r>
      <w:proofErr w:type="gramStart"/>
      <w:r w:rsidR="008D7DDE">
        <w:t>process</w:t>
      </w:r>
      <w:r w:rsidRPr="00E503D8">
        <w:rPr>
          <w:strike/>
        </w:rPr>
        <w:t>;</w:t>
      </w:r>
      <w:r w:rsidR="008D7DDE" w:rsidRPr="00E503D8">
        <w:rPr>
          <w:b/>
        </w:rPr>
        <w:t>.</w:t>
      </w:r>
      <w:proofErr w:type="gramEnd"/>
    </w:p>
    <w:p w:rsidR="008D7DDE" w:rsidRDefault="00E503D8" w:rsidP="008D7DDE">
      <w:pPr>
        <w:pStyle w:val="SingleTxtG"/>
        <w:ind w:left="2835" w:hanging="567"/>
        <w:rPr>
          <w:strike/>
        </w:rPr>
      </w:pPr>
      <w:r w:rsidRPr="00E503D8">
        <w:rPr>
          <w:strike/>
        </w:rPr>
        <w:t>(c)</w:t>
      </w:r>
      <w:r w:rsidRPr="00E503D8">
        <w:rPr>
          <w:strike/>
        </w:rPr>
        <w:tab/>
      </w:r>
      <w:r w:rsidR="008D7DDE" w:rsidRPr="00E503D8">
        <w:rPr>
          <w:strike/>
        </w:rPr>
        <w:t>Periodically regenerating system (i</w:t>
      </w:r>
      <w:r>
        <w:rPr>
          <w:strike/>
        </w:rPr>
        <w:t>.e. catalyst, particulate trap);</w:t>
      </w:r>
    </w:p>
    <w:p w:rsidR="00E503D8" w:rsidRPr="00E503D8" w:rsidRDefault="00E503D8" w:rsidP="008D7DDE">
      <w:pPr>
        <w:pStyle w:val="SingleTxtG"/>
        <w:ind w:left="2835" w:hanging="567"/>
        <w:rPr>
          <w:b/>
        </w:rPr>
      </w:pPr>
      <w:r w:rsidRPr="00E503D8">
        <w:rPr>
          <w:b/>
        </w:rPr>
        <w:t>Periodically regenerating system (i.e. catalyst, particulate trap):</w:t>
      </w:r>
    </w:p>
    <w:p w:rsidR="008D7DDE" w:rsidRDefault="00643EBD" w:rsidP="008D7DDE">
      <w:pPr>
        <w:pStyle w:val="SingleTxtG"/>
        <w:ind w:left="2835" w:hanging="567"/>
      </w:pPr>
      <w:r w:rsidRPr="00643EBD">
        <w:rPr>
          <w:strike/>
        </w:rPr>
        <w:t>(d)</w:t>
      </w:r>
      <w:r w:rsidR="008D7DDE" w:rsidRPr="00643EBD">
        <w:rPr>
          <w:b/>
        </w:rPr>
        <w:t>(a)</w:t>
      </w:r>
      <w:r w:rsidR="008D7DDE">
        <w:tab/>
        <w:t xml:space="preserve">Construction (i.e. type of enclosure, type of precious metal, type of </w:t>
      </w:r>
      <w:r w:rsidR="008D7DDE">
        <w:tab/>
        <w:t>substrate, cell density);</w:t>
      </w:r>
    </w:p>
    <w:p w:rsidR="008D7DDE" w:rsidRDefault="00643EBD" w:rsidP="008D7DDE">
      <w:pPr>
        <w:pStyle w:val="SingleTxtG"/>
        <w:ind w:left="2835" w:hanging="567"/>
      </w:pPr>
      <w:r w:rsidRPr="00643EBD">
        <w:rPr>
          <w:strike/>
        </w:rPr>
        <w:t>(e)</w:t>
      </w:r>
      <w:r w:rsidR="008D7DDE" w:rsidRPr="00643EBD">
        <w:rPr>
          <w:b/>
        </w:rPr>
        <w:t>(b)</w:t>
      </w:r>
      <w:r w:rsidR="008D7DDE">
        <w:tab/>
        <w:t>Type and working principle;</w:t>
      </w:r>
    </w:p>
    <w:p w:rsidR="008D7DDE" w:rsidRDefault="00643EBD" w:rsidP="008D7DDE">
      <w:pPr>
        <w:pStyle w:val="SingleTxtG"/>
        <w:ind w:left="2835" w:hanging="567"/>
      </w:pPr>
      <w:r w:rsidRPr="00643EBD">
        <w:rPr>
          <w:strike/>
        </w:rPr>
        <w:t>(f)</w:t>
      </w:r>
      <w:r w:rsidR="008D7DDE" w:rsidRPr="00643EBD">
        <w:rPr>
          <w:b/>
        </w:rPr>
        <w:t>(c)</w:t>
      </w:r>
      <w:r w:rsidR="008D7DDE">
        <w:tab/>
        <w:t>Dosage and additive system;</w:t>
      </w:r>
    </w:p>
    <w:p w:rsidR="008D7DDE" w:rsidRDefault="00643EBD" w:rsidP="008D7DDE">
      <w:pPr>
        <w:pStyle w:val="SingleTxtG"/>
        <w:ind w:left="2835" w:hanging="567"/>
      </w:pPr>
      <w:r w:rsidRPr="00643EBD">
        <w:rPr>
          <w:strike/>
        </w:rPr>
        <w:t>(g)</w:t>
      </w:r>
      <w:r w:rsidR="008D7DDE" w:rsidRPr="00643EBD">
        <w:rPr>
          <w:b/>
        </w:rPr>
        <w:t>(d)</w:t>
      </w:r>
      <w:r w:rsidR="008D7DDE">
        <w:tab/>
        <w:t>Volume ±10 per cent;</w:t>
      </w:r>
    </w:p>
    <w:p w:rsidR="008D7DDE" w:rsidRDefault="00643EBD" w:rsidP="008D7DDE">
      <w:pPr>
        <w:pStyle w:val="SingleTxtG"/>
        <w:ind w:left="2835" w:hanging="567"/>
        <w:rPr>
          <w:i/>
        </w:rPr>
      </w:pPr>
      <w:r w:rsidRPr="00643EBD">
        <w:rPr>
          <w:strike/>
        </w:rPr>
        <w:t>(h)</w:t>
      </w:r>
      <w:r w:rsidR="008D7DDE" w:rsidRPr="00643EBD">
        <w:rPr>
          <w:b/>
        </w:rPr>
        <w:t>(e)</w:t>
      </w:r>
      <w:r w:rsidR="008D7DDE">
        <w:tab/>
        <w:t>Location (temperature ±50 °C at 120 km/h or 5 per cent difference of maximum temperature/pressure).</w:t>
      </w:r>
      <w:r w:rsidR="008D7DDE" w:rsidRPr="00086FAD">
        <w:rPr>
          <w:lang w:val="en-US"/>
        </w:rPr>
        <w:t>"</w:t>
      </w:r>
    </w:p>
    <w:p w:rsidR="008D7DDE" w:rsidRPr="0083042A" w:rsidRDefault="00673573" w:rsidP="008D7DDE">
      <w:pPr>
        <w:pStyle w:val="SingleTxtG"/>
        <w:rPr>
          <w:i/>
        </w:rPr>
      </w:pPr>
      <w:r>
        <w:rPr>
          <w:i/>
        </w:rPr>
        <w:t>Annex 4a, Appendix 3, p</w:t>
      </w:r>
      <w:r w:rsidR="008D7DDE">
        <w:rPr>
          <w:i/>
        </w:rPr>
        <w:t>aragraph 1.2.12.6.</w:t>
      </w:r>
      <w:r w:rsidR="008D7DDE" w:rsidRPr="0083042A">
        <w:rPr>
          <w:i/>
        </w:rPr>
        <w:t xml:space="preserve">, </w:t>
      </w:r>
      <w:r w:rsidR="008D7DDE" w:rsidRPr="00C24813">
        <w:t xml:space="preserve">amend </w:t>
      </w:r>
      <w:r w:rsidR="008D7DDE" w:rsidRPr="002D62E4">
        <w:t>to read:</w:t>
      </w:r>
    </w:p>
    <w:p w:rsidR="008D7DDE" w:rsidRDefault="008D7DDE" w:rsidP="00627B27">
      <w:pPr>
        <w:pStyle w:val="SingleTxtG"/>
        <w:ind w:left="2268" w:hanging="1134"/>
        <w:rPr>
          <w:lang w:val="en-US"/>
        </w:rPr>
      </w:pPr>
      <w:r w:rsidRPr="00086FAD">
        <w:rPr>
          <w:lang w:val="en-US"/>
        </w:rPr>
        <w:t>"</w:t>
      </w:r>
      <w:r>
        <w:rPr>
          <w:lang w:val="en-US"/>
        </w:rPr>
        <w:t>1.2.12.6.</w:t>
      </w:r>
      <w:r>
        <w:rPr>
          <w:lang w:val="en-US"/>
        </w:rPr>
        <w:tab/>
      </w:r>
      <w:r w:rsidRPr="00A0104B">
        <w:rPr>
          <w:lang w:val="en-US"/>
        </w:rPr>
        <w:t xml:space="preserve">The HFID shall be used with a constant flow (heat exchanger) system to ensure a </w:t>
      </w:r>
      <w:r>
        <w:rPr>
          <w:lang w:val="en-US"/>
        </w:rPr>
        <w:t>r</w:t>
      </w:r>
      <w:r w:rsidRPr="00A0104B">
        <w:rPr>
          <w:lang w:val="en-US"/>
        </w:rPr>
        <w:t xml:space="preserve">epresentative sample, unless compensation for varying </w:t>
      </w:r>
      <w:r w:rsidRPr="00A628AF">
        <w:rPr>
          <w:strike/>
          <w:lang w:val="en-US"/>
        </w:rPr>
        <w:t>CFV or CFO</w:t>
      </w:r>
      <w:r w:rsidRPr="00A0104B">
        <w:rPr>
          <w:lang w:val="en-US"/>
        </w:rPr>
        <w:t xml:space="preserve"> </w:t>
      </w:r>
      <w:r w:rsidRPr="00A628AF">
        <w:rPr>
          <w:b/>
          <w:lang w:val="en-US"/>
        </w:rPr>
        <w:t>CVS volume</w:t>
      </w:r>
      <w:r>
        <w:rPr>
          <w:lang w:val="en-US"/>
        </w:rPr>
        <w:t xml:space="preserve"> </w:t>
      </w:r>
      <w:r w:rsidRPr="00A0104B">
        <w:rPr>
          <w:lang w:val="en-US"/>
        </w:rPr>
        <w:t>flow is made.</w:t>
      </w:r>
      <w:r w:rsidRPr="00086FAD">
        <w:rPr>
          <w:lang w:val="en-US"/>
        </w:rPr>
        <w:t>"</w:t>
      </w:r>
    </w:p>
    <w:p w:rsidR="008D7DDE" w:rsidRPr="0083042A" w:rsidRDefault="008D7DDE" w:rsidP="008D7DDE">
      <w:pPr>
        <w:pStyle w:val="SingleTxtG"/>
        <w:rPr>
          <w:i/>
        </w:rPr>
      </w:pPr>
      <w:r>
        <w:rPr>
          <w:i/>
        </w:rPr>
        <w:t>Annex 7</w:t>
      </w:r>
      <w:r w:rsidRPr="0083042A">
        <w:rPr>
          <w:i/>
        </w:rPr>
        <w:t xml:space="preserve">, </w:t>
      </w:r>
      <w:r w:rsidR="00BD00F1">
        <w:rPr>
          <w:i/>
        </w:rPr>
        <w:t>paragraph 7.5.2.,</w:t>
      </w:r>
      <w:r w:rsidR="006911EA">
        <w:rPr>
          <w:i/>
        </w:rPr>
        <w:t xml:space="preserve"> </w:t>
      </w:r>
      <w:r w:rsidRPr="00C24813">
        <w:t xml:space="preserve">amend </w:t>
      </w:r>
      <w:r w:rsidRPr="002D62E4">
        <w:t>to read:</w:t>
      </w:r>
    </w:p>
    <w:p w:rsidR="008D7DDE" w:rsidRDefault="008D7DDE" w:rsidP="00627B27">
      <w:pPr>
        <w:pStyle w:val="SingleTxtG"/>
        <w:ind w:left="2268" w:hanging="1134"/>
        <w:rPr>
          <w:lang w:val="en-US"/>
        </w:rPr>
      </w:pPr>
      <w:r w:rsidRPr="00086FAD">
        <w:rPr>
          <w:lang w:val="en-US"/>
        </w:rPr>
        <w:t>"</w:t>
      </w:r>
      <w:r w:rsidRPr="006A0A7F">
        <w:rPr>
          <w:lang w:val="en-US"/>
        </w:rPr>
        <w:t>7.5.2.</w:t>
      </w:r>
      <w:r w:rsidRPr="006A0A7F">
        <w:rPr>
          <w:lang w:val="en-US"/>
        </w:rPr>
        <w:tab/>
        <w:t xml:space="preserve">The inspector may test these vehicles by application of </w:t>
      </w:r>
      <w:r w:rsidRPr="006A0A7F">
        <w:rPr>
          <w:strike/>
          <w:lang w:val="en-US"/>
        </w:rPr>
        <w:t>paragraph 8.2.5. of this Regulation</w:t>
      </w:r>
      <w:r>
        <w:rPr>
          <w:lang w:val="en-US"/>
        </w:rPr>
        <w:t xml:space="preserve"> </w:t>
      </w:r>
      <w:r w:rsidRPr="006A0A7F">
        <w:rPr>
          <w:b/>
          <w:lang w:val="en-US"/>
        </w:rPr>
        <w:t>paragraph 7.1. of this annex</w:t>
      </w:r>
      <w:r w:rsidRPr="006A0A7F">
        <w:rPr>
          <w:lang w:val="en-US"/>
        </w:rPr>
        <w:t>.</w:t>
      </w:r>
      <w:r w:rsidRPr="00086FAD">
        <w:rPr>
          <w:lang w:val="en-US"/>
        </w:rPr>
        <w:t>"</w:t>
      </w:r>
    </w:p>
    <w:p w:rsidR="00CD5510" w:rsidRDefault="00CD5510" w:rsidP="008D7DDE">
      <w:pPr>
        <w:pStyle w:val="SingleTxtG"/>
        <w:rPr>
          <w:i/>
        </w:rPr>
      </w:pPr>
      <w:r>
        <w:rPr>
          <w:i/>
        </w:rPr>
        <w:t>Annex 11,</w:t>
      </w:r>
    </w:p>
    <w:p w:rsidR="008D7DDE" w:rsidRPr="0083042A" w:rsidRDefault="00CD5510" w:rsidP="008D7DDE">
      <w:pPr>
        <w:pStyle w:val="SingleTxtG"/>
        <w:rPr>
          <w:i/>
        </w:rPr>
      </w:pPr>
      <w:r>
        <w:rPr>
          <w:i/>
        </w:rPr>
        <w:t>P</w:t>
      </w:r>
      <w:r w:rsidR="008D7DDE">
        <w:rPr>
          <w:i/>
        </w:rPr>
        <w:t>aragraph 3.3.3.1.</w:t>
      </w:r>
      <w:r w:rsidR="008D7DDE" w:rsidRPr="0083042A">
        <w:rPr>
          <w:i/>
        </w:rPr>
        <w:t xml:space="preserve">, </w:t>
      </w:r>
      <w:r w:rsidR="008D7DDE" w:rsidRPr="00C24813">
        <w:t xml:space="preserve">amend </w:t>
      </w:r>
      <w:r w:rsidR="008D7DDE" w:rsidRPr="002D62E4">
        <w:t>to read:</w:t>
      </w:r>
    </w:p>
    <w:p w:rsidR="008D7DDE" w:rsidRDefault="008D7DDE" w:rsidP="00627B27">
      <w:pPr>
        <w:pStyle w:val="SingleTxtG"/>
        <w:ind w:left="2268" w:hanging="1134"/>
        <w:rPr>
          <w:lang w:val="en-US"/>
        </w:rPr>
      </w:pPr>
      <w:r w:rsidRPr="00086FAD">
        <w:rPr>
          <w:lang w:val="en-US"/>
        </w:rPr>
        <w:t>"</w:t>
      </w:r>
      <w:r>
        <w:rPr>
          <w:lang w:val="en-US"/>
        </w:rPr>
        <w:t>3.3.3.1.</w:t>
      </w:r>
      <w:r>
        <w:rPr>
          <w:lang w:val="en-US"/>
        </w:rPr>
        <w:tab/>
      </w:r>
      <w:r w:rsidRPr="00A0104B">
        <w:rPr>
          <w:lang w:val="en-US"/>
        </w:rPr>
        <w:t xml:space="preserve">The reduction in the efficiency of the catalytic converter with respect to emissions of </w:t>
      </w:r>
      <w:r w:rsidRPr="00A0104B">
        <w:rPr>
          <w:strike/>
          <w:lang w:val="en-US"/>
        </w:rPr>
        <w:t>THC</w:t>
      </w:r>
      <w:r w:rsidRPr="00A0104B">
        <w:rPr>
          <w:lang w:val="en-US"/>
        </w:rPr>
        <w:t xml:space="preserve"> </w:t>
      </w:r>
      <w:r w:rsidRPr="00A0104B">
        <w:rPr>
          <w:b/>
          <w:lang w:val="en-US"/>
        </w:rPr>
        <w:t>NMHC</w:t>
      </w:r>
      <w:r>
        <w:rPr>
          <w:lang w:val="en-US"/>
        </w:rPr>
        <w:t xml:space="preserve"> </w:t>
      </w:r>
      <w:r w:rsidRPr="00A0104B">
        <w:rPr>
          <w:lang w:val="en-US"/>
        </w:rPr>
        <w:t>and NO</w:t>
      </w:r>
      <w:r w:rsidRPr="00ED1FBD">
        <w:rPr>
          <w:vertAlign w:val="subscript"/>
          <w:lang w:val="en-US"/>
        </w:rPr>
        <w:t>x</w:t>
      </w:r>
      <w:r w:rsidRPr="00A0104B">
        <w:rPr>
          <w:lang w:val="en-US"/>
        </w:rPr>
        <w:t>. Manufacturers may monitor the front catalyst alone or in combination with the next catalyst(s) downstream. Each monitored catalyst or catalyst combination shall be considered malfunctioning when the emissions exceed the NMHC or NO</w:t>
      </w:r>
      <w:r w:rsidRPr="00ED1FBD">
        <w:rPr>
          <w:vertAlign w:val="subscript"/>
          <w:lang w:val="en-US"/>
        </w:rPr>
        <w:t>x</w:t>
      </w:r>
      <w:r w:rsidRPr="00A0104B">
        <w:rPr>
          <w:lang w:val="en-US"/>
        </w:rPr>
        <w:t xml:space="preserve"> threshold limits provided for by paragraph 3.3.2. of this annex.</w:t>
      </w:r>
      <w:r>
        <w:rPr>
          <w:lang w:val="en-US"/>
        </w:rPr>
        <w:t xml:space="preserve"> By way of derogation the requirement of monitoring the reduction in the efficiency of the catalytic converter with respect to NO</w:t>
      </w:r>
      <w:r w:rsidRPr="00137996">
        <w:rPr>
          <w:vertAlign w:val="subscript"/>
          <w:lang w:val="en-US"/>
        </w:rPr>
        <w:t>x</w:t>
      </w:r>
      <w:r>
        <w:rPr>
          <w:lang w:val="en-US"/>
        </w:rPr>
        <w:t xml:space="preserve"> emissions shall only apply as from the dates set out in paragraph 12.1.4.</w:t>
      </w:r>
      <w:r w:rsidRPr="00086FAD">
        <w:rPr>
          <w:lang w:val="en-US"/>
        </w:rPr>
        <w:t>"</w:t>
      </w:r>
    </w:p>
    <w:p w:rsidR="008D7DDE" w:rsidRPr="00A969EB" w:rsidRDefault="008D7DDE" w:rsidP="00C3084F">
      <w:pPr>
        <w:pStyle w:val="SingleTxtG"/>
        <w:rPr>
          <w:i/>
        </w:rPr>
      </w:pPr>
      <w:r w:rsidRPr="00A969EB">
        <w:rPr>
          <w:i/>
        </w:rPr>
        <w:t xml:space="preserve">Paragraph 3.3.3.4., </w:t>
      </w:r>
      <w:r w:rsidRPr="00A969EB">
        <w:t>amend to read:</w:t>
      </w:r>
    </w:p>
    <w:p w:rsidR="008D7DDE" w:rsidRPr="00A969EB" w:rsidRDefault="008D7DDE" w:rsidP="00C3084F">
      <w:pPr>
        <w:pStyle w:val="SingleTxtG"/>
        <w:ind w:left="2268" w:hanging="1134"/>
        <w:rPr>
          <w:lang w:val="en-US"/>
        </w:rPr>
      </w:pPr>
      <w:r w:rsidRPr="00A969EB">
        <w:rPr>
          <w:lang w:val="en-US"/>
        </w:rPr>
        <w:t>"3.3.3.4.</w:t>
      </w:r>
      <w:r w:rsidRPr="00A969EB">
        <w:rPr>
          <w:lang w:val="en-US"/>
        </w:rPr>
        <w:tab/>
        <w:t xml:space="preserve">If active on the selected fuel, other emission control system components or systems, or emission related power train components or systems which are connected to a computer, the failure of which may result in tailpipe emissions exceeding the </w:t>
      </w:r>
      <w:r w:rsidRPr="00A969EB">
        <w:rPr>
          <w:b/>
          <w:lang w:val="en-US"/>
        </w:rPr>
        <w:t>OBD threshold</w:t>
      </w:r>
      <w:r w:rsidRPr="00A969EB">
        <w:rPr>
          <w:lang w:val="en-US"/>
        </w:rPr>
        <w:t xml:space="preserve"> limits given in </w:t>
      </w:r>
      <w:r>
        <w:rPr>
          <w:lang w:val="en-US"/>
        </w:rPr>
        <w:t xml:space="preserve">paragraph 3.3.2. </w:t>
      </w:r>
      <w:r w:rsidRPr="00054104">
        <w:rPr>
          <w:b/>
          <w:lang w:val="en-US"/>
        </w:rPr>
        <w:t>of this annex</w:t>
      </w:r>
      <w:r>
        <w:rPr>
          <w:lang w:val="en-US"/>
        </w:rPr>
        <w:t>.</w:t>
      </w:r>
      <w:r w:rsidRPr="00A969EB">
        <w:rPr>
          <w:lang w:val="en-US"/>
        </w:rPr>
        <w:t>"</w:t>
      </w:r>
    </w:p>
    <w:p w:rsidR="008D7DDE" w:rsidRPr="00A969EB" w:rsidRDefault="008D7DDE" w:rsidP="00526120">
      <w:pPr>
        <w:pStyle w:val="SingleTxtG"/>
        <w:keepNext/>
        <w:keepLines/>
        <w:rPr>
          <w:i/>
        </w:rPr>
      </w:pPr>
      <w:r w:rsidRPr="00A969EB">
        <w:rPr>
          <w:i/>
        </w:rPr>
        <w:lastRenderedPageBreak/>
        <w:t>Paragraph 3.3.</w:t>
      </w:r>
      <w:r>
        <w:rPr>
          <w:i/>
        </w:rPr>
        <w:t>4.</w:t>
      </w:r>
      <w:r w:rsidRPr="00A969EB">
        <w:rPr>
          <w:i/>
        </w:rPr>
        <w:t xml:space="preserve">4., </w:t>
      </w:r>
      <w:r w:rsidRPr="00D2548F">
        <w:t>amend to read:</w:t>
      </w:r>
    </w:p>
    <w:p w:rsidR="008D7DDE" w:rsidRPr="00A969EB" w:rsidRDefault="008D7DDE" w:rsidP="00526120">
      <w:pPr>
        <w:pStyle w:val="SingleTxtG"/>
        <w:keepNext/>
        <w:keepLines/>
        <w:ind w:left="2268" w:hanging="1134"/>
        <w:rPr>
          <w:lang w:val="en-US"/>
        </w:rPr>
      </w:pPr>
      <w:r w:rsidRPr="00A969EB">
        <w:rPr>
          <w:lang w:val="en-US"/>
        </w:rPr>
        <w:t>"3.3.4.4.</w:t>
      </w:r>
      <w:r w:rsidRPr="00A969EB">
        <w:rPr>
          <w:lang w:val="en-US"/>
        </w:rPr>
        <w:tab/>
        <w:t xml:space="preserve">Other emission control system components or systems, or emission-related power-train components or systems, which are connected to a computer, the failure of which may result in exhaust emissions exceeding the </w:t>
      </w:r>
      <w:r w:rsidRPr="00A969EB">
        <w:rPr>
          <w:b/>
          <w:lang w:val="en-US"/>
        </w:rPr>
        <w:t>OBD threshold</w:t>
      </w:r>
      <w:r w:rsidRPr="00A969EB">
        <w:rPr>
          <w:lang w:val="en-US"/>
        </w:rPr>
        <w:t xml:space="preserve"> limits given in paragraph 3.3.2. </w:t>
      </w:r>
      <w:r w:rsidRPr="00054104">
        <w:rPr>
          <w:b/>
          <w:lang w:val="en-US"/>
        </w:rPr>
        <w:t>of this annex</w:t>
      </w:r>
      <w:r w:rsidRPr="00A969EB">
        <w:rPr>
          <w:lang w:val="en-US"/>
        </w:rPr>
        <w:t>. Examples of such systems or components are those for monitoring and control of air mass-flow, air volumetric flow (and temperature), boost pres</w:t>
      </w:r>
      <w:bookmarkStart w:id="0" w:name="_GoBack"/>
      <w:bookmarkEnd w:id="0"/>
      <w:r w:rsidRPr="00A969EB">
        <w:rPr>
          <w:lang w:val="en-US"/>
        </w:rPr>
        <w:t>sure and inlet manifold pressure (and relevant sensors to enable these functions to be carried out).</w:t>
      </w:r>
      <w:r w:rsidRPr="002909C5">
        <w:rPr>
          <w:lang w:val="en-US"/>
        </w:rPr>
        <w:t>"</w:t>
      </w:r>
    </w:p>
    <w:p w:rsidR="008D7DDE" w:rsidRPr="002909C5" w:rsidRDefault="008D7DDE" w:rsidP="008D7DDE">
      <w:pPr>
        <w:pStyle w:val="SingleTxtG"/>
        <w:rPr>
          <w:i/>
        </w:rPr>
      </w:pPr>
      <w:r w:rsidRPr="002909C5">
        <w:rPr>
          <w:i/>
        </w:rPr>
        <w:t xml:space="preserve">Paragraph 3.3.5., </w:t>
      </w:r>
      <w:r w:rsidRPr="002909C5">
        <w:t>amend to read:</w:t>
      </w:r>
    </w:p>
    <w:p w:rsidR="008D7DDE" w:rsidRPr="0083042A" w:rsidRDefault="008D7DDE" w:rsidP="00992E61">
      <w:pPr>
        <w:pStyle w:val="SingleTxtG"/>
        <w:ind w:left="2268" w:hanging="1134"/>
      </w:pPr>
      <w:r w:rsidRPr="002909C5">
        <w:rPr>
          <w:lang w:val="en-US"/>
        </w:rPr>
        <w:t>"3.3.5.</w:t>
      </w:r>
      <w:r w:rsidRPr="002909C5">
        <w:rPr>
          <w:lang w:val="en-US"/>
        </w:rPr>
        <w:tab/>
        <w:t xml:space="preserve">Manufacturers may demonstrate to the Type Approval Authority that certain components or systems need not be monitored if, in the event of their total failure or removal, emissions do not exceed the </w:t>
      </w:r>
      <w:r w:rsidRPr="002909C5">
        <w:rPr>
          <w:strike/>
          <w:lang w:val="en-US"/>
        </w:rPr>
        <w:t>emission</w:t>
      </w:r>
      <w:r w:rsidRPr="002909C5">
        <w:rPr>
          <w:lang w:val="en-US"/>
        </w:rPr>
        <w:t xml:space="preserve"> </w:t>
      </w:r>
      <w:r w:rsidRPr="002909C5">
        <w:rPr>
          <w:b/>
          <w:lang w:val="en-US"/>
        </w:rPr>
        <w:t>OBD threshold</w:t>
      </w:r>
      <w:r w:rsidRPr="002909C5">
        <w:rPr>
          <w:lang w:val="en-US"/>
        </w:rPr>
        <w:t xml:space="preserve"> limits given in paragraph 3.3.2. </w:t>
      </w:r>
      <w:r w:rsidRPr="00054104">
        <w:rPr>
          <w:b/>
          <w:lang w:val="en-US"/>
        </w:rPr>
        <w:t>of this annex</w:t>
      </w:r>
      <w:r w:rsidRPr="002909C5">
        <w:rPr>
          <w:lang w:val="en-US"/>
        </w:rPr>
        <w:t>."</w:t>
      </w:r>
    </w:p>
    <w:p w:rsidR="00CB5D7B" w:rsidRDefault="00CB5D7B" w:rsidP="006911EA">
      <w:pPr>
        <w:pStyle w:val="H1G"/>
        <w:rPr>
          <w:lang w:val="en-GB"/>
        </w:rPr>
      </w:pPr>
      <w:r>
        <w:rPr>
          <w:lang w:val="en-GB"/>
        </w:rPr>
        <w:tab/>
        <w:t>B</w:t>
      </w:r>
      <w:r w:rsidRPr="0042358E">
        <w:rPr>
          <w:lang w:val="en-GB"/>
        </w:rPr>
        <w:t>.</w:t>
      </w:r>
      <w:r w:rsidRPr="0042358E">
        <w:rPr>
          <w:lang w:val="en-GB"/>
        </w:rPr>
        <w:tab/>
      </w:r>
      <w:r>
        <w:rPr>
          <w:lang w:val="en-GB"/>
        </w:rPr>
        <w:t>A n</w:t>
      </w:r>
      <w:r w:rsidRPr="0042358E">
        <w:rPr>
          <w:lang w:val="en-GB"/>
        </w:rPr>
        <w:t xml:space="preserve">ew Supplement </w:t>
      </w:r>
      <w:r>
        <w:rPr>
          <w:lang w:val="en-GB"/>
        </w:rPr>
        <w:t>to the 07 series of amendments</w:t>
      </w:r>
    </w:p>
    <w:p w:rsidR="00AF3FB9" w:rsidRPr="00B94C87" w:rsidRDefault="00AF3FB9" w:rsidP="00AF3FB9">
      <w:pPr>
        <w:pStyle w:val="SingleTxtG"/>
        <w:rPr>
          <w:i/>
        </w:rPr>
      </w:pPr>
      <w:r>
        <w:rPr>
          <w:i/>
        </w:rPr>
        <w:t>Paragraph 7.1.4.1.</w:t>
      </w:r>
      <w:r w:rsidRPr="0083042A">
        <w:rPr>
          <w:i/>
        </w:rPr>
        <w:t xml:space="preserve">, </w:t>
      </w:r>
      <w:r w:rsidRPr="00AC4F20">
        <w:t>amend to read</w:t>
      </w:r>
      <w:r>
        <w:t>:</w:t>
      </w:r>
    </w:p>
    <w:p w:rsidR="00AF3FB9" w:rsidRDefault="00AF3FB9" w:rsidP="00AF3FB9">
      <w:pPr>
        <w:pStyle w:val="SingleTxtG"/>
      </w:pPr>
      <w:r w:rsidRPr="00086FAD">
        <w:rPr>
          <w:lang w:val="en-US"/>
        </w:rPr>
        <w:t>"</w:t>
      </w:r>
      <w:r>
        <w:rPr>
          <w:lang w:val="en-US"/>
        </w:rPr>
        <w:t>7.1.4.1.</w:t>
      </w:r>
      <w:r>
        <w:rPr>
          <w:lang w:val="en-US"/>
        </w:rPr>
        <w:tab/>
      </w:r>
      <w:r>
        <w:t>Identical parameters for extending approval are:</w:t>
      </w:r>
    </w:p>
    <w:p w:rsidR="00AF3FB9" w:rsidRPr="00E503D8" w:rsidRDefault="00AF3FB9" w:rsidP="00AF3FB9">
      <w:pPr>
        <w:pStyle w:val="SingleTxtG"/>
        <w:ind w:left="2835" w:hanging="567"/>
        <w:rPr>
          <w:strike/>
        </w:rPr>
      </w:pPr>
      <w:r w:rsidRPr="00E503D8">
        <w:rPr>
          <w:strike/>
        </w:rPr>
        <w:t>(a)</w:t>
      </w:r>
      <w:r w:rsidRPr="00E503D8">
        <w:rPr>
          <w:strike/>
        </w:rPr>
        <w:tab/>
        <w:t>Engine;</w:t>
      </w:r>
    </w:p>
    <w:p w:rsidR="00AF3FB9" w:rsidRPr="00E503D8" w:rsidRDefault="00AF3FB9" w:rsidP="00AF3FB9">
      <w:pPr>
        <w:pStyle w:val="SingleTxtG"/>
        <w:ind w:left="2835" w:hanging="567"/>
        <w:rPr>
          <w:b/>
        </w:rPr>
      </w:pPr>
      <w:r w:rsidRPr="00E503D8">
        <w:rPr>
          <w:b/>
        </w:rPr>
        <w:t>Engine:</w:t>
      </w:r>
    </w:p>
    <w:p w:rsidR="00AF3FB9" w:rsidRDefault="00AF3FB9" w:rsidP="00AF3FB9">
      <w:pPr>
        <w:pStyle w:val="SingleTxtG"/>
        <w:ind w:left="2835" w:hanging="567"/>
      </w:pPr>
      <w:r w:rsidRPr="00E503D8">
        <w:rPr>
          <w:strike/>
        </w:rPr>
        <w:t>(b)</w:t>
      </w:r>
      <w:r w:rsidRPr="00E503D8">
        <w:rPr>
          <w:b/>
        </w:rPr>
        <w:t>(a)</w:t>
      </w:r>
      <w:r>
        <w:tab/>
        <w:t xml:space="preserve">Combustion </w:t>
      </w:r>
      <w:proofErr w:type="gramStart"/>
      <w:r>
        <w:t>process</w:t>
      </w:r>
      <w:r w:rsidRPr="00E503D8">
        <w:rPr>
          <w:strike/>
        </w:rPr>
        <w:t>;</w:t>
      </w:r>
      <w:r w:rsidRPr="00E503D8">
        <w:rPr>
          <w:b/>
        </w:rPr>
        <w:t>.</w:t>
      </w:r>
      <w:proofErr w:type="gramEnd"/>
    </w:p>
    <w:p w:rsidR="00AF3FB9" w:rsidRDefault="00AF3FB9" w:rsidP="00AF3FB9">
      <w:pPr>
        <w:pStyle w:val="SingleTxtG"/>
        <w:ind w:left="2835" w:hanging="567"/>
        <w:rPr>
          <w:strike/>
        </w:rPr>
      </w:pPr>
      <w:r w:rsidRPr="00E503D8">
        <w:rPr>
          <w:strike/>
        </w:rPr>
        <w:t>(c)</w:t>
      </w:r>
      <w:r w:rsidRPr="00E503D8">
        <w:rPr>
          <w:strike/>
        </w:rPr>
        <w:tab/>
        <w:t>Periodically regenerating system (i</w:t>
      </w:r>
      <w:r>
        <w:rPr>
          <w:strike/>
        </w:rPr>
        <w:t>.e. catalyst, particulate trap);</w:t>
      </w:r>
    </w:p>
    <w:p w:rsidR="00AF3FB9" w:rsidRPr="00E503D8" w:rsidRDefault="00AF3FB9" w:rsidP="00AF3FB9">
      <w:pPr>
        <w:pStyle w:val="SingleTxtG"/>
        <w:ind w:left="2835" w:hanging="567"/>
        <w:rPr>
          <w:b/>
        </w:rPr>
      </w:pPr>
      <w:r w:rsidRPr="00E503D8">
        <w:rPr>
          <w:b/>
        </w:rPr>
        <w:t>Periodically regenerating system (i.e. catalyst, particulate trap):</w:t>
      </w:r>
    </w:p>
    <w:p w:rsidR="00AF3FB9" w:rsidRDefault="00AF3FB9" w:rsidP="00AF3FB9">
      <w:pPr>
        <w:pStyle w:val="SingleTxtG"/>
        <w:ind w:left="2835" w:hanging="567"/>
      </w:pPr>
      <w:r w:rsidRPr="00643EBD">
        <w:rPr>
          <w:strike/>
        </w:rPr>
        <w:t>(d)</w:t>
      </w:r>
      <w:r w:rsidRPr="00643EBD">
        <w:rPr>
          <w:b/>
        </w:rPr>
        <w:t>(a)</w:t>
      </w:r>
      <w:r>
        <w:tab/>
        <w:t xml:space="preserve">Construction (i.e. type of enclosure, type of precious metal, type of </w:t>
      </w:r>
      <w:r>
        <w:tab/>
        <w:t>substrate, cell density);</w:t>
      </w:r>
    </w:p>
    <w:p w:rsidR="00AF3FB9" w:rsidRDefault="00AF3FB9" w:rsidP="00AF3FB9">
      <w:pPr>
        <w:pStyle w:val="SingleTxtG"/>
        <w:ind w:left="2835" w:hanging="567"/>
      </w:pPr>
      <w:r w:rsidRPr="00643EBD">
        <w:rPr>
          <w:strike/>
        </w:rPr>
        <w:t>(e)</w:t>
      </w:r>
      <w:r w:rsidRPr="00643EBD">
        <w:rPr>
          <w:b/>
        </w:rPr>
        <w:t>(b)</w:t>
      </w:r>
      <w:r>
        <w:tab/>
        <w:t>Type and working principle;</w:t>
      </w:r>
    </w:p>
    <w:p w:rsidR="00AF3FB9" w:rsidRDefault="00AF3FB9" w:rsidP="00AF3FB9">
      <w:pPr>
        <w:pStyle w:val="SingleTxtG"/>
        <w:ind w:left="2835" w:hanging="567"/>
      </w:pPr>
      <w:r w:rsidRPr="00643EBD">
        <w:rPr>
          <w:strike/>
        </w:rPr>
        <w:t>(f)</w:t>
      </w:r>
      <w:r w:rsidRPr="00643EBD">
        <w:rPr>
          <w:b/>
        </w:rPr>
        <w:t>(c)</w:t>
      </w:r>
      <w:r>
        <w:tab/>
        <w:t>Dosage and additive system;</w:t>
      </w:r>
    </w:p>
    <w:p w:rsidR="00AF3FB9" w:rsidRDefault="00AF3FB9" w:rsidP="00AF3FB9">
      <w:pPr>
        <w:pStyle w:val="SingleTxtG"/>
        <w:ind w:left="2835" w:hanging="567"/>
      </w:pPr>
      <w:r w:rsidRPr="00643EBD">
        <w:rPr>
          <w:strike/>
        </w:rPr>
        <w:t>(g)</w:t>
      </w:r>
      <w:r w:rsidRPr="00643EBD">
        <w:rPr>
          <w:b/>
        </w:rPr>
        <w:t>(d)</w:t>
      </w:r>
      <w:r>
        <w:tab/>
        <w:t>Volume ±10 per cent;</w:t>
      </w:r>
    </w:p>
    <w:p w:rsidR="00AF3FB9" w:rsidRDefault="00AF3FB9" w:rsidP="00AF3FB9">
      <w:pPr>
        <w:pStyle w:val="SingleTxtG"/>
        <w:ind w:left="2835" w:hanging="567"/>
        <w:rPr>
          <w:i/>
        </w:rPr>
      </w:pPr>
      <w:r w:rsidRPr="00643EBD">
        <w:rPr>
          <w:strike/>
        </w:rPr>
        <w:t>(h)</w:t>
      </w:r>
      <w:r w:rsidRPr="00643EBD">
        <w:rPr>
          <w:b/>
        </w:rPr>
        <w:t>(e)</w:t>
      </w:r>
      <w:r>
        <w:tab/>
        <w:t>Location (temperature ±50 °C at 120 km/h or 5 per cent difference of maximum temperature/pressure).</w:t>
      </w:r>
      <w:r w:rsidRPr="00086FAD">
        <w:rPr>
          <w:lang w:val="en-US"/>
        </w:rPr>
        <w:t>"</w:t>
      </w:r>
    </w:p>
    <w:p w:rsidR="00714CF5" w:rsidRPr="0083042A" w:rsidRDefault="00714CF5" w:rsidP="00714CF5">
      <w:pPr>
        <w:pStyle w:val="SingleTxtG"/>
        <w:rPr>
          <w:i/>
        </w:rPr>
      </w:pPr>
      <w:r>
        <w:rPr>
          <w:i/>
        </w:rPr>
        <w:t>Annex 2</w:t>
      </w:r>
      <w:r w:rsidR="005A1B61">
        <w:rPr>
          <w:i/>
        </w:rPr>
        <w:t>,</w:t>
      </w:r>
      <w:r>
        <w:rPr>
          <w:i/>
        </w:rPr>
        <w:t xml:space="preserve"> Addendum</w:t>
      </w:r>
      <w:r w:rsidRPr="0083042A">
        <w:rPr>
          <w:i/>
        </w:rPr>
        <w:t xml:space="preserve">, </w:t>
      </w:r>
      <w:r w:rsidR="003E682E">
        <w:rPr>
          <w:i/>
        </w:rPr>
        <w:t>item</w:t>
      </w:r>
      <w:r w:rsidR="00313911">
        <w:rPr>
          <w:i/>
        </w:rPr>
        <w:t xml:space="preserve"> 2.1.1., </w:t>
      </w:r>
      <w:r w:rsidRPr="00C24813">
        <w:t xml:space="preserve">amend </w:t>
      </w:r>
      <w:r w:rsidRPr="002D62E4">
        <w:t>to read:</w:t>
      </w:r>
    </w:p>
    <w:p w:rsidR="00714CF5" w:rsidRDefault="00714CF5" w:rsidP="001A1D30">
      <w:pPr>
        <w:pStyle w:val="SingleTxtG"/>
        <w:ind w:left="2268" w:hanging="1134"/>
        <w:rPr>
          <w:i/>
        </w:rPr>
      </w:pPr>
      <w:r w:rsidRPr="00086FAD">
        <w:rPr>
          <w:lang w:val="en-US"/>
        </w:rPr>
        <w:t>"</w:t>
      </w:r>
      <w:r>
        <w:rPr>
          <w:lang w:val="en-US"/>
        </w:rPr>
        <w:t>2.1.1.</w:t>
      </w:r>
      <w:r>
        <w:rPr>
          <w:lang w:val="en-US"/>
        </w:rPr>
        <w:tab/>
      </w:r>
      <w:r w:rsidRPr="003C0B61">
        <w:rPr>
          <w:lang w:val="en-US"/>
        </w:rPr>
        <w:t xml:space="preserve">For bi fuel vehicles, the type I table shall be repeated for both fuels. For flex fuel vehicles, when the </w:t>
      </w:r>
      <w:r w:rsidRPr="003C0B61">
        <w:rPr>
          <w:strike/>
          <w:lang w:val="en-US"/>
        </w:rPr>
        <w:t>type 1</w:t>
      </w:r>
      <w:r w:rsidRPr="003C0B61">
        <w:rPr>
          <w:lang w:val="en-US"/>
        </w:rPr>
        <w:t xml:space="preserve"> </w:t>
      </w:r>
      <w:r w:rsidRPr="003C0B61">
        <w:rPr>
          <w:b/>
          <w:lang w:val="en-US"/>
        </w:rPr>
        <w:t>type I</w:t>
      </w:r>
      <w:r>
        <w:rPr>
          <w:lang w:val="en-US"/>
        </w:rPr>
        <w:t xml:space="preserve"> </w:t>
      </w:r>
      <w:r w:rsidRPr="003C0B61">
        <w:rPr>
          <w:lang w:val="en-US"/>
        </w:rPr>
        <w:t>test is to be performed on both fuels according to Table A of this Regulation and for vehicles running on LPG or NG/</w:t>
      </w:r>
      <w:proofErr w:type="spellStart"/>
      <w:r w:rsidRPr="003C0B61">
        <w:rPr>
          <w:lang w:val="en-US"/>
        </w:rPr>
        <w:t>Biomethane</w:t>
      </w:r>
      <w:proofErr w:type="spellEnd"/>
      <w:r w:rsidRPr="003C0B61">
        <w:rPr>
          <w:lang w:val="en-US"/>
        </w:rPr>
        <w:t>, either mono fuel or bi fuel, the table shall be repeated for the different reference gases used in the test, and an additional table shall display the worst results obtained. When applicable, in accordance with paragraphs 3.1.4. and 3.1.5. of Annex 12 to this Regulation, it shall be shown if the res</w:t>
      </w:r>
      <w:r>
        <w:rPr>
          <w:lang w:val="en-US"/>
        </w:rPr>
        <w:t>ults are measured or calculated</w:t>
      </w:r>
      <w:r w:rsidRPr="00A0104B">
        <w:rPr>
          <w:lang w:val="en-US"/>
        </w:rPr>
        <w:t>.</w:t>
      </w:r>
      <w:r w:rsidRPr="00086FAD">
        <w:rPr>
          <w:lang w:val="en-US"/>
        </w:rPr>
        <w:t>"</w:t>
      </w:r>
    </w:p>
    <w:p w:rsidR="00E027C9" w:rsidRPr="0083042A" w:rsidRDefault="00E027C9" w:rsidP="00B17B28">
      <w:pPr>
        <w:pStyle w:val="SingleTxtG"/>
        <w:keepNext/>
        <w:keepLines/>
        <w:rPr>
          <w:i/>
        </w:rPr>
      </w:pPr>
      <w:r>
        <w:rPr>
          <w:i/>
        </w:rPr>
        <w:lastRenderedPageBreak/>
        <w:t>Annex 4a, Appendix 3, paragraph 1.2.12.6.</w:t>
      </w:r>
      <w:r w:rsidRPr="0083042A">
        <w:rPr>
          <w:i/>
        </w:rPr>
        <w:t xml:space="preserve">, </w:t>
      </w:r>
      <w:r w:rsidRPr="00C24813">
        <w:t xml:space="preserve">amend </w:t>
      </w:r>
      <w:r w:rsidRPr="002D62E4">
        <w:t>to read:</w:t>
      </w:r>
    </w:p>
    <w:p w:rsidR="00714CF5" w:rsidRDefault="00714CF5" w:rsidP="00B17B28">
      <w:pPr>
        <w:pStyle w:val="SingleTxtG"/>
        <w:keepNext/>
        <w:keepLines/>
        <w:ind w:left="2268" w:hanging="1134"/>
        <w:rPr>
          <w:lang w:val="en-US"/>
        </w:rPr>
      </w:pPr>
      <w:r w:rsidRPr="00086FAD">
        <w:rPr>
          <w:lang w:val="en-US"/>
        </w:rPr>
        <w:t>"</w:t>
      </w:r>
      <w:r>
        <w:rPr>
          <w:lang w:val="en-US"/>
        </w:rPr>
        <w:t>1.2.12.6.</w:t>
      </w:r>
      <w:r>
        <w:rPr>
          <w:lang w:val="en-US"/>
        </w:rPr>
        <w:tab/>
      </w:r>
      <w:r w:rsidRPr="00A0104B">
        <w:rPr>
          <w:lang w:val="en-US"/>
        </w:rPr>
        <w:t xml:space="preserve">The HFID shall be used with a constant flow (heat exchanger) system to ensure a </w:t>
      </w:r>
      <w:r>
        <w:rPr>
          <w:lang w:val="en-US"/>
        </w:rPr>
        <w:t>r</w:t>
      </w:r>
      <w:r w:rsidRPr="00A0104B">
        <w:rPr>
          <w:lang w:val="en-US"/>
        </w:rPr>
        <w:t xml:space="preserve">epresentative sample, unless compensation for varying </w:t>
      </w:r>
      <w:r w:rsidRPr="00A628AF">
        <w:rPr>
          <w:strike/>
          <w:lang w:val="en-US"/>
        </w:rPr>
        <w:t>CFV or CFO</w:t>
      </w:r>
      <w:r w:rsidRPr="00A0104B">
        <w:rPr>
          <w:lang w:val="en-US"/>
        </w:rPr>
        <w:t xml:space="preserve"> </w:t>
      </w:r>
      <w:r w:rsidRPr="00A628AF">
        <w:rPr>
          <w:b/>
          <w:lang w:val="en-US"/>
        </w:rPr>
        <w:t>CVS volume</w:t>
      </w:r>
      <w:r>
        <w:rPr>
          <w:lang w:val="en-US"/>
        </w:rPr>
        <w:t xml:space="preserve"> </w:t>
      </w:r>
      <w:r w:rsidRPr="00A0104B">
        <w:rPr>
          <w:lang w:val="en-US"/>
        </w:rPr>
        <w:t>flow is made.</w:t>
      </w:r>
      <w:r w:rsidRPr="00086FAD">
        <w:rPr>
          <w:lang w:val="en-US"/>
        </w:rPr>
        <w:t>"</w:t>
      </w:r>
    </w:p>
    <w:p w:rsidR="00714CF5" w:rsidRPr="009B505A" w:rsidRDefault="00714CF5" w:rsidP="00714CF5">
      <w:pPr>
        <w:pStyle w:val="SingleTxtG"/>
      </w:pPr>
      <w:r>
        <w:rPr>
          <w:i/>
        </w:rPr>
        <w:t>Annex 10</w:t>
      </w:r>
      <w:r w:rsidR="000E7E02">
        <w:rPr>
          <w:i/>
        </w:rPr>
        <w:t xml:space="preserve">, </w:t>
      </w:r>
      <w:r>
        <w:rPr>
          <w:i/>
        </w:rPr>
        <w:t xml:space="preserve">Type: Petrol (E10) table, </w:t>
      </w:r>
      <w:r>
        <w:t xml:space="preserve">amend </w:t>
      </w:r>
      <w:r w:rsidR="003032FB">
        <w:t>to read</w:t>
      </w:r>
      <w:r>
        <w:t>:</w:t>
      </w:r>
    </w:p>
    <w:p w:rsidR="00714CF5" w:rsidRDefault="00714CF5" w:rsidP="00714CF5">
      <w:pPr>
        <w:pStyle w:val="SingleTxtG"/>
        <w:rPr>
          <w:lang w:val="en-US"/>
        </w:rPr>
      </w:pPr>
      <w:r w:rsidRPr="00086FAD">
        <w:rPr>
          <w:lang w:val="en-US"/>
        </w:rPr>
        <w:t>"</w:t>
      </w:r>
    </w:p>
    <w:tbl>
      <w:tblPr>
        <w:tblW w:w="7371" w:type="dxa"/>
        <w:tblInd w:w="1134" w:type="dxa"/>
        <w:tblLayout w:type="fixed"/>
        <w:tblLook w:val="0000" w:firstRow="0" w:lastRow="0" w:firstColumn="0" w:lastColumn="0" w:noHBand="0" w:noVBand="0"/>
      </w:tblPr>
      <w:tblGrid>
        <w:gridCol w:w="1398"/>
        <w:gridCol w:w="1125"/>
        <w:gridCol w:w="3457"/>
        <w:gridCol w:w="1391"/>
      </w:tblGrid>
      <w:tr w:rsidR="000E7E02" w:rsidRPr="00E42076" w:rsidTr="004931FE">
        <w:tc>
          <w:tcPr>
            <w:tcW w:w="149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0E7E02" w:rsidRPr="009B505A" w:rsidRDefault="008458E7" w:rsidP="004931FE">
            <w:pPr>
              <w:autoSpaceDE w:val="0"/>
              <w:autoSpaceDN w:val="0"/>
              <w:spacing w:before="120"/>
              <w:jc w:val="center"/>
              <w:rPr>
                <w:lang w:eastAsia="en-GB"/>
              </w:rPr>
            </w:pPr>
            <w:r>
              <w:rPr>
                <w:lang w:eastAsia="en-GB"/>
              </w:rPr>
              <w:t>…</w:t>
            </w:r>
          </w:p>
        </w:tc>
        <w:tc>
          <w:tcPr>
            <w:tcW w:w="119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0E7E02" w:rsidRPr="008458E7" w:rsidRDefault="008458E7" w:rsidP="004931FE">
            <w:pPr>
              <w:autoSpaceDE w:val="0"/>
              <w:autoSpaceDN w:val="0"/>
              <w:spacing w:before="120"/>
              <w:jc w:val="center"/>
              <w:rPr>
                <w:lang w:eastAsia="en-GB"/>
              </w:rPr>
            </w:pPr>
            <w:r>
              <w:rPr>
                <w:lang w:eastAsia="en-GB"/>
              </w:rPr>
              <w:t>...</w:t>
            </w:r>
          </w:p>
        </w:tc>
        <w:tc>
          <w:tcPr>
            <w:tcW w:w="37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0E7E02" w:rsidRPr="009B505A" w:rsidRDefault="008458E7" w:rsidP="004931FE">
            <w:pPr>
              <w:autoSpaceDE w:val="0"/>
              <w:autoSpaceDN w:val="0"/>
              <w:spacing w:before="120"/>
              <w:jc w:val="center"/>
              <w:rPr>
                <w:lang w:eastAsia="en-GB"/>
              </w:rPr>
            </w:pPr>
            <w:r>
              <w:rPr>
                <w:lang w:eastAsia="en-GB"/>
              </w:rPr>
              <w:t>…</w:t>
            </w:r>
          </w:p>
        </w:tc>
        <w:tc>
          <w:tcPr>
            <w:tcW w:w="1486"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0E7E02" w:rsidRPr="009B505A" w:rsidRDefault="008458E7" w:rsidP="004931FE">
            <w:pPr>
              <w:autoSpaceDE w:val="0"/>
              <w:autoSpaceDN w:val="0"/>
              <w:spacing w:before="120"/>
              <w:jc w:val="center"/>
              <w:rPr>
                <w:lang w:eastAsia="en-GB"/>
              </w:rPr>
            </w:pPr>
            <w:r>
              <w:rPr>
                <w:lang w:eastAsia="en-GB"/>
              </w:rPr>
              <w:t>…</w:t>
            </w:r>
          </w:p>
        </w:tc>
      </w:tr>
      <w:tr w:rsidR="00714CF5" w:rsidRPr="00E42076" w:rsidTr="004931FE">
        <w:tc>
          <w:tcPr>
            <w:tcW w:w="149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9B505A" w:rsidRDefault="00714CF5" w:rsidP="004931FE">
            <w:pPr>
              <w:autoSpaceDE w:val="0"/>
              <w:autoSpaceDN w:val="0"/>
              <w:spacing w:before="120"/>
              <w:jc w:val="center"/>
              <w:rPr>
                <w:lang w:eastAsia="en-GB"/>
              </w:rPr>
            </w:pPr>
            <w:r w:rsidRPr="009B505A">
              <w:rPr>
                <w:lang w:eastAsia="en-GB"/>
              </w:rPr>
              <w:t>Water content</w:t>
            </w:r>
          </w:p>
        </w:tc>
        <w:tc>
          <w:tcPr>
            <w:tcW w:w="119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DA3F56" w:rsidRDefault="00714CF5" w:rsidP="004931FE">
            <w:pPr>
              <w:autoSpaceDE w:val="0"/>
              <w:autoSpaceDN w:val="0"/>
              <w:spacing w:before="120"/>
              <w:jc w:val="center"/>
              <w:rPr>
                <w:strike/>
                <w:lang w:eastAsia="en-GB"/>
              </w:rPr>
            </w:pPr>
            <w:r w:rsidRPr="00DA3F56">
              <w:rPr>
                <w:strike/>
                <w:lang w:eastAsia="en-GB"/>
              </w:rPr>
              <w:t xml:space="preserve">% </w:t>
            </w:r>
            <w:r>
              <w:rPr>
                <w:strike/>
                <w:lang w:eastAsia="en-GB"/>
              </w:rPr>
              <w:t>m</w:t>
            </w:r>
            <w:r w:rsidRPr="00DA3F56">
              <w:rPr>
                <w:strike/>
                <w:lang w:eastAsia="en-GB"/>
              </w:rPr>
              <w:t>/</w:t>
            </w:r>
            <w:r>
              <w:rPr>
                <w:strike/>
                <w:lang w:eastAsia="en-GB"/>
              </w:rPr>
              <w:t>m</w:t>
            </w:r>
          </w:p>
          <w:p w:rsidR="00714CF5" w:rsidRPr="00DA3F56" w:rsidRDefault="00714CF5" w:rsidP="004931FE">
            <w:pPr>
              <w:autoSpaceDE w:val="0"/>
              <w:autoSpaceDN w:val="0"/>
              <w:spacing w:before="120"/>
              <w:jc w:val="center"/>
              <w:rPr>
                <w:b/>
                <w:lang w:eastAsia="en-GB"/>
              </w:rPr>
            </w:pPr>
            <w:r w:rsidRPr="00DA3F56">
              <w:rPr>
                <w:b/>
                <w:lang w:eastAsia="en-GB"/>
              </w:rPr>
              <w:t>% v/v</w:t>
            </w:r>
          </w:p>
        </w:tc>
        <w:tc>
          <w:tcPr>
            <w:tcW w:w="37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9B505A" w:rsidRDefault="00714CF5" w:rsidP="004931FE">
            <w:pPr>
              <w:autoSpaceDE w:val="0"/>
              <w:autoSpaceDN w:val="0"/>
              <w:spacing w:before="120"/>
              <w:jc w:val="center"/>
              <w:rPr>
                <w:strike/>
                <w:lang w:eastAsia="en-GB"/>
              </w:rPr>
            </w:pPr>
            <w:r w:rsidRPr="009B505A">
              <w:rPr>
                <w:lang w:eastAsia="en-GB"/>
              </w:rPr>
              <w:t>max 0</w:t>
            </w:r>
            <w:r>
              <w:rPr>
                <w:lang w:eastAsia="en-GB"/>
              </w:rPr>
              <w:t>.</w:t>
            </w:r>
            <w:r w:rsidRPr="009B505A">
              <w:rPr>
                <w:lang w:eastAsia="en-GB"/>
              </w:rPr>
              <w:t>05</w:t>
            </w:r>
          </w:p>
          <w:p w:rsidR="00714CF5" w:rsidRPr="00453679" w:rsidRDefault="008C6E4E" w:rsidP="004931FE">
            <w:pPr>
              <w:autoSpaceDE w:val="0"/>
              <w:autoSpaceDN w:val="0"/>
              <w:spacing w:before="120"/>
              <w:jc w:val="center"/>
              <w:rPr>
                <w:strike/>
                <w:lang w:eastAsia="en-GB"/>
              </w:rPr>
            </w:pPr>
            <w:r>
              <w:rPr>
                <w:strike/>
                <w:lang w:eastAsia="en-GB"/>
              </w:rPr>
              <w:t>Appearance at –</w:t>
            </w:r>
            <w:r w:rsidR="00714CF5" w:rsidRPr="00453679">
              <w:rPr>
                <w:strike/>
                <w:lang w:eastAsia="en-GB"/>
              </w:rPr>
              <w:t>7 °C: clear and bright</w:t>
            </w:r>
          </w:p>
        </w:tc>
        <w:tc>
          <w:tcPr>
            <w:tcW w:w="1486"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9B505A" w:rsidRDefault="00714CF5" w:rsidP="004931FE">
            <w:pPr>
              <w:autoSpaceDE w:val="0"/>
              <w:autoSpaceDN w:val="0"/>
              <w:spacing w:before="120"/>
              <w:jc w:val="center"/>
              <w:rPr>
                <w:lang w:eastAsia="en-GB"/>
              </w:rPr>
            </w:pPr>
            <w:r w:rsidRPr="009B505A">
              <w:rPr>
                <w:lang w:eastAsia="en-GB"/>
              </w:rPr>
              <w:t>EN 12937</w:t>
            </w:r>
          </w:p>
        </w:tc>
      </w:tr>
      <w:tr w:rsidR="00714CF5" w:rsidRPr="00E42076" w:rsidTr="004931FE">
        <w:tc>
          <w:tcPr>
            <w:tcW w:w="149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3032FB" w:rsidRDefault="008C6E4E" w:rsidP="004931FE">
            <w:pPr>
              <w:autoSpaceDE w:val="0"/>
              <w:autoSpaceDN w:val="0"/>
              <w:spacing w:before="120"/>
              <w:jc w:val="center"/>
              <w:rPr>
                <w:b/>
                <w:lang w:eastAsia="en-GB"/>
              </w:rPr>
            </w:pPr>
            <w:r>
              <w:rPr>
                <w:b/>
                <w:lang w:eastAsia="en-GB"/>
              </w:rPr>
              <w:t>Appearance at –</w:t>
            </w:r>
            <w:r w:rsidR="00714CF5" w:rsidRPr="003032FB">
              <w:rPr>
                <w:b/>
                <w:lang w:eastAsia="en-GB"/>
              </w:rPr>
              <w:t>7 °C</w:t>
            </w:r>
          </w:p>
        </w:tc>
        <w:tc>
          <w:tcPr>
            <w:tcW w:w="119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3032FB" w:rsidRDefault="00714CF5" w:rsidP="004931FE">
            <w:pPr>
              <w:autoSpaceDE w:val="0"/>
              <w:autoSpaceDN w:val="0"/>
              <w:spacing w:before="120"/>
              <w:jc w:val="center"/>
              <w:rPr>
                <w:b/>
                <w:strike/>
                <w:lang w:eastAsia="en-GB"/>
              </w:rPr>
            </w:pPr>
          </w:p>
        </w:tc>
        <w:tc>
          <w:tcPr>
            <w:tcW w:w="37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3032FB" w:rsidRDefault="00714CF5" w:rsidP="004931FE">
            <w:pPr>
              <w:autoSpaceDE w:val="0"/>
              <w:autoSpaceDN w:val="0"/>
              <w:spacing w:before="120"/>
              <w:jc w:val="center"/>
              <w:rPr>
                <w:b/>
                <w:lang w:eastAsia="en-GB"/>
              </w:rPr>
            </w:pPr>
            <w:r w:rsidRPr="003032FB">
              <w:rPr>
                <w:b/>
                <w:lang w:eastAsia="en-GB"/>
              </w:rPr>
              <w:t>Clear and bright</w:t>
            </w:r>
          </w:p>
        </w:tc>
        <w:tc>
          <w:tcPr>
            <w:tcW w:w="1486"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714CF5" w:rsidRPr="009B505A" w:rsidRDefault="00714CF5" w:rsidP="004931FE">
            <w:pPr>
              <w:autoSpaceDE w:val="0"/>
              <w:autoSpaceDN w:val="0"/>
              <w:spacing w:before="120"/>
              <w:jc w:val="center"/>
              <w:rPr>
                <w:lang w:eastAsia="en-GB"/>
              </w:rPr>
            </w:pPr>
          </w:p>
        </w:tc>
      </w:tr>
      <w:tr w:rsidR="000E7E02" w:rsidRPr="00E42076" w:rsidTr="004931FE">
        <w:tc>
          <w:tcPr>
            <w:tcW w:w="149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0E7E02" w:rsidRPr="00DA3F56" w:rsidRDefault="008458E7" w:rsidP="004931FE">
            <w:pPr>
              <w:autoSpaceDE w:val="0"/>
              <w:autoSpaceDN w:val="0"/>
              <w:spacing w:before="120"/>
              <w:jc w:val="center"/>
              <w:rPr>
                <w:lang w:eastAsia="en-GB"/>
              </w:rPr>
            </w:pPr>
            <w:r>
              <w:rPr>
                <w:lang w:eastAsia="en-GB"/>
              </w:rPr>
              <w:t>…</w:t>
            </w:r>
          </w:p>
        </w:tc>
        <w:tc>
          <w:tcPr>
            <w:tcW w:w="119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0E7E02" w:rsidRPr="008458E7" w:rsidRDefault="008458E7" w:rsidP="004931FE">
            <w:pPr>
              <w:autoSpaceDE w:val="0"/>
              <w:autoSpaceDN w:val="0"/>
              <w:spacing w:before="120"/>
              <w:jc w:val="center"/>
              <w:rPr>
                <w:lang w:eastAsia="en-GB"/>
              </w:rPr>
            </w:pPr>
            <w:r w:rsidRPr="008458E7">
              <w:rPr>
                <w:lang w:eastAsia="en-GB"/>
              </w:rPr>
              <w:t>…</w:t>
            </w:r>
          </w:p>
        </w:tc>
        <w:tc>
          <w:tcPr>
            <w:tcW w:w="37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0E7E02" w:rsidRDefault="008458E7" w:rsidP="004931FE">
            <w:pPr>
              <w:autoSpaceDE w:val="0"/>
              <w:autoSpaceDN w:val="0"/>
              <w:spacing w:before="120"/>
              <w:jc w:val="center"/>
              <w:rPr>
                <w:lang w:eastAsia="en-GB"/>
              </w:rPr>
            </w:pPr>
            <w:r>
              <w:rPr>
                <w:lang w:eastAsia="en-GB"/>
              </w:rPr>
              <w:t>…</w:t>
            </w:r>
          </w:p>
        </w:tc>
        <w:tc>
          <w:tcPr>
            <w:tcW w:w="1486"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0E7E02" w:rsidRPr="009B505A" w:rsidRDefault="008458E7" w:rsidP="004931FE">
            <w:pPr>
              <w:autoSpaceDE w:val="0"/>
              <w:autoSpaceDN w:val="0"/>
              <w:spacing w:before="120"/>
              <w:jc w:val="center"/>
              <w:rPr>
                <w:lang w:eastAsia="en-GB"/>
              </w:rPr>
            </w:pPr>
            <w:r>
              <w:rPr>
                <w:lang w:eastAsia="en-GB"/>
              </w:rPr>
              <w:t>…</w:t>
            </w:r>
          </w:p>
        </w:tc>
      </w:tr>
    </w:tbl>
    <w:p w:rsidR="00714CF5" w:rsidRDefault="00714CF5" w:rsidP="00A457DD">
      <w:pPr>
        <w:pStyle w:val="SingleTxtG"/>
        <w:jc w:val="right"/>
        <w:rPr>
          <w:lang w:val="en-US"/>
        </w:rPr>
      </w:pPr>
      <w:r w:rsidRPr="00086FAD">
        <w:rPr>
          <w:lang w:val="en-US"/>
        </w:rPr>
        <w:t>"</w:t>
      </w:r>
    </w:p>
    <w:p w:rsidR="00AC6E56" w:rsidRPr="00AC6E56" w:rsidRDefault="00AC6E56" w:rsidP="00A457DD">
      <w:pPr>
        <w:pStyle w:val="SingleTxtG"/>
        <w:ind w:left="2268" w:hanging="1134"/>
        <w:rPr>
          <w:i/>
          <w:lang w:val="en-US"/>
        </w:rPr>
      </w:pPr>
      <w:r w:rsidRPr="00AC6E56">
        <w:rPr>
          <w:i/>
          <w:lang w:val="en-US"/>
        </w:rPr>
        <w:t>Annex 11,</w:t>
      </w:r>
    </w:p>
    <w:p w:rsidR="00714CF5" w:rsidRPr="0083042A" w:rsidRDefault="00714CF5" w:rsidP="00A457DD">
      <w:pPr>
        <w:pStyle w:val="SingleTxtG"/>
        <w:ind w:left="2268" w:hanging="1134"/>
      </w:pPr>
      <w:r w:rsidRPr="00AC6E56">
        <w:rPr>
          <w:i/>
        </w:rPr>
        <w:t>Paragraph 3.</w:t>
      </w:r>
      <w:r w:rsidR="00AC6E56" w:rsidRPr="00AC6E56">
        <w:rPr>
          <w:i/>
        </w:rPr>
        <w:t>3.3.1.,</w:t>
      </w:r>
      <w:r w:rsidR="00AC6E56">
        <w:t xml:space="preserve"> </w:t>
      </w:r>
      <w:r w:rsidRPr="00C24813">
        <w:t xml:space="preserve">amend </w:t>
      </w:r>
      <w:r w:rsidRPr="002D62E4">
        <w:t>to read:</w:t>
      </w:r>
    </w:p>
    <w:p w:rsidR="00714CF5" w:rsidRDefault="00714CF5" w:rsidP="00A457DD">
      <w:pPr>
        <w:pStyle w:val="SingleTxtG"/>
        <w:ind w:left="2268" w:hanging="1134"/>
        <w:rPr>
          <w:lang w:val="en-US"/>
        </w:rPr>
      </w:pPr>
      <w:r w:rsidRPr="00086FAD">
        <w:rPr>
          <w:lang w:val="en-US"/>
        </w:rPr>
        <w:t>"</w:t>
      </w:r>
      <w:r>
        <w:rPr>
          <w:lang w:val="en-US"/>
        </w:rPr>
        <w:t>3.3.3.1.</w:t>
      </w:r>
      <w:r>
        <w:rPr>
          <w:lang w:val="en-US"/>
        </w:rPr>
        <w:tab/>
      </w:r>
      <w:r w:rsidRPr="00A0104B">
        <w:rPr>
          <w:lang w:val="en-US"/>
        </w:rPr>
        <w:t xml:space="preserve">The reduction in the efficiency of the catalytic converter with respect to emissions of </w:t>
      </w:r>
      <w:r w:rsidRPr="00A0104B">
        <w:rPr>
          <w:strike/>
          <w:lang w:val="en-US"/>
        </w:rPr>
        <w:t>THC</w:t>
      </w:r>
      <w:r w:rsidRPr="00A0104B">
        <w:rPr>
          <w:lang w:val="en-US"/>
        </w:rPr>
        <w:t xml:space="preserve"> </w:t>
      </w:r>
      <w:r w:rsidRPr="00A0104B">
        <w:rPr>
          <w:b/>
          <w:lang w:val="en-US"/>
        </w:rPr>
        <w:t>NMHC</w:t>
      </w:r>
      <w:r>
        <w:rPr>
          <w:lang w:val="en-US"/>
        </w:rPr>
        <w:t xml:space="preserve"> </w:t>
      </w:r>
      <w:r w:rsidRPr="00A0104B">
        <w:rPr>
          <w:lang w:val="en-US"/>
        </w:rPr>
        <w:t>and NO</w:t>
      </w:r>
      <w:r w:rsidRPr="00843CCA">
        <w:rPr>
          <w:vertAlign w:val="subscript"/>
          <w:lang w:val="en-US"/>
        </w:rPr>
        <w:t>x</w:t>
      </w:r>
      <w:r w:rsidRPr="00A0104B">
        <w:rPr>
          <w:lang w:val="en-US"/>
        </w:rPr>
        <w:t>. Manufacturers may monitor the front catalyst alone or in combination with the next catalyst(s) downstream. Each monitored catalyst or catalyst combination shall be considered malfunctioning when the emissions exceed the NMHC or NO</w:t>
      </w:r>
      <w:r w:rsidRPr="00843CCA">
        <w:rPr>
          <w:vertAlign w:val="subscript"/>
          <w:lang w:val="en-US"/>
        </w:rPr>
        <w:t>x</w:t>
      </w:r>
      <w:r w:rsidRPr="00A0104B">
        <w:rPr>
          <w:lang w:val="en-US"/>
        </w:rPr>
        <w:t xml:space="preserve"> threshold limits provided for by paragraph 3.3.2. of this annex.</w:t>
      </w:r>
      <w:r w:rsidRPr="00086FAD">
        <w:rPr>
          <w:lang w:val="en-US"/>
        </w:rPr>
        <w:t>"</w:t>
      </w:r>
    </w:p>
    <w:p w:rsidR="00714CF5" w:rsidRPr="00A969EB" w:rsidRDefault="00714CF5" w:rsidP="00A457DD">
      <w:pPr>
        <w:pStyle w:val="SingleTxtG"/>
        <w:ind w:left="2268" w:hanging="1134"/>
      </w:pPr>
      <w:r w:rsidRPr="00D95A1A">
        <w:rPr>
          <w:i/>
        </w:rPr>
        <w:t>Paragraph 3.3.3.4.</w:t>
      </w:r>
      <w:r w:rsidR="00D95A1A">
        <w:rPr>
          <w:i/>
        </w:rPr>
        <w:t>,</w:t>
      </w:r>
      <w:r w:rsidRPr="00A969EB">
        <w:t xml:space="preserve"> amend to read:</w:t>
      </w:r>
    </w:p>
    <w:p w:rsidR="00714CF5" w:rsidRPr="00A969EB" w:rsidRDefault="00714CF5" w:rsidP="00A457DD">
      <w:pPr>
        <w:pStyle w:val="SingleTxtG"/>
        <w:ind w:left="2268" w:hanging="1134"/>
        <w:rPr>
          <w:lang w:val="en-US"/>
        </w:rPr>
      </w:pPr>
      <w:r w:rsidRPr="00A969EB">
        <w:rPr>
          <w:lang w:val="en-US"/>
        </w:rPr>
        <w:t>"3.3.3.4.</w:t>
      </w:r>
      <w:r w:rsidRPr="00A969EB">
        <w:rPr>
          <w:lang w:val="en-US"/>
        </w:rPr>
        <w:tab/>
        <w:t xml:space="preserve">If active on the selected fuel, other emission control system components or systems, or emission related power train components or systems which are connected to a computer, the failure of which may result in tailpipe emissions exceeding the </w:t>
      </w:r>
      <w:r w:rsidRPr="00A969EB">
        <w:rPr>
          <w:b/>
          <w:lang w:val="en-US"/>
        </w:rPr>
        <w:t>OBD threshold</w:t>
      </w:r>
      <w:r w:rsidRPr="00A969EB">
        <w:rPr>
          <w:lang w:val="en-US"/>
        </w:rPr>
        <w:t xml:space="preserve"> limits given in </w:t>
      </w:r>
      <w:r>
        <w:rPr>
          <w:lang w:val="en-US"/>
        </w:rPr>
        <w:t>paragraph 3.3.2. of this annex.</w:t>
      </w:r>
      <w:r w:rsidRPr="00A969EB">
        <w:rPr>
          <w:lang w:val="en-US"/>
        </w:rPr>
        <w:t>"</w:t>
      </w:r>
    </w:p>
    <w:p w:rsidR="00714CF5" w:rsidRPr="00A969EB" w:rsidRDefault="00714CF5" w:rsidP="00A457DD">
      <w:pPr>
        <w:pStyle w:val="SingleTxtG"/>
        <w:ind w:left="2268" w:hanging="1134"/>
      </w:pPr>
      <w:r w:rsidRPr="00D95A1A">
        <w:rPr>
          <w:i/>
        </w:rPr>
        <w:t>Paragraph 3.3.4.</w:t>
      </w:r>
      <w:r w:rsidR="00D95A1A" w:rsidRPr="00D95A1A">
        <w:rPr>
          <w:i/>
        </w:rPr>
        <w:t>4.</w:t>
      </w:r>
      <w:r w:rsidRPr="00D95A1A">
        <w:rPr>
          <w:i/>
        </w:rPr>
        <w:t>,</w:t>
      </w:r>
      <w:r w:rsidRPr="00A969EB">
        <w:t xml:space="preserve"> amend to read:</w:t>
      </w:r>
    </w:p>
    <w:p w:rsidR="00714CF5" w:rsidRPr="00A969EB" w:rsidRDefault="00714CF5" w:rsidP="00A457DD">
      <w:pPr>
        <w:pStyle w:val="SingleTxtG"/>
        <w:ind w:left="2268" w:hanging="1134"/>
        <w:rPr>
          <w:lang w:val="en-US"/>
        </w:rPr>
      </w:pPr>
      <w:r w:rsidRPr="00086FAD">
        <w:rPr>
          <w:lang w:val="en-US"/>
        </w:rPr>
        <w:t>"</w:t>
      </w:r>
      <w:r w:rsidRPr="00A969EB">
        <w:rPr>
          <w:lang w:val="en-US"/>
        </w:rPr>
        <w:t>3.3.4.4.</w:t>
      </w:r>
      <w:r w:rsidRPr="00A969EB">
        <w:rPr>
          <w:lang w:val="en-US"/>
        </w:rPr>
        <w:tab/>
        <w:t xml:space="preserve">Other emission control system components or systems, or emission-related power-train components or systems, which are connected to a computer, the failure of which may result in exhaust emissions exceeding the </w:t>
      </w:r>
      <w:r w:rsidRPr="00A969EB">
        <w:rPr>
          <w:b/>
          <w:lang w:val="en-US"/>
        </w:rPr>
        <w:t>OBD threshold</w:t>
      </w:r>
      <w:r w:rsidRPr="00A969EB">
        <w:rPr>
          <w:lang w:val="en-US"/>
        </w:rPr>
        <w:t xml:space="preserve"> limits given in paragraph 3.3.2. of this annex. Examples of such systems or components are those for monitoring and control of air mass-flow, air volumetric flow (and temperature), boost pressure and inlet manifold pressure (and relevant sensors to enable these functions to be carried out).</w:t>
      </w:r>
      <w:r w:rsidRPr="00086FAD">
        <w:rPr>
          <w:lang w:val="en-US"/>
        </w:rPr>
        <w:t>"</w:t>
      </w:r>
    </w:p>
    <w:p w:rsidR="00714CF5" w:rsidRPr="00A969EB" w:rsidRDefault="00714CF5" w:rsidP="00A457DD">
      <w:pPr>
        <w:pStyle w:val="SingleTxtG"/>
        <w:ind w:left="2268" w:hanging="1134"/>
        <w:rPr>
          <w:lang w:val="en-US"/>
        </w:rPr>
      </w:pPr>
      <w:r w:rsidRPr="00D95A1A">
        <w:rPr>
          <w:i/>
        </w:rPr>
        <w:t>Paragraph</w:t>
      </w:r>
      <w:r w:rsidR="007F1ED1">
        <w:rPr>
          <w:i/>
        </w:rPr>
        <w:t>s</w:t>
      </w:r>
      <w:r w:rsidRPr="00D95A1A">
        <w:rPr>
          <w:i/>
        </w:rPr>
        <w:t xml:space="preserve"> 3.3.5.</w:t>
      </w:r>
      <w:r w:rsidR="007F1ED1">
        <w:rPr>
          <w:i/>
        </w:rPr>
        <w:t xml:space="preserve"> to 3.3.5.2.</w:t>
      </w:r>
      <w:r w:rsidRPr="00D95A1A">
        <w:rPr>
          <w:i/>
        </w:rPr>
        <w:t>,</w:t>
      </w:r>
      <w:r w:rsidRPr="00A969EB">
        <w:t xml:space="preserve"> amend to read:</w:t>
      </w:r>
    </w:p>
    <w:p w:rsidR="00714CF5" w:rsidRPr="00A969EB" w:rsidRDefault="00714CF5" w:rsidP="00A457DD">
      <w:pPr>
        <w:pStyle w:val="SingleTxtG"/>
        <w:ind w:left="2268" w:hanging="1134"/>
        <w:rPr>
          <w:lang w:val="en-US"/>
        </w:rPr>
      </w:pPr>
      <w:r w:rsidRPr="00086FAD">
        <w:rPr>
          <w:lang w:val="en-US"/>
        </w:rPr>
        <w:t>"</w:t>
      </w:r>
      <w:r w:rsidRPr="00A969EB">
        <w:rPr>
          <w:lang w:val="en-US"/>
        </w:rPr>
        <w:t>3.3.5.</w:t>
      </w:r>
      <w:r w:rsidRPr="00A969EB">
        <w:rPr>
          <w:lang w:val="en-US"/>
        </w:rPr>
        <w:tab/>
        <w:t xml:space="preserve">Manufacturers may demonstrate to the Type Approval Authority that certain components or systems need not be monitored if, in the event of their total failure or removal, emissions do not exceed the </w:t>
      </w:r>
      <w:r w:rsidRPr="00A969EB">
        <w:rPr>
          <w:strike/>
          <w:lang w:val="en-US"/>
        </w:rPr>
        <w:t>emission limits</w:t>
      </w:r>
      <w:r w:rsidRPr="00A969EB">
        <w:rPr>
          <w:lang w:val="en-US"/>
        </w:rPr>
        <w:t xml:space="preserve"> </w:t>
      </w:r>
      <w:r w:rsidRPr="00A969EB">
        <w:rPr>
          <w:b/>
          <w:lang w:val="en-US"/>
        </w:rPr>
        <w:t>OBD threshold limits</w:t>
      </w:r>
      <w:r w:rsidRPr="00A969EB">
        <w:rPr>
          <w:lang w:val="en-US"/>
        </w:rPr>
        <w:t xml:space="preserve"> given in paragraph 3.3.2. of this annex.</w:t>
      </w:r>
    </w:p>
    <w:p w:rsidR="00714CF5" w:rsidRPr="00A969EB" w:rsidRDefault="00714CF5" w:rsidP="00A457DD">
      <w:pPr>
        <w:pStyle w:val="SingleTxtG"/>
        <w:ind w:left="2268" w:hanging="1134"/>
        <w:rPr>
          <w:lang w:val="en-US"/>
        </w:rPr>
      </w:pPr>
      <w:r w:rsidRPr="00A969EB">
        <w:rPr>
          <w:lang w:val="en-US"/>
        </w:rPr>
        <w:lastRenderedPageBreak/>
        <w:t>3.3.5.1.</w:t>
      </w:r>
      <w:r w:rsidRPr="00A969EB">
        <w:rPr>
          <w:lang w:val="en-US"/>
        </w:rPr>
        <w:tab/>
        <w:t xml:space="preserve">The following devices should however be monitored for total failure or removal (if removal would cause the applicable emission limits </w:t>
      </w:r>
      <w:r w:rsidRPr="00A969EB">
        <w:rPr>
          <w:b/>
          <w:lang w:val="en-US"/>
        </w:rPr>
        <w:t>in paragraph 5.3.1.4. of this Regulation</w:t>
      </w:r>
      <w:r w:rsidRPr="00A969EB">
        <w:rPr>
          <w:lang w:val="en-US"/>
        </w:rPr>
        <w:t xml:space="preserve"> </w:t>
      </w:r>
      <w:r w:rsidR="00723910">
        <w:rPr>
          <w:lang w:val="en-US"/>
        </w:rPr>
        <w:t>to be exceeded):</w:t>
      </w:r>
    </w:p>
    <w:p w:rsidR="00714CF5" w:rsidRPr="00A969EB" w:rsidRDefault="00714CF5" w:rsidP="00F65AEA">
      <w:pPr>
        <w:pStyle w:val="SingleTxtG"/>
        <w:ind w:left="2835" w:hanging="567"/>
        <w:rPr>
          <w:lang w:val="en-US"/>
        </w:rPr>
      </w:pPr>
      <w:r w:rsidRPr="00A969EB">
        <w:rPr>
          <w:lang w:val="en-US"/>
        </w:rPr>
        <w:t>(a)</w:t>
      </w:r>
      <w:r w:rsidRPr="00A969EB">
        <w:rPr>
          <w:lang w:val="en-US"/>
        </w:rPr>
        <w:tab/>
        <w:t>A particulate trap fitted to compression ignition engines as a separate unit or integrated into a co</w:t>
      </w:r>
      <w:r w:rsidR="00F65AEA">
        <w:rPr>
          <w:lang w:val="en-US"/>
        </w:rPr>
        <w:t>mbined emission control device;</w:t>
      </w:r>
    </w:p>
    <w:p w:rsidR="00714CF5" w:rsidRPr="00A969EB" w:rsidRDefault="00714CF5" w:rsidP="00F65AEA">
      <w:pPr>
        <w:pStyle w:val="SingleTxtG"/>
        <w:ind w:left="2835" w:hanging="567"/>
        <w:rPr>
          <w:lang w:val="en-US"/>
        </w:rPr>
      </w:pPr>
      <w:r w:rsidRPr="00A969EB">
        <w:rPr>
          <w:lang w:val="en-US"/>
        </w:rPr>
        <w:t>(b)</w:t>
      </w:r>
      <w:r w:rsidRPr="00A969EB">
        <w:rPr>
          <w:lang w:val="en-US"/>
        </w:rPr>
        <w:tab/>
        <w:t>A NO</w:t>
      </w:r>
      <w:r w:rsidRPr="00F71A3B">
        <w:rPr>
          <w:vertAlign w:val="subscript"/>
          <w:lang w:val="en-US"/>
        </w:rPr>
        <w:t>x</w:t>
      </w:r>
      <w:r w:rsidRPr="00A969EB">
        <w:rPr>
          <w:lang w:val="en-US"/>
        </w:rPr>
        <w:t xml:space="preserve"> after treatment system fitted to compression ignition engines as a separate unit or integrated into a co</w:t>
      </w:r>
      <w:r w:rsidR="00F65AEA">
        <w:rPr>
          <w:lang w:val="en-US"/>
        </w:rPr>
        <w:t>mbined emission control device;</w:t>
      </w:r>
    </w:p>
    <w:p w:rsidR="00714CF5" w:rsidRPr="00A969EB" w:rsidRDefault="00714CF5" w:rsidP="00F65AEA">
      <w:pPr>
        <w:pStyle w:val="SingleTxtG"/>
        <w:ind w:left="2835" w:hanging="567"/>
        <w:rPr>
          <w:lang w:val="en-US"/>
        </w:rPr>
      </w:pPr>
      <w:r w:rsidRPr="00A969EB">
        <w:rPr>
          <w:lang w:val="en-US"/>
        </w:rPr>
        <w:t>(c)</w:t>
      </w:r>
      <w:r w:rsidRPr="00A969EB">
        <w:rPr>
          <w:lang w:val="en-US"/>
        </w:rPr>
        <w:tab/>
        <w:t>A Diesel Oxidation Catalyst (DOC) fitted to compression ignition engines as a separate unit or integrated into a combined emission control device.</w:t>
      </w:r>
    </w:p>
    <w:p w:rsidR="00714CF5" w:rsidRPr="00A969EB" w:rsidRDefault="00714CF5" w:rsidP="00A457DD">
      <w:pPr>
        <w:pStyle w:val="SingleTxtG"/>
        <w:ind w:left="2268" w:hanging="1134"/>
      </w:pPr>
      <w:r w:rsidRPr="00A969EB">
        <w:rPr>
          <w:lang w:val="en-US"/>
        </w:rPr>
        <w:t>3.3.5.2.</w:t>
      </w:r>
      <w:r w:rsidRPr="00A969EB">
        <w:rPr>
          <w:lang w:val="en-US"/>
        </w:rPr>
        <w:tab/>
        <w:t xml:space="preserve">The devices referred to in paragraph 3.3.5.1. </w:t>
      </w:r>
      <w:r w:rsidRPr="00F71A3B">
        <w:rPr>
          <w:b/>
          <w:lang w:val="en-US"/>
        </w:rPr>
        <w:t>of this annex</w:t>
      </w:r>
      <w:r w:rsidRPr="00A969EB">
        <w:rPr>
          <w:lang w:val="en-US"/>
        </w:rPr>
        <w:t xml:space="preserve"> shall also be monitored for any failure that would result in exceeding the applicable OBD threshold limits.</w:t>
      </w:r>
      <w:r w:rsidRPr="00086FAD">
        <w:rPr>
          <w:lang w:val="en-US"/>
        </w:rPr>
        <w:t>"</w:t>
      </w:r>
    </w:p>
    <w:p w:rsidR="00422AF5" w:rsidRPr="00DB2094" w:rsidRDefault="00023BEA" w:rsidP="00DB2094">
      <w:pPr>
        <w:pStyle w:val="HChG"/>
      </w:pPr>
      <w:r w:rsidRPr="00DB2094">
        <w:tab/>
      </w:r>
      <w:r w:rsidR="00FA06A4" w:rsidRPr="00DB2094">
        <w:t>II.</w:t>
      </w:r>
      <w:r w:rsidR="00FA06A4" w:rsidRPr="00DB2094">
        <w:tab/>
      </w:r>
      <w:r w:rsidR="00E25B71" w:rsidRPr="00DB2094">
        <w:t>Justification</w:t>
      </w:r>
    </w:p>
    <w:p w:rsidR="00B8549E" w:rsidRPr="00B8549E" w:rsidRDefault="002C6107" w:rsidP="00B8549E">
      <w:pPr>
        <w:spacing w:after="120"/>
        <w:ind w:left="1134" w:right="1134"/>
        <w:jc w:val="both"/>
        <w:rPr>
          <w:rFonts w:eastAsia="MS Mincho"/>
        </w:rPr>
      </w:pPr>
      <w:r>
        <w:rPr>
          <w:rFonts w:eastAsia="MS Mincho"/>
        </w:rPr>
        <w:t>1</w:t>
      </w:r>
      <w:r w:rsidR="00B8549E" w:rsidRPr="00B8549E">
        <w:rPr>
          <w:rFonts w:eastAsia="MS Mincho"/>
        </w:rPr>
        <w:t>.</w:t>
      </w:r>
      <w:r w:rsidR="00B8549E" w:rsidRPr="00B8549E">
        <w:rPr>
          <w:rFonts w:eastAsia="MS Mincho"/>
        </w:rPr>
        <w:tab/>
        <w:t xml:space="preserve">The amendment to the format of </w:t>
      </w:r>
      <w:r w:rsidR="00ED4F69">
        <w:rPr>
          <w:rFonts w:eastAsia="MS Mincho"/>
        </w:rPr>
        <w:t xml:space="preserve">paragraph </w:t>
      </w:r>
      <w:r w:rsidR="00B8549E" w:rsidRPr="00B8549E">
        <w:rPr>
          <w:rFonts w:eastAsia="MS Mincho"/>
        </w:rPr>
        <w:t xml:space="preserve">7.1.4.1. </w:t>
      </w:r>
      <w:r w:rsidR="00C55E64">
        <w:rPr>
          <w:rFonts w:eastAsia="MS Mincho"/>
        </w:rPr>
        <w:t xml:space="preserve">is proposed to </w:t>
      </w:r>
      <w:r w:rsidR="00ED4F69">
        <w:rPr>
          <w:rFonts w:eastAsia="MS Mincho"/>
        </w:rPr>
        <w:t>improv</w:t>
      </w:r>
      <w:r w:rsidR="00C55E64">
        <w:rPr>
          <w:rFonts w:eastAsia="MS Mincho"/>
        </w:rPr>
        <w:t>e</w:t>
      </w:r>
      <w:r w:rsidR="00B8549E" w:rsidRPr="00B8549E">
        <w:rPr>
          <w:rFonts w:eastAsia="MS Mincho"/>
        </w:rPr>
        <w:t xml:space="preserve"> accuracy and </w:t>
      </w:r>
      <w:r w:rsidR="00C55E64">
        <w:rPr>
          <w:rFonts w:eastAsia="MS Mincho"/>
        </w:rPr>
        <w:t xml:space="preserve">to </w:t>
      </w:r>
      <w:r w:rsidR="00B8549E" w:rsidRPr="00B8549E">
        <w:rPr>
          <w:rFonts w:eastAsia="MS Mincho"/>
        </w:rPr>
        <w:t xml:space="preserve">align </w:t>
      </w:r>
      <w:r w:rsidR="00C55E64">
        <w:rPr>
          <w:rFonts w:eastAsia="MS Mincho"/>
        </w:rPr>
        <w:t>it with the equivalent text of</w:t>
      </w:r>
      <w:r w:rsidR="00B8549E" w:rsidRPr="00B8549E">
        <w:rPr>
          <w:rFonts w:eastAsia="MS Mincho"/>
        </w:rPr>
        <w:t xml:space="preserve"> paragraph 2.1.1. of Annex 13. The terms</w:t>
      </w:r>
      <w:r w:rsidR="00190059">
        <w:rPr>
          <w:rFonts w:eastAsia="MS Mincho"/>
        </w:rPr>
        <w:t xml:space="preserve"> </w:t>
      </w:r>
      <w:r w:rsidR="00190059" w:rsidRPr="00086FAD">
        <w:rPr>
          <w:lang w:val="en-US"/>
        </w:rPr>
        <w:t>"</w:t>
      </w:r>
      <w:r w:rsidR="00190059">
        <w:rPr>
          <w:rFonts w:eastAsia="MS Mincho"/>
        </w:rPr>
        <w:t>Engine</w:t>
      </w:r>
      <w:r w:rsidR="00190059" w:rsidRPr="00086FAD">
        <w:rPr>
          <w:lang w:val="en-US"/>
        </w:rPr>
        <w:t>"</w:t>
      </w:r>
      <w:r w:rsidR="00190059">
        <w:rPr>
          <w:rFonts w:eastAsia="MS Mincho"/>
        </w:rPr>
        <w:t xml:space="preserve"> and </w:t>
      </w:r>
      <w:r w:rsidR="00190059" w:rsidRPr="00086FAD">
        <w:rPr>
          <w:lang w:val="en-US"/>
        </w:rPr>
        <w:t>"</w:t>
      </w:r>
      <w:r w:rsidR="00B8549E" w:rsidRPr="00B8549E">
        <w:rPr>
          <w:rFonts w:eastAsia="MS Mincho"/>
        </w:rPr>
        <w:t>P</w:t>
      </w:r>
      <w:r w:rsidR="00190059">
        <w:rPr>
          <w:rFonts w:eastAsia="MS Mincho"/>
        </w:rPr>
        <w:t>eriodically regenerating system</w:t>
      </w:r>
      <w:r w:rsidR="00190059" w:rsidRPr="00086FAD">
        <w:rPr>
          <w:lang w:val="en-US"/>
        </w:rPr>
        <w:t>"</w:t>
      </w:r>
      <w:r w:rsidR="00B8549E" w:rsidRPr="00B8549E">
        <w:rPr>
          <w:rFonts w:eastAsia="MS Mincho"/>
        </w:rPr>
        <w:t xml:space="preserve"> should both be sub-headings </w:t>
      </w:r>
      <w:r w:rsidR="005578F7">
        <w:rPr>
          <w:rFonts w:eastAsia="MS Mincho"/>
        </w:rPr>
        <w:t>instead of</w:t>
      </w:r>
      <w:r w:rsidR="00B8549E" w:rsidRPr="00B8549E">
        <w:rPr>
          <w:rFonts w:eastAsia="MS Mincho"/>
        </w:rPr>
        <w:t xml:space="preserve"> </w:t>
      </w:r>
      <w:r w:rsidR="005578F7">
        <w:rPr>
          <w:rFonts w:eastAsia="MS Mincho"/>
        </w:rPr>
        <w:t xml:space="preserve">being </w:t>
      </w:r>
      <w:r w:rsidR="00B8549E" w:rsidRPr="00B8549E">
        <w:rPr>
          <w:rFonts w:eastAsia="MS Mincho"/>
        </w:rPr>
        <w:t xml:space="preserve">part of the list of elements as they currently </w:t>
      </w:r>
      <w:r w:rsidR="005578F7" w:rsidRPr="00B8549E">
        <w:rPr>
          <w:rFonts w:eastAsia="MS Mincho"/>
        </w:rPr>
        <w:t xml:space="preserve">are </w:t>
      </w:r>
      <w:r w:rsidR="00B8549E" w:rsidRPr="00B8549E">
        <w:rPr>
          <w:rFonts w:eastAsia="MS Mincho"/>
        </w:rPr>
        <w:t>in paragraph 7.1.4.1.</w:t>
      </w:r>
    </w:p>
    <w:p w:rsidR="00F534B8" w:rsidRDefault="00627EC1" w:rsidP="00F534B8">
      <w:pPr>
        <w:pStyle w:val="SingleTxtG"/>
        <w:rPr>
          <w:rFonts w:eastAsia="MS Mincho"/>
        </w:rPr>
      </w:pPr>
      <w:r w:rsidRPr="00627EC1">
        <w:rPr>
          <w:rFonts w:eastAsia="MS Mincho"/>
        </w:rPr>
        <w:t>2.</w:t>
      </w:r>
      <w:r w:rsidRPr="00627EC1">
        <w:rPr>
          <w:rFonts w:eastAsia="MS Mincho"/>
        </w:rPr>
        <w:tab/>
      </w:r>
      <w:r w:rsidR="00F534B8">
        <w:rPr>
          <w:rFonts w:eastAsia="MS Mincho"/>
        </w:rPr>
        <w:t>The amendment to p</w:t>
      </w:r>
      <w:r w:rsidR="00F534B8" w:rsidRPr="00AA36B6">
        <w:rPr>
          <w:rFonts w:eastAsia="MS Mincho"/>
        </w:rPr>
        <w:t xml:space="preserve">aragraph </w:t>
      </w:r>
      <w:r w:rsidR="00F534B8" w:rsidRPr="00B7256E">
        <w:rPr>
          <w:rFonts w:eastAsia="MS Mincho"/>
        </w:rPr>
        <w:t xml:space="preserve">2.1.1. of </w:t>
      </w:r>
      <w:r w:rsidR="00F534B8">
        <w:rPr>
          <w:rFonts w:eastAsia="MS Mincho"/>
        </w:rPr>
        <w:t xml:space="preserve">the Addendum to </w:t>
      </w:r>
      <w:r w:rsidR="00F534B8" w:rsidRPr="00B7256E">
        <w:rPr>
          <w:rFonts w:eastAsia="MS Mincho"/>
        </w:rPr>
        <w:t xml:space="preserve">Annex 2 </w:t>
      </w:r>
      <w:r w:rsidR="00F534B8">
        <w:rPr>
          <w:rFonts w:eastAsia="MS Mincho"/>
        </w:rPr>
        <w:t>in the 07 series of amendments aims at correcting an error in the terminology.</w:t>
      </w:r>
    </w:p>
    <w:p w:rsidR="005B1531" w:rsidRDefault="00B8549E" w:rsidP="005B1531">
      <w:pPr>
        <w:pStyle w:val="SingleTxtG"/>
        <w:rPr>
          <w:rFonts w:eastAsia="MS Mincho"/>
        </w:rPr>
      </w:pPr>
      <w:r w:rsidRPr="00A35048">
        <w:rPr>
          <w:rFonts w:eastAsia="MS Mincho"/>
        </w:rPr>
        <w:t>3.</w:t>
      </w:r>
      <w:r w:rsidRPr="00A35048">
        <w:rPr>
          <w:rFonts w:eastAsia="MS Mincho"/>
        </w:rPr>
        <w:tab/>
      </w:r>
      <w:r w:rsidR="005B1531">
        <w:rPr>
          <w:rFonts w:eastAsia="MS Mincho"/>
        </w:rPr>
        <w:t xml:space="preserve">The </w:t>
      </w:r>
      <w:r w:rsidR="00CA3E2B">
        <w:rPr>
          <w:rFonts w:eastAsia="MS Mincho"/>
        </w:rPr>
        <w:t xml:space="preserve">proposed </w:t>
      </w:r>
      <w:r w:rsidR="005B1531">
        <w:rPr>
          <w:rFonts w:eastAsia="MS Mincho"/>
        </w:rPr>
        <w:t xml:space="preserve">amendment to </w:t>
      </w:r>
      <w:r w:rsidR="005B1531">
        <w:t>p</w:t>
      </w:r>
      <w:r w:rsidR="005B1531" w:rsidRPr="00AA36B6">
        <w:t>aragraph 1.2.12.6. of Appendix 3 to Annex 4a</w:t>
      </w:r>
      <w:r w:rsidR="005B1531">
        <w:rPr>
          <w:rFonts w:eastAsia="MS Mincho"/>
        </w:rPr>
        <w:t xml:space="preserve"> </w:t>
      </w:r>
      <w:r w:rsidR="00900FB0">
        <w:rPr>
          <w:rFonts w:eastAsia="MS Mincho"/>
        </w:rPr>
        <w:t>corrects</w:t>
      </w:r>
      <w:r w:rsidR="00CA3E2B">
        <w:rPr>
          <w:rFonts w:eastAsia="MS Mincho"/>
        </w:rPr>
        <w:t xml:space="preserve"> inaccurate terminology by replacing </w:t>
      </w:r>
      <w:r w:rsidR="00CA3E2B" w:rsidRPr="00086FAD">
        <w:rPr>
          <w:lang w:val="en-US"/>
        </w:rPr>
        <w:t>"</w:t>
      </w:r>
      <w:r w:rsidR="005B1531" w:rsidRPr="00385FC9">
        <w:rPr>
          <w:rFonts w:eastAsia="MS Mincho"/>
        </w:rPr>
        <w:t xml:space="preserve">CFV or CFO </w:t>
      </w:r>
      <w:r w:rsidR="00CA3E2B">
        <w:rPr>
          <w:rFonts w:eastAsia="MS Mincho"/>
        </w:rPr>
        <w:t>flow</w:t>
      </w:r>
      <w:r w:rsidR="00CA3E2B" w:rsidRPr="00086FAD">
        <w:rPr>
          <w:lang w:val="en-US"/>
        </w:rPr>
        <w:t>"</w:t>
      </w:r>
      <w:r w:rsidR="00E10F4C">
        <w:rPr>
          <w:rFonts w:eastAsia="MS Mincho"/>
        </w:rPr>
        <w:t xml:space="preserve"> by</w:t>
      </w:r>
      <w:r w:rsidR="00CA3E2B">
        <w:rPr>
          <w:rFonts w:eastAsia="MS Mincho"/>
        </w:rPr>
        <w:t xml:space="preserve"> </w:t>
      </w:r>
      <w:r w:rsidR="00CA3E2B" w:rsidRPr="00086FAD">
        <w:rPr>
          <w:lang w:val="en-US"/>
        </w:rPr>
        <w:t>"</w:t>
      </w:r>
      <w:r w:rsidR="005B1531" w:rsidRPr="00385FC9">
        <w:rPr>
          <w:rFonts w:eastAsia="MS Mincho"/>
        </w:rPr>
        <w:t>CVS volume flow</w:t>
      </w:r>
      <w:r w:rsidR="00CA3E2B" w:rsidRPr="00086FAD">
        <w:rPr>
          <w:lang w:val="en-US"/>
        </w:rPr>
        <w:t>"</w:t>
      </w:r>
      <w:r w:rsidR="005B1531">
        <w:rPr>
          <w:rFonts w:eastAsia="MS Mincho"/>
        </w:rPr>
        <w:t>.</w:t>
      </w:r>
    </w:p>
    <w:p w:rsidR="00900FB0" w:rsidRDefault="00B8549E" w:rsidP="00900FB0">
      <w:pPr>
        <w:pStyle w:val="SingleTxtG"/>
        <w:rPr>
          <w:rFonts w:eastAsia="MS Mincho"/>
        </w:rPr>
      </w:pPr>
      <w:r w:rsidRPr="00A35048">
        <w:rPr>
          <w:rFonts w:eastAsia="MS Mincho"/>
        </w:rPr>
        <w:t>4.</w:t>
      </w:r>
      <w:r w:rsidRPr="00A35048">
        <w:rPr>
          <w:rFonts w:eastAsia="MS Mincho"/>
        </w:rPr>
        <w:tab/>
      </w:r>
      <w:r w:rsidR="00900FB0">
        <w:rPr>
          <w:rFonts w:eastAsia="MS Mincho"/>
        </w:rPr>
        <w:t>The amendment to p</w:t>
      </w:r>
      <w:r w:rsidR="00900FB0" w:rsidRPr="00AA36B6">
        <w:rPr>
          <w:rFonts w:eastAsia="MS Mincho"/>
        </w:rPr>
        <w:t>aragraph 7.5.2. of Annex 7</w:t>
      </w:r>
      <w:r w:rsidR="00900FB0">
        <w:rPr>
          <w:rFonts w:eastAsia="MS Mincho"/>
        </w:rPr>
        <w:t xml:space="preserve"> </w:t>
      </w:r>
      <w:r w:rsidR="006A42BC">
        <w:rPr>
          <w:rFonts w:eastAsia="MS Mincho"/>
        </w:rPr>
        <w:t>aims at</w:t>
      </w:r>
      <w:r w:rsidR="00900FB0">
        <w:rPr>
          <w:rFonts w:eastAsia="MS Mincho"/>
        </w:rPr>
        <w:t xml:space="preserve"> correct</w:t>
      </w:r>
      <w:r w:rsidR="006A42BC">
        <w:rPr>
          <w:rFonts w:eastAsia="MS Mincho"/>
        </w:rPr>
        <w:t>ing</w:t>
      </w:r>
      <w:r w:rsidR="00900FB0">
        <w:rPr>
          <w:rFonts w:eastAsia="MS Mincho"/>
        </w:rPr>
        <w:t xml:space="preserve"> a cross-referencing error that remains in the 06 series of amendments</w:t>
      </w:r>
      <w:r w:rsidR="006A42BC">
        <w:rPr>
          <w:rFonts w:eastAsia="MS Mincho"/>
        </w:rPr>
        <w:t>.</w:t>
      </w:r>
    </w:p>
    <w:p w:rsidR="00900FB0" w:rsidRDefault="00B8549E" w:rsidP="00900FB0">
      <w:pPr>
        <w:pStyle w:val="SingleTxtG"/>
        <w:rPr>
          <w:rFonts w:eastAsia="MS Mincho"/>
        </w:rPr>
      </w:pPr>
      <w:r w:rsidRPr="00A35048">
        <w:rPr>
          <w:rFonts w:eastAsia="MS Mincho"/>
        </w:rPr>
        <w:t>5.</w:t>
      </w:r>
      <w:r w:rsidRPr="00A35048">
        <w:rPr>
          <w:rFonts w:eastAsia="MS Mincho"/>
        </w:rPr>
        <w:tab/>
      </w:r>
      <w:r w:rsidR="00900FB0">
        <w:rPr>
          <w:rFonts w:eastAsia="MS Mincho"/>
        </w:rPr>
        <w:t xml:space="preserve">The </w:t>
      </w:r>
      <w:r w:rsidR="00FD2352">
        <w:rPr>
          <w:rFonts w:eastAsia="MS Mincho"/>
        </w:rPr>
        <w:t>table of</w:t>
      </w:r>
      <w:r w:rsidR="004A4FFA">
        <w:rPr>
          <w:rFonts w:eastAsia="MS Mincho"/>
        </w:rPr>
        <w:t xml:space="preserve"> </w:t>
      </w:r>
      <w:r w:rsidR="00900FB0" w:rsidRPr="00DA3F56">
        <w:rPr>
          <w:rFonts w:eastAsia="MS Mincho"/>
        </w:rPr>
        <w:t xml:space="preserve">Annex 10 </w:t>
      </w:r>
      <w:r w:rsidR="00FD2352">
        <w:rPr>
          <w:rFonts w:eastAsia="MS Mincho"/>
        </w:rPr>
        <w:t xml:space="preserve">for Petrol (E10) </w:t>
      </w:r>
      <w:r w:rsidR="00A855EF">
        <w:rPr>
          <w:rFonts w:eastAsia="MS Mincho"/>
        </w:rPr>
        <w:t xml:space="preserve">in the 07 series of amendments </w:t>
      </w:r>
      <w:r w:rsidR="00900FB0">
        <w:rPr>
          <w:rFonts w:eastAsia="MS Mincho"/>
        </w:rPr>
        <w:t xml:space="preserve">is </w:t>
      </w:r>
      <w:r w:rsidR="00F02D2A">
        <w:rPr>
          <w:rFonts w:eastAsia="MS Mincho"/>
        </w:rPr>
        <w:t xml:space="preserve">proposed to be </w:t>
      </w:r>
      <w:r w:rsidR="004C46ED">
        <w:rPr>
          <w:rFonts w:eastAsia="MS Mincho"/>
        </w:rPr>
        <w:t>aligned</w:t>
      </w:r>
      <w:r w:rsidR="00FD2352">
        <w:rPr>
          <w:rFonts w:eastAsia="MS Mincho"/>
        </w:rPr>
        <w:t xml:space="preserve"> with</w:t>
      </w:r>
      <w:r w:rsidR="00BF0D69">
        <w:rPr>
          <w:rFonts w:eastAsia="MS Mincho"/>
        </w:rPr>
        <w:t xml:space="preserve"> ECE/TRANS/WP.29/GRPE/2016/</w:t>
      </w:r>
      <w:r w:rsidR="00900FB0" w:rsidRPr="00466780">
        <w:rPr>
          <w:rFonts w:eastAsia="MS Mincho"/>
        </w:rPr>
        <w:t>3</w:t>
      </w:r>
      <w:r w:rsidR="00E27A26">
        <w:rPr>
          <w:rFonts w:eastAsia="MS Mincho"/>
        </w:rPr>
        <w:t xml:space="preserve"> </w:t>
      </w:r>
      <w:r w:rsidR="00787A13">
        <w:rPr>
          <w:rFonts w:eastAsia="MS Mincho"/>
        </w:rPr>
        <w:t>on</w:t>
      </w:r>
      <w:r w:rsidR="00E27A26">
        <w:rPr>
          <w:rFonts w:eastAsia="MS Mincho"/>
        </w:rPr>
        <w:t xml:space="preserve"> amendments to Global Technical Regulation No. 15</w:t>
      </w:r>
      <w:r w:rsidR="00900FB0">
        <w:rPr>
          <w:rFonts w:eastAsia="MS Mincho"/>
        </w:rPr>
        <w:t xml:space="preserve">. </w:t>
      </w:r>
      <w:r w:rsidR="00900FB0" w:rsidRPr="001865F1">
        <w:rPr>
          <w:rFonts w:eastAsia="MS Mincho"/>
        </w:rPr>
        <w:t xml:space="preserve">The </w:t>
      </w:r>
      <w:r w:rsidR="00900FB0">
        <w:rPr>
          <w:rFonts w:eastAsia="MS Mincho"/>
        </w:rPr>
        <w:t xml:space="preserve">unit should be </w:t>
      </w:r>
      <w:r w:rsidR="004C046D">
        <w:rPr>
          <w:rFonts w:eastAsia="MS Mincho"/>
        </w:rPr>
        <w:t>per cent</w:t>
      </w:r>
      <w:r w:rsidR="00DF0C2D">
        <w:rPr>
          <w:rFonts w:eastAsia="MS Mincho"/>
        </w:rPr>
        <w:t xml:space="preserve"> v/v instead of</w:t>
      </w:r>
      <w:r w:rsidR="004C046D">
        <w:rPr>
          <w:rFonts w:eastAsia="MS Mincho"/>
        </w:rPr>
        <w:t xml:space="preserve"> per cent</w:t>
      </w:r>
      <w:r w:rsidR="00900FB0">
        <w:rPr>
          <w:rFonts w:eastAsia="MS Mincho"/>
        </w:rPr>
        <w:t xml:space="preserve"> m/m. The </w:t>
      </w:r>
      <w:r w:rsidR="00900FB0" w:rsidRPr="001865F1">
        <w:rPr>
          <w:rFonts w:eastAsia="MS Mincho"/>
        </w:rPr>
        <w:t xml:space="preserve">appearance is a separate parameter, related to but not an </w:t>
      </w:r>
      <w:r w:rsidR="00726AC1" w:rsidRPr="00086FAD">
        <w:rPr>
          <w:lang w:val="en-US"/>
        </w:rPr>
        <w:t>"</w:t>
      </w:r>
      <w:r w:rsidR="00900FB0" w:rsidRPr="001865F1">
        <w:rPr>
          <w:rFonts w:eastAsia="MS Mincho"/>
        </w:rPr>
        <w:t>answer</w:t>
      </w:r>
      <w:r w:rsidR="00726AC1" w:rsidRPr="00086FAD">
        <w:rPr>
          <w:lang w:val="en-US"/>
        </w:rPr>
        <w:t>"</w:t>
      </w:r>
      <w:r w:rsidR="00900FB0" w:rsidRPr="001865F1">
        <w:rPr>
          <w:rFonts w:eastAsia="MS Mincho"/>
        </w:rPr>
        <w:t xml:space="preserve"> to </w:t>
      </w:r>
      <w:r w:rsidR="00900FB0">
        <w:rPr>
          <w:rFonts w:eastAsia="MS Mincho"/>
        </w:rPr>
        <w:t xml:space="preserve">the </w:t>
      </w:r>
      <w:r w:rsidR="00900FB0" w:rsidRPr="00A969EB">
        <w:rPr>
          <w:lang w:val="en-US"/>
        </w:rPr>
        <w:t>"</w:t>
      </w:r>
      <w:r w:rsidR="00900FB0" w:rsidRPr="001865F1">
        <w:rPr>
          <w:rFonts w:eastAsia="MS Mincho"/>
        </w:rPr>
        <w:t>water content</w:t>
      </w:r>
      <w:r w:rsidR="00900FB0" w:rsidRPr="00A969EB">
        <w:rPr>
          <w:lang w:val="en-US"/>
        </w:rPr>
        <w:t>"</w:t>
      </w:r>
      <w:r w:rsidR="00900FB0">
        <w:rPr>
          <w:rFonts w:eastAsia="MS Mincho"/>
        </w:rPr>
        <w:t xml:space="preserve"> category. A new row is therefore provided for </w:t>
      </w:r>
      <w:r w:rsidR="00900FB0" w:rsidRPr="00A969EB">
        <w:rPr>
          <w:lang w:val="en-US"/>
        </w:rPr>
        <w:t>"</w:t>
      </w:r>
      <w:r w:rsidR="00D828C9">
        <w:rPr>
          <w:rFonts w:eastAsia="MS Mincho"/>
        </w:rPr>
        <w:t>Appearance at –</w:t>
      </w:r>
      <w:r w:rsidR="00900FB0" w:rsidRPr="001865F1">
        <w:rPr>
          <w:rFonts w:eastAsia="MS Mincho"/>
        </w:rPr>
        <w:t>7 °C</w:t>
      </w:r>
      <w:r w:rsidR="00900FB0" w:rsidRPr="00A969EB">
        <w:rPr>
          <w:lang w:val="en-US"/>
        </w:rPr>
        <w:t>"</w:t>
      </w:r>
      <w:r w:rsidR="00900FB0">
        <w:rPr>
          <w:rFonts w:eastAsia="MS Mincho"/>
        </w:rPr>
        <w:t>.</w:t>
      </w:r>
    </w:p>
    <w:p w:rsidR="00B40550" w:rsidRDefault="00B8549E" w:rsidP="00B40550">
      <w:pPr>
        <w:pStyle w:val="SingleTxtG"/>
        <w:rPr>
          <w:rFonts w:eastAsia="MS Mincho"/>
        </w:rPr>
      </w:pPr>
      <w:r w:rsidRPr="00A35048">
        <w:rPr>
          <w:rFonts w:eastAsia="MS Mincho"/>
        </w:rPr>
        <w:t>6.</w:t>
      </w:r>
      <w:r w:rsidRPr="00A35048">
        <w:rPr>
          <w:rFonts w:eastAsia="MS Mincho"/>
        </w:rPr>
        <w:tab/>
      </w:r>
      <w:r w:rsidR="00B40550">
        <w:rPr>
          <w:rFonts w:eastAsia="MS Mincho"/>
        </w:rPr>
        <w:t>The amendment to p</w:t>
      </w:r>
      <w:r w:rsidR="00B40550" w:rsidRPr="00AA36B6">
        <w:rPr>
          <w:rFonts w:eastAsia="MS Mincho"/>
        </w:rPr>
        <w:t>aragraph</w:t>
      </w:r>
      <w:r w:rsidR="00B40550">
        <w:rPr>
          <w:rFonts w:eastAsia="MS Mincho"/>
        </w:rPr>
        <w:t xml:space="preserve"> </w:t>
      </w:r>
      <w:r w:rsidR="00B40550" w:rsidRPr="00AA36B6">
        <w:rPr>
          <w:rFonts w:eastAsia="MS Mincho"/>
        </w:rPr>
        <w:t>3.3.3.1. of Annex 11</w:t>
      </w:r>
      <w:r w:rsidR="00B40550">
        <w:rPr>
          <w:rFonts w:eastAsia="MS Mincho"/>
        </w:rPr>
        <w:t xml:space="preserve"> </w:t>
      </w:r>
      <w:r w:rsidR="00877BEC">
        <w:rPr>
          <w:rFonts w:eastAsia="MS Mincho"/>
        </w:rPr>
        <w:t>aims at correcting</w:t>
      </w:r>
      <w:r w:rsidR="00B40550">
        <w:rPr>
          <w:rFonts w:eastAsia="MS Mincho"/>
        </w:rPr>
        <w:t xml:space="preserve"> an error. The referenc</w:t>
      </w:r>
      <w:r w:rsidR="00B46BC4">
        <w:rPr>
          <w:rFonts w:eastAsia="MS Mincho"/>
        </w:rPr>
        <w:t>e should be to the emissions of Non-Methane Hydrocarbons</w:t>
      </w:r>
      <w:r w:rsidR="00B40550">
        <w:rPr>
          <w:rFonts w:eastAsia="MS Mincho"/>
        </w:rPr>
        <w:t xml:space="preserve"> (NMHC) </w:t>
      </w:r>
      <w:r w:rsidR="00B46BC4">
        <w:rPr>
          <w:rFonts w:eastAsia="MS Mincho"/>
        </w:rPr>
        <w:t>instead of Total H</w:t>
      </w:r>
      <w:r w:rsidR="00A846AA">
        <w:rPr>
          <w:rFonts w:eastAsia="MS Mincho"/>
        </w:rPr>
        <w:t>ydrocarbons</w:t>
      </w:r>
      <w:r w:rsidR="00B40550">
        <w:rPr>
          <w:rFonts w:eastAsia="MS Mincho"/>
        </w:rPr>
        <w:t xml:space="preserve"> (THC)</w:t>
      </w:r>
      <w:r w:rsidR="00D321E3">
        <w:rPr>
          <w:rFonts w:eastAsia="MS Mincho"/>
        </w:rPr>
        <w:t xml:space="preserve">, since limits </w:t>
      </w:r>
      <w:r w:rsidR="00B40550">
        <w:rPr>
          <w:rFonts w:eastAsia="MS Mincho"/>
        </w:rPr>
        <w:t>in paragraph 3.3.2. of Annex 11</w:t>
      </w:r>
      <w:r w:rsidR="00D321E3">
        <w:rPr>
          <w:rFonts w:eastAsia="MS Mincho"/>
        </w:rPr>
        <w:t xml:space="preserve"> are provided for NMHC</w:t>
      </w:r>
      <w:r w:rsidR="00B40550">
        <w:rPr>
          <w:rFonts w:eastAsia="MS Mincho"/>
        </w:rPr>
        <w:t>.</w:t>
      </w:r>
    </w:p>
    <w:p w:rsidR="00EF1171" w:rsidRDefault="00B8549E" w:rsidP="00EF1171">
      <w:pPr>
        <w:pStyle w:val="SingleTxtG"/>
        <w:rPr>
          <w:rFonts w:eastAsia="MS Mincho"/>
        </w:rPr>
      </w:pPr>
      <w:r w:rsidRPr="00A35048">
        <w:rPr>
          <w:rFonts w:eastAsia="MS Mincho"/>
        </w:rPr>
        <w:t>7.</w:t>
      </w:r>
      <w:r w:rsidRPr="00A35048">
        <w:rPr>
          <w:rFonts w:eastAsia="MS Mincho"/>
        </w:rPr>
        <w:tab/>
      </w:r>
      <w:r w:rsidR="00EF1171">
        <w:rPr>
          <w:rFonts w:eastAsia="MS Mincho"/>
        </w:rPr>
        <w:t>The amendment to p</w:t>
      </w:r>
      <w:r w:rsidR="00EF1171" w:rsidRPr="00E14260">
        <w:rPr>
          <w:rFonts w:eastAsia="MS Mincho"/>
        </w:rPr>
        <w:t>aragraph</w:t>
      </w:r>
      <w:r w:rsidR="00EF1171">
        <w:rPr>
          <w:rFonts w:eastAsia="MS Mincho"/>
        </w:rPr>
        <w:t>s</w:t>
      </w:r>
      <w:r w:rsidR="00EF1171" w:rsidRPr="00E14260">
        <w:rPr>
          <w:rFonts w:eastAsia="MS Mincho"/>
        </w:rPr>
        <w:t xml:space="preserve"> 3.3.</w:t>
      </w:r>
      <w:r w:rsidR="00EF1171">
        <w:rPr>
          <w:rFonts w:eastAsia="MS Mincho"/>
        </w:rPr>
        <w:t>3</w:t>
      </w:r>
      <w:r w:rsidR="00EF1171" w:rsidRPr="00E14260">
        <w:rPr>
          <w:rFonts w:eastAsia="MS Mincho"/>
        </w:rPr>
        <w:t>.</w:t>
      </w:r>
      <w:r w:rsidR="00EF1171">
        <w:rPr>
          <w:rFonts w:eastAsia="MS Mincho"/>
        </w:rPr>
        <w:t>4.</w:t>
      </w:r>
      <w:r w:rsidR="003F5021">
        <w:rPr>
          <w:rFonts w:eastAsia="MS Mincho"/>
        </w:rPr>
        <w:t>,</w:t>
      </w:r>
      <w:r w:rsidR="00EF1171">
        <w:rPr>
          <w:rFonts w:eastAsia="MS Mincho"/>
        </w:rPr>
        <w:t xml:space="preserve"> 3.3.4.4. </w:t>
      </w:r>
      <w:r w:rsidR="003F5021">
        <w:rPr>
          <w:rFonts w:eastAsia="MS Mincho"/>
        </w:rPr>
        <w:t xml:space="preserve">and 3.3.5. </w:t>
      </w:r>
      <w:r w:rsidR="00EF1171" w:rsidRPr="00E14260">
        <w:rPr>
          <w:rFonts w:eastAsia="MS Mincho"/>
        </w:rPr>
        <w:t>of Annex 11</w:t>
      </w:r>
      <w:r w:rsidR="00EF1171">
        <w:rPr>
          <w:rFonts w:eastAsia="MS Mincho"/>
        </w:rPr>
        <w:t xml:space="preserve"> replace</w:t>
      </w:r>
      <w:r w:rsidR="003F5021">
        <w:rPr>
          <w:rFonts w:eastAsia="MS Mincho"/>
        </w:rPr>
        <w:t>s</w:t>
      </w:r>
      <w:r w:rsidR="00EF1171">
        <w:rPr>
          <w:rFonts w:eastAsia="MS Mincho"/>
        </w:rPr>
        <w:t xml:space="preserve"> </w:t>
      </w:r>
      <w:r w:rsidR="00EF1171" w:rsidRPr="00A969EB">
        <w:rPr>
          <w:lang w:val="en-US"/>
        </w:rPr>
        <w:t>"</w:t>
      </w:r>
      <w:r w:rsidR="00EF1171">
        <w:rPr>
          <w:rFonts w:eastAsia="MS Mincho"/>
        </w:rPr>
        <w:t>limits</w:t>
      </w:r>
      <w:r w:rsidR="00EF1171" w:rsidRPr="00A969EB">
        <w:rPr>
          <w:lang w:val="en-US"/>
        </w:rPr>
        <w:t>"</w:t>
      </w:r>
      <w:r w:rsidR="00E73ED4">
        <w:rPr>
          <w:rFonts w:eastAsia="MS Mincho"/>
        </w:rPr>
        <w:t xml:space="preserve"> by</w:t>
      </w:r>
      <w:r w:rsidR="00EF1171">
        <w:rPr>
          <w:rFonts w:eastAsia="MS Mincho"/>
        </w:rPr>
        <w:t xml:space="preserve"> </w:t>
      </w:r>
      <w:r w:rsidR="00EF1171" w:rsidRPr="00A969EB">
        <w:rPr>
          <w:lang w:val="en-US"/>
        </w:rPr>
        <w:t>"</w:t>
      </w:r>
      <w:r w:rsidR="00EF1171">
        <w:rPr>
          <w:rFonts w:eastAsia="MS Mincho"/>
        </w:rPr>
        <w:t>OBD threshold limits</w:t>
      </w:r>
      <w:r w:rsidR="00EF1171" w:rsidRPr="00A969EB">
        <w:rPr>
          <w:lang w:val="en-US"/>
        </w:rPr>
        <w:t>"</w:t>
      </w:r>
      <w:r w:rsidR="00E73ED4">
        <w:rPr>
          <w:rFonts w:eastAsia="MS Mincho"/>
        </w:rPr>
        <w:t xml:space="preserve"> </w:t>
      </w:r>
      <w:r w:rsidR="00EF1171">
        <w:rPr>
          <w:rFonts w:eastAsia="MS Mincho"/>
        </w:rPr>
        <w:t xml:space="preserve">to clarity that this is a reference to the OBD threshold limits and not </w:t>
      </w:r>
      <w:r w:rsidR="00914131">
        <w:rPr>
          <w:rFonts w:eastAsia="MS Mincho"/>
        </w:rPr>
        <w:t xml:space="preserve">to </w:t>
      </w:r>
      <w:r w:rsidR="00EF1171">
        <w:rPr>
          <w:rFonts w:eastAsia="MS Mincho"/>
        </w:rPr>
        <w:t>the emissions limits in Table 1 in paragraph 5.3.1.4. of the Regulation.</w:t>
      </w:r>
    </w:p>
    <w:p w:rsidR="00F83739" w:rsidRPr="005135AF" w:rsidRDefault="003F5021" w:rsidP="00F83739">
      <w:pPr>
        <w:pStyle w:val="SingleTxtG"/>
        <w:rPr>
          <w:lang w:val="en-US"/>
        </w:rPr>
      </w:pPr>
      <w:r>
        <w:rPr>
          <w:rFonts w:eastAsia="MS Mincho"/>
        </w:rPr>
        <w:t>8</w:t>
      </w:r>
      <w:r w:rsidR="00EF1171">
        <w:rPr>
          <w:rFonts w:eastAsia="MS Mincho"/>
        </w:rPr>
        <w:t>.</w:t>
      </w:r>
      <w:r w:rsidR="00EF1171">
        <w:rPr>
          <w:rFonts w:eastAsia="MS Mincho"/>
        </w:rPr>
        <w:tab/>
      </w:r>
      <w:r w:rsidR="00F83739">
        <w:rPr>
          <w:rFonts w:eastAsia="MS Mincho"/>
        </w:rPr>
        <w:t xml:space="preserve">The addition of the </w:t>
      </w:r>
      <w:r w:rsidR="00EB228C">
        <w:rPr>
          <w:rFonts w:eastAsia="MS Mincho"/>
        </w:rPr>
        <w:t>wording</w:t>
      </w:r>
      <w:r w:rsidR="00F83739">
        <w:rPr>
          <w:rFonts w:eastAsia="MS Mincho"/>
        </w:rPr>
        <w:t xml:space="preserve"> </w:t>
      </w:r>
      <w:r w:rsidR="00F83739" w:rsidRPr="00A969EB">
        <w:rPr>
          <w:lang w:val="en-US"/>
        </w:rPr>
        <w:t>"</w:t>
      </w:r>
      <w:r w:rsidR="00F83739" w:rsidRPr="00CA70D7">
        <w:rPr>
          <w:rFonts w:eastAsia="MS Mincho"/>
        </w:rPr>
        <w:t>in paragraph 5.3.1.4. of this Regulation</w:t>
      </w:r>
      <w:r w:rsidR="00F83739" w:rsidRPr="00A969EB">
        <w:rPr>
          <w:lang w:val="en-US"/>
        </w:rPr>
        <w:t>"</w:t>
      </w:r>
      <w:r w:rsidR="0097084A">
        <w:rPr>
          <w:rFonts w:eastAsia="MS Mincho"/>
        </w:rPr>
        <w:t xml:space="preserve"> in</w:t>
      </w:r>
      <w:r w:rsidR="00F83739">
        <w:rPr>
          <w:rFonts w:eastAsia="MS Mincho"/>
        </w:rPr>
        <w:t xml:space="preserve"> paragraph 3.3.5.1. </w:t>
      </w:r>
      <w:r w:rsidR="00D161EB">
        <w:rPr>
          <w:rFonts w:eastAsia="MS Mincho"/>
        </w:rPr>
        <w:t>of</w:t>
      </w:r>
      <w:r w:rsidR="00212C29">
        <w:rPr>
          <w:rFonts w:eastAsia="MS Mincho"/>
        </w:rPr>
        <w:t xml:space="preserve"> Annex 11 in the 07 series of amendments </w:t>
      </w:r>
      <w:r w:rsidR="00D161EB">
        <w:rPr>
          <w:rFonts w:eastAsia="MS Mincho"/>
        </w:rPr>
        <w:t>aims at clarifying</w:t>
      </w:r>
      <w:r w:rsidR="00F83739">
        <w:rPr>
          <w:rFonts w:eastAsia="MS Mincho"/>
        </w:rPr>
        <w:t xml:space="preserve"> that the emissions limits being referred to are those in Table 1 in </w:t>
      </w:r>
      <w:r w:rsidR="00F83739" w:rsidRPr="00CA70D7">
        <w:rPr>
          <w:rFonts w:eastAsia="MS Mincho"/>
        </w:rPr>
        <w:t xml:space="preserve">paragraph 5.3.1.4. </w:t>
      </w:r>
      <w:r w:rsidR="00F83739">
        <w:rPr>
          <w:rFonts w:eastAsia="MS Mincho"/>
        </w:rPr>
        <w:t>of the Regulation and not the OBD threshold limits in paragraph 3.3.2. of Annex 11.</w:t>
      </w:r>
    </w:p>
    <w:p w:rsidR="005C7411" w:rsidRPr="00FD4196" w:rsidRDefault="005C7411" w:rsidP="00023BEA">
      <w:pPr>
        <w:pStyle w:val="SingleTxtG"/>
        <w:spacing w:before="240" w:after="0"/>
        <w:jc w:val="center"/>
        <w:rPr>
          <w:u w:val="single"/>
        </w:rPr>
      </w:pPr>
      <w:r w:rsidRPr="00FD4196">
        <w:rPr>
          <w:u w:val="single"/>
        </w:rPr>
        <w:tab/>
      </w:r>
      <w:r w:rsidRPr="00FD4196">
        <w:rPr>
          <w:u w:val="single"/>
        </w:rPr>
        <w:tab/>
      </w:r>
      <w:r w:rsidRPr="00FD4196">
        <w:rPr>
          <w:u w:val="single"/>
        </w:rPr>
        <w:tab/>
      </w:r>
    </w:p>
    <w:sectPr w:rsidR="005C7411" w:rsidRPr="00FD4196" w:rsidSect="006222E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705" w:rsidRDefault="00E42705"/>
  </w:endnote>
  <w:endnote w:type="continuationSeparator" w:id="0">
    <w:p w:rsidR="00E42705" w:rsidRDefault="00E42705"/>
  </w:endnote>
  <w:endnote w:type="continuationNotice" w:id="1">
    <w:p w:rsidR="00E42705" w:rsidRDefault="00E42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526120">
      <w:rPr>
        <w:b/>
        <w:noProof/>
        <w:sz w:val="18"/>
      </w:rPr>
      <w:t>4</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526120">
      <w:rPr>
        <w:b/>
        <w:noProof/>
        <w:sz w:val="18"/>
      </w:rPr>
      <w:t>5</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705" w:rsidRPr="000B175B" w:rsidRDefault="00E42705" w:rsidP="000B175B">
      <w:pPr>
        <w:tabs>
          <w:tab w:val="right" w:pos="2155"/>
        </w:tabs>
        <w:spacing w:after="80"/>
        <w:ind w:left="680"/>
        <w:rPr>
          <w:u w:val="single"/>
        </w:rPr>
      </w:pPr>
      <w:r>
        <w:rPr>
          <w:u w:val="single"/>
        </w:rPr>
        <w:tab/>
      </w:r>
    </w:p>
  </w:footnote>
  <w:footnote w:type="continuationSeparator" w:id="0">
    <w:p w:rsidR="00E42705" w:rsidRPr="00FC68B7" w:rsidRDefault="00E42705" w:rsidP="00FC68B7">
      <w:pPr>
        <w:tabs>
          <w:tab w:val="left" w:pos="2155"/>
        </w:tabs>
        <w:spacing w:after="80"/>
        <w:ind w:left="680"/>
        <w:rPr>
          <w:u w:val="single"/>
        </w:rPr>
      </w:pPr>
      <w:r>
        <w:rPr>
          <w:u w:val="single"/>
        </w:rPr>
        <w:tab/>
      </w:r>
    </w:p>
  </w:footnote>
  <w:footnote w:type="continuationNotice" w:id="1">
    <w:p w:rsidR="00E42705" w:rsidRDefault="00E42705"/>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 xml:space="preserve">In accordance with the </w:t>
      </w:r>
      <w:proofErr w:type="spellStart"/>
      <w:r w:rsidR="00616015" w:rsidRPr="00C04C5C">
        <w:rPr>
          <w:szCs w:val="18"/>
          <w:lang w:val="en-US"/>
        </w:rPr>
        <w:t>programme</w:t>
      </w:r>
      <w:proofErr w:type="spellEnd"/>
      <w:r w:rsidR="00616015" w:rsidRPr="00C04C5C">
        <w:rPr>
          <w:szCs w:val="18"/>
          <w:lang w:val="en-US"/>
        </w:rPr>
        <w:t xml:space="preserv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proofErr w:type="spellStart"/>
      <w:r w:rsidR="00616015" w:rsidRPr="00C04C5C">
        <w:rPr>
          <w:szCs w:val="18"/>
          <w:lang w:val="en-US"/>
        </w:rPr>
        <w:t>programme</w:t>
      </w:r>
      <w:proofErr w:type="spellEnd"/>
      <w:r w:rsidR="00616015" w:rsidRPr="00C04C5C">
        <w:rPr>
          <w:szCs w:val="18"/>
          <w:lang w:val="en-US"/>
        </w:rPr>
        <w:t xml:space="preserv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7E5C8F" w:rsidP="00BD7245">
    <w:pPr>
      <w:pStyle w:val="Header"/>
      <w:rPr>
        <w:lang w:val="fr-CH"/>
      </w:rPr>
    </w:pPr>
    <w:r>
      <w:rPr>
        <w:lang w:val="fr-CH"/>
      </w:rPr>
      <w:t>ECE/TRANS/WP.29/GRPE/2016</w:t>
    </w:r>
    <w:r w:rsidR="00DB2094">
      <w:rPr>
        <w:lang w:val="fr-CH"/>
      </w:rPr>
      <w:t>/</w:t>
    </w:r>
    <w:r w:rsidR="00CB5D7B">
      <w:rPr>
        <w:lang w:val="fr-CH"/>
      </w:rPr>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EE16EE" w:rsidP="00BD7245">
    <w:pPr>
      <w:pStyle w:val="Header"/>
      <w:jc w:val="right"/>
      <w:rPr>
        <w:lang w:val="fr-CH"/>
      </w:rPr>
    </w:pPr>
    <w:r>
      <w:rPr>
        <w:lang w:val="fr-CH"/>
      </w:rPr>
      <w:t>ECE/TRANS/WP.29/GRPE/201</w:t>
    </w:r>
    <w:r w:rsidR="005F5F8A">
      <w:rPr>
        <w:lang w:val="fr-CH"/>
      </w:rPr>
      <w:t>6</w:t>
    </w:r>
    <w:r>
      <w:rPr>
        <w:lang w:val="fr-CH"/>
      </w:rPr>
      <w:t>/</w:t>
    </w:r>
    <w:r w:rsidR="00AF3FB9">
      <w:rPr>
        <w:lang w:val="fr-CH"/>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8"/>
  </w:num>
  <w:num w:numId="18">
    <w:abstractNumId w:val="24"/>
  </w:num>
  <w:num w:numId="19">
    <w:abstractNumId w:val="19"/>
  </w:num>
  <w:num w:numId="20">
    <w:abstractNumId w:val="18"/>
  </w:num>
  <w:num w:numId="21">
    <w:abstractNumId w:val="17"/>
  </w:num>
  <w:num w:numId="22">
    <w:abstractNumId w:val="25"/>
  </w:num>
  <w:num w:numId="23">
    <w:abstractNumId w:val="29"/>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D45CC9"/>
    <w:rsid w:val="00002EAF"/>
    <w:rsid w:val="000030A6"/>
    <w:rsid w:val="000060FD"/>
    <w:rsid w:val="0001163B"/>
    <w:rsid w:val="00012209"/>
    <w:rsid w:val="00012662"/>
    <w:rsid w:val="00012908"/>
    <w:rsid w:val="00015498"/>
    <w:rsid w:val="000236A2"/>
    <w:rsid w:val="00023BEA"/>
    <w:rsid w:val="000246CC"/>
    <w:rsid w:val="00025AFC"/>
    <w:rsid w:val="00027783"/>
    <w:rsid w:val="00027A69"/>
    <w:rsid w:val="00031B3A"/>
    <w:rsid w:val="00033010"/>
    <w:rsid w:val="00033466"/>
    <w:rsid w:val="00033A4F"/>
    <w:rsid w:val="00037858"/>
    <w:rsid w:val="00040591"/>
    <w:rsid w:val="000405D9"/>
    <w:rsid w:val="00042D24"/>
    <w:rsid w:val="00043D2E"/>
    <w:rsid w:val="00045C21"/>
    <w:rsid w:val="00045DFD"/>
    <w:rsid w:val="00046B1F"/>
    <w:rsid w:val="0005081A"/>
    <w:rsid w:val="00050F6B"/>
    <w:rsid w:val="0005211C"/>
    <w:rsid w:val="00052635"/>
    <w:rsid w:val="00052F85"/>
    <w:rsid w:val="00054104"/>
    <w:rsid w:val="00054B69"/>
    <w:rsid w:val="00054D92"/>
    <w:rsid w:val="00055260"/>
    <w:rsid w:val="00055345"/>
    <w:rsid w:val="000554E7"/>
    <w:rsid w:val="000558D9"/>
    <w:rsid w:val="000577B6"/>
    <w:rsid w:val="00057E97"/>
    <w:rsid w:val="00062839"/>
    <w:rsid w:val="000646F4"/>
    <w:rsid w:val="00065CA7"/>
    <w:rsid w:val="00066761"/>
    <w:rsid w:val="00066D3B"/>
    <w:rsid w:val="000675FD"/>
    <w:rsid w:val="00070947"/>
    <w:rsid w:val="00070A26"/>
    <w:rsid w:val="00070F1B"/>
    <w:rsid w:val="0007134E"/>
    <w:rsid w:val="00071A73"/>
    <w:rsid w:val="00072C8C"/>
    <w:rsid w:val="000733B5"/>
    <w:rsid w:val="00073C2B"/>
    <w:rsid w:val="00073E4C"/>
    <w:rsid w:val="00074498"/>
    <w:rsid w:val="00074527"/>
    <w:rsid w:val="00075781"/>
    <w:rsid w:val="0007716C"/>
    <w:rsid w:val="0007777D"/>
    <w:rsid w:val="0007792A"/>
    <w:rsid w:val="00081815"/>
    <w:rsid w:val="000840B6"/>
    <w:rsid w:val="00084EC7"/>
    <w:rsid w:val="000859C1"/>
    <w:rsid w:val="00086456"/>
    <w:rsid w:val="00087B2E"/>
    <w:rsid w:val="0009000C"/>
    <w:rsid w:val="000915C8"/>
    <w:rsid w:val="00091C16"/>
    <w:rsid w:val="0009252F"/>
    <w:rsid w:val="0009284D"/>
    <w:rsid w:val="000931C0"/>
    <w:rsid w:val="00097EF2"/>
    <w:rsid w:val="000A27AC"/>
    <w:rsid w:val="000A2A1D"/>
    <w:rsid w:val="000A2FB0"/>
    <w:rsid w:val="000A3650"/>
    <w:rsid w:val="000A3C46"/>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5647"/>
    <w:rsid w:val="000C66C8"/>
    <w:rsid w:val="000D245A"/>
    <w:rsid w:val="000D3C51"/>
    <w:rsid w:val="000D3E5C"/>
    <w:rsid w:val="000D4B33"/>
    <w:rsid w:val="000D64F9"/>
    <w:rsid w:val="000D7665"/>
    <w:rsid w:val="000D7F00"/>
    <w:rsid w:val="000E0415"/>
    <w:rsid w:val="000E0854"/>
    <w:rsid w:val="000E1D94"/>
    <w:rsid w:val="000E48B0"/>
    <w:rsid w:val="000E4D42"/>
    <w:rsid w:val="000E5276"/>
    <w:rsid w:val="000E70B3"/>
    <w:rsid w:val="000E73A7"/>
    <w:rsid w:val="000E7CC6"/>
    <w:rsid w:val="000E7E02"/>
    <w:rsid w:val="000F1142"/>
    <w:rsid w:val="000F1E65"/>
    <w:rsid w:val="000F3975"/>
    <w:rsid w:val="000F39F3"/>
    <w:rsid w:val="000F47F4"/>
    <w:rsid w:val="000F56BA"/>
    <w:rsid w:val="000F5C3B"/>
    <w:rsid w:val="000F6BFF"/>
    <w:rsid w:val="000F7EF2"/>
    <w:rsid w:val="000F7F91"/>
    <w:rsid w:val="00100059"/>
    <w:rsid w:val="00102531"/>
    <w:rsid w:val="0010362C"/>
    <w:rsid w:val="001039D1"/>
    <w:rsid w:val="001052FD"/>
    <w:rsid w:val="001067FA"/>
    <w:rsid w:val="00106F05"/>
    <w:rsid w:val="00107257"/>
    <w:rsid w:val="00107694"/>
    <w:rsid w:val="001076F0"/>
    <w:rsid w:val="001103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31483"/>
    <w:rsid w:val="00131EAA"/>
    <w:rsid w:val="00135337"/>
    <w:rsid w:val="001363FA"/>
    <w:rsid w:val="00136C8D"/>
    <w:rsid w:val="00137F6B"/>
    <w:rsid w:val="00140460"/>
    <w:rsid w:val="001410FB"/>
    <w:rsid w:val="001418F0"/>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892"/>
    <w:rsid w:val="00156683"/>
    <w:rsid w:val="00157968"/>
    <w:rsid w:val="001603C3"/>
    <w:rsid w:val="001617DC"/>
    <w:rsid w:val="00164FDA"/>
    <w:rsid w:val="00165F3A"/>
    <w:rsid w:val="0017009D"/>
    <w:rsid w:val="00171426"/>
    <w:rsid w:val="00174F20"/>
    <w:rsid w:val="001754B0"/>
    <w:rsid w:val="001760B5"/>
    <w:rsid w:val="0018046F"/>
    <w:rsid w:val="00182131"/>
    <w:rsid w:val="00182290"/>
    <w:rsid w:val="00182D78"/>
    <w:rsid w:val="001849BC"/>
    <w:rsid w:val="00190059"/>
    <w:rsid w:val="001910A7"/>
    <w:rsid w:val="001911FF"/>
    <w:rsid w:val="00193FAC"/>
    <w:rsid w:val="001949CC"/>
    <w:rsid w:val="00195D6F"/>
    <w:rsid w:val="00197992"/>
    <w:rsid w:val="001A0D98"/>
    <w:rsid w:val="001A1D30"/>
    <w:rsid w:val="001A207D"/>
    <w:rsid w:val="001A3521"/>
    <w:rsid w:val="001A3955"/>
    <w:rsid w:val="001A4FE3"/>
    <w:rsid w:val="001A5E0D"/>
    <w:rsid w:val="001A671B"/>
    <w:rsid w:val="001A6EDB"/>
    <w:rsid w:val="001A7CE2"/>
    <w:rsid w:val="001B0543"/>
    <w:rsid w:val="001B333D"/>
    <w:rsid w:val="001B3821"/>
    <w:rsid w:val="001B4B04"/>
    <w:rsid w:val="001B62A4"/>
    <w:rsid w:val="001B673D"/>
    <w:rsid w:val="001B7473"/>
    <w:rsid w:val="001B7D29"/>
    <w:rsid w:val="001C5165"/>
    <w:rsid w:val="001C53DC"/>
    <w:rsid w:val="001C5B58"/>
    <w:rsid w:val="001C6663"/>
    <w:rsid w:val="001C73CA"/>
    <w:rsid w:val="001C7895"/>
    <w:rsid w:val="001C7B02"/>
    <w:rsid w:val="001D06AD"/>
    <w:rsid w:val="001D0C8C"/>
    <w:rsid w:val="001D1419"/>
    <w:rsid w:val="001D2486"/>
    <w:rsid w:val="001D26DF"/>
    <w:rsid w:val="001D2E31"/>
    <w:rsid w:val="001D2EB9"/>
    <w:rsid w:val="001D3233"/>
    <w:rsid w:val="001D3A03"/>
    <w:rsid w:val="001D4790"/>
    <w:rsid w:val="001D4C3B"/>
    <w:rsid w:val="001D6001"/>
    <w:rsid w:val="001D79DE"/>
    <w:rsid w:val="001E3759"/>
    <w:rsid w:val="001E44EA"/>
    <w:rsid w:val="001E678C"/>
    <w:rsid w:val="001E6BCB"/>
    <w:rsid w:val="001E70A4"/>
    <w:rsid w:val="001E7B67"/>
    <w:rsid w:val="001F05D7"/>
    <w:rsid w:val="001F0A89"/>
    <w:rsid w:val="001F2678"/>
    <w:rsid w:val="001F3A08"/>
    <w:rsid w:val="001F3AAD"/>
    <w:rsid w:val="001F484D"/>
    <w:rsid w:val="001F4AD7"/>
    <w:rsid w:val="001F5F29"/>
    <w:rsid w:val="001F64D1"/>
    <w:rsid w:val="00200979"/>
    <w:rsid w:val="002013DA"/>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2C29"/>
    <w:rsid w:val="0021442B"/>
    <w:rsid w:val="00214974"/>
    <w:rsid w:val="00214A53"/>
    <w:rsid w:val="00214EDB"/>
    <w:rsid w:val="00215213"/>
    <w:rsid w:val="00216B2B"/>
    <w:rsid w:val="00223E57"/>
    <w:rsid w:val="0022630B"/>
    <w:rsid w:val="00227EAC"/>
    <w:rsid w:val="0023123D"/>
    <w:rsid w:val="0023493D"/>
    <w:rsid w:val="0023522E"/>
    <w:rsid w:val="00236DAB"/>
    <w:rsid w:val="00236EA9"/>
    <w:rsid w:val="00240C92"/>
    <w:rsid w:val="00241B9A"/>
    <w:rsid w:val="002450A2"/>
    <w:rsid w:val="00245FD8"/>
    <w:rsid w:val="00246A4B"/>
    <w:rsid w:val="0024715F"/>
    <w:rsid w:val="0024772E"/>
    <w:rsid w:val="00247BF7"/>
    <w:rsid w:val="00252825"/>
    <w:rsid w:val="00253A44"/>
    <w:rsid w:val="00254F7D"/>
    <w:rsid w:val="002577D6"/>
    <w:rsid w:val="00260039"/>
    <w:rsid w:val="00263E13"/>
    <w:rsid w:val="00264FD3"/>
    <w:rsid w:val="002656E0"/>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B01"/>
    <w:rsid w:val="002945AE"/>
    <w:rsid w:val="0029703F"/>
    <w:rsid w:val="0029709B"/>
    <w:rsid w:val="00297C3F"/>
    <w:rsid w:val="002A0FFD"/>
    <w:rsid w:val="002A18A5"/>
    <w:rsid w:val="002A1CB8"/>
    <w:rsid w:val="002A4724"/>
    <w:rsid w:val="002A4914"/>
    <w:rsid w:val="002A4CDC"/>
    <w:rsid w:val="002A61A4"/>
    <w:rsid w:val="002A6964"/>
    <w:rsid w:val="002A77EE"/>
    <w:rsid w:val="002B4850"/>
    <w:rsid w:val="002B53DC"/>
    <w:rsid w:val="002B66AC"/>
    <w:rsid w:val="002B6D65"/>
    <w:rsid w:val="002C0600"/>
    <w:rsid w:val="002C1557"/>
    <w:rsid w:val="002C30EA"/>
    <w:rsid w:val="002C38E8"/>
    <w:rsid w:val="002C3E6E"/>
    <w:rsid w:val="002C5723"/>
    <w:rsid w:val="002C5A0A"/>
    <w:rsid w:val="002C6107"/>
    <w:rsid w:val="002C68C3"/>
    <w:rsid w:val="002D16CF"/>
    <w:rsid w:val="002D174D"/>
    <w:rsid w:val="002D2433"/>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333C"/>
    <w:rsid w:val="002F50B2"/>
    <w:rsid w:val="002F590C"/>
    <w:rsid w:val="002F63F0"/>
    <w:rsid w:val="002F6B3B"/>
    <w:rsid w:val="002F6E7B"/>
    <w:rsid w:val="002F7C7C"/>
    <w:rsid w:val="002F7DE0"/>
    <w:rsid w:val="003007CC"/>
    <w:rsid w:val="00300B08"/>
    <w:rsid w:val="00302DA5"/>
    <w:rsid w:val="00302E18"/>
    <w:rsid w:val="003032FB"/>
    <w:rsid w:val="00303AF8"/>
    <w:rsid w:val="00304321"/>
    <w:rsid w:val="00304B5B"/>
    <w:rsid w:val="00304BEF"/>
    <w:rsid w:val="0030555B"/>
    <w:rsid w:val="00307164"/>
    <w:rsid w:val="003072DF"/>
    <w:rsid w:val="003122B3"/>
    <w:rsid w:val="0031298E"/>
    <w:rsid w:val="00312CFC"/>
    <w:rsid w:val="00313911"/>
    <w:rsid w:val="00314805"/>
    <w:rsid w:val="00315F24"/>
    <w:rsid w:val="00320865"/>
    <w:rsid w:val="0032289D"/>
    <w:rsid w:val="003229D8"/>
    <w:rsid w:val="00323143"/>
    <w:rsid w:val="00324864"/>
    <w:rsid w:val="0032589A"/>
    <w:rsid w:val="00325E75"/>
    <w:rsid w:val="003265CB"/>
    <w:rsid w:val="00326B9C"/>
    <w:rsid w:val="00331ACF"/>
    <w:rsid w:val="00331E36"/>
    <w:rsid w:val="00332E17"/>
    <w:rsid w:val="00333790"/>
    <w:rsid w:val="00334573"/>
    <w:rsid w:val="00334FE9"/>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EE2"/>
    <w:rsid w:val="003531E9"/>
    <w:rsid w:val="00354125"/>
    <w:rsid w:val="003579F5"/>
    <w:rsid w:val="00357B91"/>
    <w:rsid w:val="003619B5"/>
    <w:rsid w:val="00361AC3"/>
    <w:rsid w:val="00363CDE"/>
    <w:rsid w:val="00363F91"/>
    <w:rsid w:val="00365763"/>
    <w:rsid w:val="00365A07"/>
    <w:rsid w:val="00371178"/>
    <w:rsid w:val="0037169B"/>
    <w:rsid w:val="00374A06"/>
    <w:rsid w:val="00375546"/>
    <w:rsid w:val="00375D0F"/>
    <w:rsid w:val="003815AF"/>
    <w:rsid w:val="003821A5"/>
    <w:rsid w:val="003831BA"/>
    <w:rsid w:val="003833C3"/>
    <w:rsid w:val="003857A5"/>
    <w:rsid w:val="00386431"/>
    <w:rsid w:val="00386A4B"/>
    <w:rsid w:val="0038705A"/>
    <w:rsid w:val="00387384"/>
    <w:rsid w:val="003900DB"/>
    <w:rsid w:val="00391D3F"/>
    <w:rsid w:val="00392206"/>
    <w:rsid w:val="00392E47"/>
    <w:rsid w:val="003933EA"/>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8BA"/>
    <w:rsid w:val="003B5254"/>
    <w:rsid w:val="003B7F9A"/>
    <w:rsid w:val="003C01C3"/>
    <w:rsid w:val="003C021A"/>
    <w:rsid w:val="003C0B18"/>
    <w:rsid w:val="003C104B"/>
    <w:rsid w:val="003C2CC4"/>
    <w:rsid w:val="003C534D"/>
    <w:rsid w:val="003C54CA"/>
    <w:rsid w:val="003C57E6"/>
    <w:rsid w:val="003C5F72"/>
    <w:rsid w:val="003C6667"/>
    <w:rsid w:val="003C6943"/>
    <w:rsid w:val="003C6A00"/>
    <w:rsid w:val="003C6E98"/>
    <w:rsid w:val="003C6F87"/>
    <w:rsid w:val="003C7926"/>
    <w:rsid w:val="003C7C8A"/>
    <w:rsid w:val="003D0191"/>
    <w:rsid w:val="003D041D"/>
    <w:rsid w:val="003D0AC1"/>
    <w:rsid w:val="003D2D9B"/>
    <w:rsid w:val="003D301C"/>
    <w:rsid w:val="003D369E"/>
    <w:rsid w:val="003D427B"/>
    <w:rsid w:val="003D4784"/>
    <w:rsid w:val="003D4B23"/>
    <w:rsid w:val="003D66B8"/>
    <w:rsid w:val="003D6B33"/>
    <w:rsid w:val="003D6DA9"/>
    <w:rsid w:val="003D6E3C"/>
    <w:rsid w:val="003D7D56"/>
    <w:rsid w:val="003E00E3"/>
    <w:rsid w:val="003E10CF"/>
    <w:rsid w:val="003E130E"/>
    <w:rsid w:val="003E1A41"/>
    <w:rsid w:val="003E1EE1"/>
    <w:rsid w:val="003E1FF8"/>
    <w:rsid w:val="003E23A3"/>
    <w:rsid w:val="003E37E2"/>
    <w:rsid w:val="003E43C7"/>
    <w:rsid w:val="003E4BB1"/>
    <w:rsid w:val="003E60D2"/>
    <w:rsid w:val="003E630F"/>
    <w:rsid w:val="003E63C4"/>
    <w:rsid w:val="003E682E"/>
    <w:rsid w:val="003E75FD"/>
    <w:rsid w:val="003E79FF"/>
    <w:rsid w:val="003E7B4B"/>
    <w:rsid w:val="003E7D83"/>
    <w:rsid w:val="003F3AA4"/>
    <w:rsid w:val="003F3EC3"/>
    <w:rsid w:val="003F5021"/>
    <w:rsid w:val="003F613F"/>
    <w:rsid w:val="003F66FA"/>
    <w:rsid w:val="003F798C"/>
    <w:rsid w:val="003F7CBF"/>
    <w:rsid w:val="0040013F"/>
    <w:rsid w:val="004009E3"/>
    <w:rsid w:val="00400A0E"/>
    <w:rsid w:val="00401E80"/>
    <w:rsid w:val="00402A8E"/>
    <w:rsid w:val="00403443"/>
    <w:rsid w:val="004045DA"/>
    <w:rsid w:val="00405056"/>
    <w:rsid w:val="00405AFB"/>
    <w:rsid w:val="00407F84"/>
    <w:rsid w:val="00410462"/>
    <w:rsid w:val="00410C89"/>
    <w:rsid w:val="00410DE0"/>
    <w:rsid w:val="00411B4B"/>
    <w:rsid w:val="0041299D"/>
    <w:rsid w:val="0041347A"/>
    <w:rsid w:val="00413918"/>
    <w:rsid w:val="00414B03"/>
    <w:rsid w:val="0042039F"/>
    <w:rsid w:val="00421A40"/>
    <w:rsid w:val="00421DAB"/>
    <w:rsid w:val="00422AF5"/>
    <w:rsid w:val="00422E03"/>
    <w:rsid w:val="00424BF6"/>
    <w:rsid w:val="00425DD1"/>
    <w:rsid w:val="00426B9B"/>
    <w:rsid w:val="00427B7E"/>
    <w:rsid w:val="0043081A"/>
    <w:rsid w:val="00430988"/>
    <w:rsid w:val="004325CB"/>
    <w:rsid w:val="00433173"/>
    <w:rsid w:val="00435F1D"/>
    <w:rsid w:val="00436073"/>
    <w:rsid w:val="00437992"/>
    <w:rsid w:val="00440813"/>
    <w:rsid w:val="00441775"/>
    <w:rsid w:val="00441ACD"/>
    <w:rsid w:val="00442A83"/>
    <w:rsid w:val="00444661"/>
    <w:rsid w:val="004448AC"/>
    <w:rsid w:val="00447337"/>
    <w:rsid w:val="00447A4C"/>
    <w:rsid w:val="0045013F"/>
    <w:rsid w:val="00450191"/>
    <w:rsid w:val="00450B28"/>
    <w:rsid w:val="004519D6"/>
    <w:rsid w:val="004522D1"/>
    <w:rsid w:val="00452CEA"/>
    <w:rsid w:val="0045495B"/>
    <w:rsid w:val="00454EF0"/>
    <w:rsid w:val="004561E5"/>
    <w:rsid w:val="00463EB4"/>
    <w:rsid w:val="004648C8"/>
    <w:rsid w:val="004648CA"/>
    <w:rsid w:val="00470C76"/>
    <w:rsid w:val="00470FBC"/>
    <w:rsid w:val="00471929"/>
    <w:rsid w:val="0047221D"/>
    <w:rsid w:val="00473EA1"/>
    <w:rsid w:val="004778E7"/>
    <w:rsid w:val="0048107A"/>
    <w:rsid w:val="0048161D"/>
    <w:rsid w:val="00481FD3"/>
    <w:rsid w:val="0048271F"/>
    <w:rsid w:val="00482E1A"/>
    <w:rsid w:val="0048397A"/>
    <w:rsid w:val="004839E9"/>
    <w:rsid w:val="00485712"/>
    <w:rsid w:val="00485CBB"/>
    <w:rsid w:val="004865F9"/>
    <w:rsid w:val="004866B7"/>
    <w:rsid w:val="00486789"/>
    <w:rsid w:val="00486FFE"/>
    <w:rsid w:val="0048701E"/>
    <w:rsid w:val="00487123"/>
    <w:rsid w:val="00487DB2"/>
    <w:rsid w:val="00490D99"/>
    <w:rsid w:val="004918DF"/>
    <w:rsid w:val="00491985"/>
    <w:rsid w:val="004931FE"/>
    <w:rsid w:val="004968A5"/>
    <w:rsid w:val="00497E06"/>
    <w:rsid w:val="004A037B"/>
    <w:rsid w:val="004A0AEA"/>
    <w:rsid w:val="004A2257"/>
    <w:rsid w:val="004A346C"/>
    <w:rsid w:val="004A41C6"/>
    <w:rsid w:val="004A4FFA"/>
    <w:rsid w:val="004A5737"/>
    <w:rsid w:val="004A5BDD"/>
    <w:rsid w:val="004A7983"/>
    <w:rsid w:val="004B088E"/>
    <w:rsid w:val="004B11AD"/>
    <w:rsid w:val="004B2461"/>
    <w:rsid w:val="004B31DB"/>
    <w:rsid w:val="004B3B72"/>
    <w:rsid w:val="004B3C44"/>
    <w:rsid w:val="004B4149"/>
    <w:rsid w:val="004C046D"/>
    <w:rsid w:val="004C0F99"/>
    <w:rsid w:val="004C2276"/>
    <w:rsid w:val="004C2461"/>
    <w:rsid w:val="004C32BC"/>
    <w:rsid w:val="004C42B3"/>
    <w:rsid w:val="004C4363"/>
    <w:rsid w:val="004C46ED"/>
    <w:rsid w:val="004C4911"/>
    <w:rsid w:val="004C5E1F"/>
    <w:rsid w:val="004C727E"/>
    <w:rsid w:val="004C7462"/>
    <w:rsid w:val="004C7A75"/>
    <w:rsid w:val="004D00E2"/>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4D2"/>
    <w:rsid w:val="004F6C66"/>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0FC6"/>
    <w:rsid w:val="0052136D"/>
    <w:rsid w:val="00521558"/>
    <w:rsid w:val="00526120"/>
    <w:rsid w:val="00526425"/>
    <w:rsid w:val="00526A2D"/>
    <w:rsid w:val="0052775E"/>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4A6E"/>
    <w:rsid w:val="00545350"/>
    <w:rsid w:val="00546D35"/>
    <w:rsid w:val="0055039D"/>
    <w:rsid w:val="00551D91"/>
    <w:rsid w:val="00552597"/>
    <w:rsid w:val="005543E8"/>
    <w:rsid w:val="00554BEE"/>
    <w:rsid w:val="00555F33"/>
    <w:rsid w:val="005578F7"/>
    <w:rsid w:val="00561068"/>
    <w:rsid w:val="0056209A"/>
    <w:rsid w:val="00562410"/>
    <w:rsid w:val="005628B6"/>
    <w:rsid w:val="0056329E"/>
    <w:rsid w:val="0056399C"/>
    <w:rsid w:val="00566B21"/>
    <w:rsid w:val="00566D10"/>
    <w:rsid w:val="00567B99"/>
    <w:rsid w:val="005702DD"/>
    <w:rsid w:val="00570606"/>
    <w:rsid w:val="005720B8"/>
    <w:rsid w:val="00573248"/>
    <w:rsid w:val="005757A2"/>
    <w:rsid w:val="00575A62"/>
    <w:rsid w:val="00576A0F"/>
    <w:rsid w:val="0058088F"/>
    <w:rsid w:val="005813AF"/>
    <w:rsid w:val="005829DD"/>
    <w:rsid w:val="00584E9A"/>
    <w:rsid w:val="00586A6E"/>
    <w:rsid w:val="00586E7D"/>
    <w:rsid w:val="00587680"/>
    <w:rsid w:val="00590C1A"/>
    <w:rsid w:val="00592DA2"/>
    <w:rsid w:val="005941EC"/>
    <w:rsid w:val="00595DEE"/>
    <w:rsid w:val="00595F66"/>
    <w:rsid w:val="00595FE8"/>
    <w:rsid w:val="00596C0C"/>
    <w:rsid w:val="0059724D"/>
    <w:rsid w:val="00597470"/>
    <w:rsid w:val="00597B3A"/>
    <w:rsid w:val="005A0830"/>
    <w:rsid w:val="005A0C13"/>
    <w:rsid w:val="005A1B61"/>
    <w:rsid w:val="005A212D"/>
    <w:rsid w:val="005A3426"/>
    <w:rsid w:val="005A5A0D"/>
    <w:rsid w:val="005A5A4A"/>
    <w:rsid w:val="005B061E"/>
    <w:rsid w:val="005B0911"/>
    <w:rsid w:val="005B1531"/>
    <w:rsid w:val="005B320C"/>
    <w:rsid w:val="005B349C"/>
    <w:rsid w:val="005B3DB3"/>
    <w:rsid w:val="005B4E13"/>
    <w:rsid w:val="005B5BCD"/>
    <w:rsid w:val="005B71CB"/>
    <w:rsid w:val="005C342F"/>
    <w:rsid w:val="005C37C7"/>
    <w:rsid w:val="005C5A37"/>
    <w:rsid w:val="005C7411"/>
    <w:rsid w:val="005C7745"/>
    <w:rsid w:val="005C7D1E"/>
    <w:rsid w:val="005C7D28"/>
    <w:rsid w:val="005D0C82"/>
    <w:rsid w:val="005D11EE"/>
    <w:rsid w:val="005D1450"/>
    <w:rsid w:val="005D1646"/>
    <w:rsid w:val="005D23EB"/>
    <w:rsid w:val="005D2E09"/>
    <w:rsid w:val="005D2FCC"/>
    <w:rsid w:val="005D2FD1"/>
    <w:rsid w:val="005D48B8"/>
    <w:rsid w:val="005D67D9"/>
    <w:rsid w:val="005D7C88"/>
    <w:rsid w:val="005E018E"/>
    <w:rsid w:val="005E0567"/>
    <w:rsid w:val="005E1B74"/>
    <w:rsid w:val="005E24A2"/>
    <w:rsid w:val="005E2DE2"/>
    <w:rsid w:val="005E37A4"/>
    <w:rsid w:val="005E4FF5"/>
    <w:rsid w:val="005E6FA0"/>
    <w:rsid w:val="005F139A"/>
    <w:rsid w:val="005F333C"/>
    <w:rsid w:val="005F3A2B"/>
    <w:rsid w:val="005F45FB"/>
    <w:rsid w:val="005F5F8A"/>
    <w:rsid w:val="005F649C"/>
    <w:rsid w:val="005F675D"/>
    <w:rsid w:val="005F6F34"/>
    <w:rsid w:val="005F7449"/>
    <w:rsid w:val="005F7B75"/>
    <w:rsid w:val="006001EE"/>
    <w:rsid w:val="00604D06"/>
    <w:rsid w:val="00605042"/>
    <w:rsid w:val="0060768C"/>
    <w:rsid w:val="0061154A"/>
    <w:rsid w:val="00611900"/>
    <w:rsid w:val="00611FC4"/>
    <w:rsid w:val="00612600"/>
    <w:rsid w:val="00613932"/>
    <w:rsid w:val="006149C0"/>
    <w:rsid w:val="00616015"/>
    <w:rsid w:val="006176FB"/>
    <w:rsid w:val="00617B6A"/>
    <w:rsid w:val="00617E99"/>
    <w:rsid w:val="0062106D"/>
    <w:rsid w:val="0062182D"/>
    <w:rsid w:val="00621E55"/>
    <w:rsid w:val="00622065"/>
    <w:rsid w:val="006222E7"/>
    <w:rsid w:val="00624C23"/>
    <w:rsid w:val="006252B5"/>
    <w:rsid w:val="00627B27"/>
    <w:rsid w:val="00627DD8"/>
    <w:rsid w:val="00627EC1"/>
    <w:rsid w:val="00630501"/>
    <w:rsid w:val="00631103"/>
    <w:rsid w:val="00631C76"/>
    <w:rsid w:val="006335CD"/>
    <w:rsid w:val="0063370A"/>
    <w:rsid w:val="0063375D"/>
    <w:rsid w:val="00633EEA"/>
    <w:rsid w:val="006353EF"/>
    <w:rsid w:val="00637D7D"/>
    <w:rsid w:val="00640B26"/>
    <w:rsid w:val="00641B1F"/>
    <w:rsid w:val="00642837"/>
    <w:rsid w:val="00642B77"/>
    <w:rsid w:val="00643823"/>
    <w:rsid w:val="00643EBD"/>
    <w:rsid w:val="00646320"/>
    <w:rsid w:val="00646ABD"/>
    <w:rsid w:val="0065075C"/>
    <w:rsid w:val="00651D2B"/>
    <w:rsid w:val="00652D0A"/>
    <w:rsid w:val="00653D09"/>
    <w:rsid w:val="00654026"/>
    <w:rsid w:val="006544BD"/>
    <w:rsid w:val="00655314"/>
    <w:rsid w:val="00656B47"/>
    <w:rsid w:val="00656F75"/>
    <w:rsid w:val="00660462"/>
    <w:rsid w:val="00660883"/>
    <w:rsid w:val="00660C48"/>
    <w:rsid w:val="006615F1"/>
    <w:rsid w:val="00662BB6"/>
    <w:rsid w:val="006633C9"/>
    <w:rsid w:val="00664177"/>
    <w:rsid w:val="006641EB"/>
    <w:rsid w:val="006664F0"/>
    <w:rsid w:val="00667AED"/>
    <w:rsid w:val="00670044"/>
    <w:rsid w:val="00671B51"/>
    <w:rsid w:val="00671FED"/>
    <w:rsid w:val="006721A3"/>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1EA"/>
    <w:rsid w:val="00691A02"/>
    <w:rsid w:val="00691EB1"/>
    <w:rsid w:val="00693741"/>
    <w:rsid w:val="006947B7"/>
    <w:rsid w:val="00696804"/>
    <w:rsid w:val="006A0C09"/>
    <w:rsid w:val="006A1CEE"/>
    <w:rsid w:val="006A2530"/>
    <w:rsid w:val="006A42BC"/>
    <w:rsid w:val="006A4F15"/>
    <w:rsid w:val="006A65B8"/>
    <w:rsid w:val="006A78A1"/>
    <w:rsid w:val="006B1AD4"/>
    <w:rsid w:val="006B3031"/>
    <w:rsid w:val="006B45CF"/>
    <w:rsid w:val="006B6E62"/>
    <w:rsid w:val="006B7E43"/>
    <w:rsid w:val="006C14EA"/>
    <w:rsid w:val="006C2AA5"/>
    <w:rsid w:val="006C3422"/>
    <w:rsid w:val="006C3589"/>
    <w:rsid w:val="006C52EA"/>
    <w:rsid w:val="006C5B17"/>
    <w:rsid w:val="006C6475"/>
    <w:rsid w:val="006C66A2"/>
    <w:rsid w:val="006C6EA7"/>
    <w:rsid w:val="006D058A"/>
    <w:rsid w:val="006D166C"/>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17C2"/>
    <w:rsid w:val="006F4B9B"/>
    <w:rsid w:val="006F6406"/>
    <w:rsid w:val="006F6D38"/>
    <w:rsid w:val="007003FD"/>
    <w:rsid w:val="00701B07"/>
    <w:rsid w:val="00703577"/>
    <w:rsid w:val="007041FF"/>
    <w:rsid w:val="0070558D"/>
    <w:rsid w:val="00705894"/>
    <w:rsid w:val="0070697A"/>
    <w:rsid w:val="00706EAC"/>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30687"/>
    <w:rsid w:val="00730C56"/>
    <w:rsid w:val="00731147"/>
    <w:rsid w:val="00732065"/>
    <w:rsid w:val="007326B7"/>
    <w:rsid w:val="007327D5"/>
    <w:rsid w:val="00734FB5"/>
    <w:rsid w:val="00735EE3"/>
    <w:rsid w:val="0073781B"/>
    <w:rsid w:val="00737BE8"/>
    <w:rsid w:val="00742590"/>
    <w:rsid w:val="0074385A"/>
    <w:rsid w:val="0074390C"/>
    <w:rsid w:val="007440E0"/>
    <w:rsid w:val="00752A93"/>
    <w:rsid w:val="00757437"/>
    <w:rsid w:val="0075765E"/>
    <w:rsid w:val="00757BA0"/>
    <w:rsid w:val="00761C65"/>
    <w:rsid w:val="00761FBE"/>
    <w:rsid w:val="007629C8"/>
    <w:rsid w:val="00763BF6"/>
    <w:rsid w:val="0076666D"/>
    <w:rsid w:val="00770145"/>
    <w:rsid w:val="0077047D"/>
    <w:rsid w:val="007710C6"/>
    <w:rsid w:val="007712B1"/>
    <w:rsid w:val="00771F33"/>
    <w:rsid w:val="007722F5"/>
    <w:rsid w:val="007738C1"/>
    <w:rsid w:val="00781E22"/>
    <w:rsid w:val="007820AF"/>
    <w:rsid w:val="00783387"/>
    <w:rsid w:val="007838B2"/>
    <w:rsid w:val="0078451C"/>
    <w:rsid w:val="00784960"/>
    <w:rsid w:val="00786137"/>
    <w:rsid w:val="00787A13"/>
    <w:rsid w:val="007905F7"/>
    <w:rsid w:val="00790AED"/>
    <w:rsid w:val="00790D22"/>
    <w:rsid w:val="0079119F"/>
    <w:rsid w:val="00791E8D"/>
    <w:rsid w:val="007939FA"/>
    <w:rsid w:val="00795175"/>
    <w:rsid w:val="007959E3"/>
    <w:rsid w:val="00796E9C"/>
    <w:rsid w:val="007A2490"/>
    <w:rsid w:val="007A2AA2"/>
    <w:rsid w:val="007A3C74"/>
    <w:rsid w:val="007B20A0"/>
    <w:rsid w:val="007B2682"/>
    <w:rsid w:val="007B4089"/>
    <w:rsid w:val="007B47E9"/>
    <w:rsid w:val="007B530F"/>
    <w:rsid w:val="007B62FB"/>
    <w:rsid w:val="007B6BA5"/>
    <w:rsid w:val="007B7C35"/>
    <w:rsid w:val="007C0CBE"/>
    <w:rsid w:val="007C277A"/>
    <w:rsid w:val="007C2E19"/>
    <w:rsid w:val="007C2F1D"/>
    <w:rsid w:val="007C3390"/>
    <w:rsid w:val="007C4E68"/>
    <w:rsid w:val="007C4F4B"/>
    <w:rsid w:val="007C559B"/>
    <w:rsid w:val="007C58AB"/>
    <w:rsid w:val="007C595C"/>
    <w:rsid w:val="007D0F16"/>
    <w:rsid w:val="007D1003"/>
    <w:rsid w:val="007D1438"/>
    <w:rsid w:val="007D1F7E"/>
    <w:rsid w:val="007D2279"/>
    <w:rsid w:val="007D2E4D"/>
    <w:rsid w:val="007D36F9"/>
    <w:rsid w:val="007D43F2"/>
    <w:rsid w:val="007D6308"/>
    <w:rsid w:val="007D7E4A"/>
    <w:rsid w:val="007E01E9"/>
    <w:rsid w:val="007E04A5"/>
    <w:rsid w:val="007E1584"/>
    <w:rsid w:val="007E17E1"/>
    <w:rsid w:val="007E1C3D"/>
    <w:rsid w:val="007E2DD5"/>
    <w:rsid w:val="007E37A3"/>
    <w:rsid w:val="007E5096"/>
    <w:rsid w:val="007E5C8F"/>
    <w:rsid w:val="007E63F3"/>
    <w:rsid w:val="007E79D9"/>
    <w:rsid w:val="007F0305"/>
    <w:rsid w:val="007F06AD"/>
    <w:rsid w:val="007F1AC3"/>
    <w:rsid w:val="007F1ED1"/>
    <w:rsid w:val="007F2029"/>
    <w:rsid w:val="007F26E5"/>
    <w:rsid w:val="007F3D76"/>
    <w:rsid w:val="007F42D4"/>
    <w:rsid w:val="007F42F3"/>
    <w:rsid w:val="007F44D2"/>
    <w:rsid w:val="007F6611"/>
    <w:rsid w:val="007F710A"/>
    <w:rsid w:val="007F75B9"/>
    <w:rsid w:val="007F789C"/>
    <w:rsid w:val="008007AB"/>
    <w:rsid w:val="00802462"/>
    <w:rsid w:val="008062AC"/>
    <w:rsid w:val="008065ED"/>
    <w:rsid w:val="0081080D"/>
    <w:rsid w:val="00811071"/>
    <w:rsid w:val="00811920"/>
    <w:rsid w:val="00811B14"/>
    <w:rsid w:val="00812D6F"/>
    <w:rsid w:val="00812ED5"/>
    <w:rsid w:val="00813148"/>
    <w:rsid w:val="00814F84"/>
    <w:rsid w:val="00815AD0"/>
    <w:rsid w:val="00815EDB"/>
    <w:rsid w:val="008164AE"/>
    <w:rsid w:val="00821122"/>
    <w:rsid w:val="00821D46"/>
    <w:rsid w:val="00822DF2"/>
    <w:rsid w:val="008242D7"/>
    <w:rsid w:val="00824DB0"/>
    <w:rsid w:val="008257B1"/>
    <w:rsid w:val="00826426"/>
    <w:rsid w:val="0082699A"/>
    <w:rsid w:val="0082710E"/>
    <w:rsid w:val="008305FB"/>
    <w:rsid w:val="0083074B"/>
    <w:rsid w:val="008315A4"/>
    <w:rsid w:val="00832334"/>
    <w:rsid w:val="008333DE"/>
    <w:rsid w:val="00833CAA"/>
    <w:rsid w:val="00835C31"/>
    <w:rsid w:val="00836F00"/>
    <w:rsid w:val="0083752D"/>
    <w:rsid w:val="0083784A"/>
    <w:rsid w:val="00837CC7"/>
    <w:rsid w:val="0084251F"/>
    <w:rsid w:val="00842589"/>
    <w:rsid w:val="00842BAA"/>
    <w:rsid w:val="00843767"/>
    <w:rsid w:val="00844386"/>
    <w:rsid w:val="008458E7"/>
    <w:rsid w:val="00847172"/>
    <w:rsid w:val="0085246A"/>
    <w:rsid w:val="00853186"/>
    <w:rsid w:val="00855558"/>
    <w:rsid w:val="00855987"/>
    <w:rsid w:val="008570DA"/>
    <w:rsid w:val="00857885"/>
    <w:rsid w:val="0086017F"/>
    <w:rsid w:val="008605F7"/>
    <w:rsid w:val="00860DEE"/>
    <w:rsid w:val="00862170"/>
    <w:rsid w:val="008628A7"/>
    <w:rsid w:val="008631E3"/>
    <w:rsid w:val="008637C1"/>
    <w:rsid w:val="0086478A"/>
    <w:rsid w:val="00864A4B"/>
    <w:rsid w:val="0086544D"/>
    <w:rsid w:val="008655E4"/>
    <w:rsid w:val="00865EFF"/>
    <w:rsid w:val="0086633D"/>
    <w:rsid w:val="00867023"/>
    <w:rsid w:val="008670CE"/>
    <w:rsid w:val="008679D9"/>
    <w:rsid w:val="00870FE5"/>
    <w:rsid w:val="00872F35"/>
    <w:rsid w:val="00875D94"/>
    <w:rsid w:val="008769EA"/>
    <w:rsid w:val="00876C7E"/>
    <w:rsid w:val="00877BEC"/>
    <w:rsid w:val="00882FF2"/>
    <w:rsid w:val="00884731"/>
    <w:rsid w:val="008863EE"/>
    <w:rsid w:val="008873A0"/>
    <w:rsid w:val="008878DE"/>
    <w:rsid w:val="00891C10"/>
    <w:rsid w:val="00892101"/>
    <w:rsid w:val="00893D64"/>
    <w:rsid w:val="00895AF3"/>
    <w:rsid w:val="008979B1"/>
    <w:rsid w:val="008A1ED5"/>
    <w:rsid w:val="008A2882"/>
    <w:rsid w:val="008A2C30"/>
    <w:rsid w:val="008A358E"/>
    <w:rsid w:val="008A518B"/>
    <w:rsid w:val="008A5E67"/>
    <w:rsid w:val="008A6A2F"/>
    <w:rsid w:val="008A6B25"/>
    <w:rsid w:val="008A6C4F"/>
    <w:rsid w:val="008A703A"/>
    <w:rsid w:val="008A774F"/>
    <w:rsid w:val="008B12EF"/>
    <w:rsid w:val="008B14B7"/>
    <w:rsid w:val="008B2335"/>
    <w:rsid w:val="008B2E36"/>
    <w:rsid w:val="008B5CF0"/>
    <w:rsid w:val="008C05F1"/>
    <w:rsid w:val="008C1B44"/>
    <w:rsid w:val="008C1B8D"/>
    <w:rsid w:val="008C2C6C"/>
    <w:rsid w:val="008C3964"/>
    <w:rsid w:val="008C6E4E"/>
    <w:rsid w:val="008C7313"/>
    <w:rsid w:val="008C791A"/>
    <w:rsid w:val="008D3588"/>
    <w:rsid w:val="008D492C"/>
    <w:rsid w:val="008D78C5"/>
    <w:rsid w:val="008D7DDE"/>
    <w:rsid w:val="008E0678"/>
    <w:rsid w:val="008E37C2"/>
    <w:rsid w:val="008F03ED"/>
    <w:rsid w:val="008F07F7"/>
    <w:rsid w:val="008F1A93"/>
    <w:rsid w:val="008F2266"/>
    <w:rsid w:val="008F31D2"/>
    <w:rsid w:val="008F32AC"/>
    <w:rsid w:val="008F374D"/>
    <w:rsid w:val="008F4D34"/>
    <w:rsid w:val="008F646C"/>
    <w:rsid w:val="008F795B"/>
    <w:rsid w:val="0090004D"/>
    <w:rsid w:val="00900FB0"/>
    <w:rsid w:val="009010E1"/>
    <w:rsid w:val="009040C5"/>
    <w:rsid w:val="00904749"/>
    <w:rsid w:val="009052BA"/>
    <w:rsid w:val="009052C7"/>
    <w:rsid w:val="009057DD"/>
    <w:rsid w:val="00906166"/>
    <w:rsid w:val="00906DEB"/>
    <w:rsid w:val="00907D84"/>
    <w:rsid w:val="009126F0"/>
    <w:rsid w:val="0091351E"/>
    <w:rsid w:val="00913611"/>
    <w:rsid w:val="00914131"/>
    <w:rsid w:val="00915241"/>
    <w:rsid w:val="00915EF6"/>
    <w:rsid w:val="0091617E"/>
    <w:rsid w:val="00916624"/>
    <w:rsid w:val="0091697A"/>
    <w:rsid w:val="00921D90"/>
    <w:rsid w:val="009223CA"/>
    <w:rsid w:val="00923980"/>
    <w:rsid w:val="00923AD4"/>
    <w:rsid w:val="009261DA"/>
    <w:rsid w:val="00926CEE"/>
    <w:rsid w:val="00931791"/>
    <w:rsid w:val="009323CA"/>
    <w:rsid w:val="009330C2"/>
    <w:rsid w:val="00934864"/>
    <w:rsid w:val="009349DC"/>
    <w:rsid w:val="00935104"/>
    <w:rsid w:val="00935C5A"/>
    <w:rsid w:val="00935E4E"/>
    <w:rsid w:val="00936E5C"/>
    <w:rsid w:val="00936F42"/>
    <w:rsid w:val="00940F93"/>
    <w:rsid w:val="00941363"/>
    <w:rsid w:val="00943D87"/>
    <w:rsid w:val="009440DF"/>
    <w:rsid w:val="009448C3"/>
    <w:rsid w:val="00944ADC"/>
    <w:rsid w:val="00944D6C"/>
    <w:rsid w:val="00945281"/>
    <w:rsid w:val="0094763D"/>
    <w:rsid w:val="00950475"/>
    <w:rsid w:val="00950B06"/>
    <w:rsid w:val="0095168D"/>
    <w:rsid w:val="00951A74"/>
    <w:rsid w:val="009524E9"/>
    <w:rsid w:val="009526F6"/>
    <w:rsid w:val="00953061"/>
    <w:rsid w:val="00953D1D"/>
    <w:rsid w:val="009545E3"/>
    <w:rsid w:val="00955497"/>
    <w:rsid w:val="00955A0D"/>
    <w:rsid w:val="00957A10"/>
    <w:rsid w:val="00961E1D"/>
    <w:rsid w:val="00962984"/>
    <w:rsid w:val="00962A33"/>
    <w:rsid w:val="00964618"/>
    <w:rsid w:val="009673BE"/>
    <w:rsid w:val="00967E9C"/>
    <w:rsid w:val="0097084A"/>
    <w:rsid w:val="00972E21"/>
    <w:rsid w:val="009760F3"/>
    <w:rsid w:val="00976BCB"/>
    <w:rsid w:val="00976CFB"/>
    <w:rsid w:val="00980594"/>
    <w:rsid w:val="009832D3"/>
    <w:rsid w:val="00983B7A"/>
    <w:rsid w:val="00986229"/>
    <w:rsid w:val="00986FB3"/>
    <w:rsid w:val="00986FBD"/>
    <w:rsid w:val="009910C7"/>
    <w:rsid w:val="009911AE"/>
    <w:rsid w:val="00991218"/>
    <w:rsid w:val="00992ABB"/>
    <w:rsid w:val="00992E61"/>
    <w:rsid w:val="00995084"/>
    <w:rsid w:val="009962A9"/>
    <w:rsid w:val="00996A28"/>
    <w:rsid w:val="009A05F7"/>
    <w:rsid w:val="009A0830"/>
    <w:rsid w:val="009A0E8D"/>
    <w:rsid w:val="009A1DA3"/>
    <w:rsid w:val="009A226B"/>
    <w:rsid w:val="009A2ECC"/>
    <w:rsid w:val="009A4BBE"/>
    <w:rsid w:val="009A5BAA"/>
    <w:rsid w:val="009A6734"/>
    <w:rsid w:val="009B10F9"/>
    <w:rsid w:val="009B145A"/>
    <w:rsid w:val="009B2503"/>
    <w:rsid w:val="009B26E7"/>
    <w:rsid w:val="009B295B"/>
    <w:rsid w:val="009B3744"/>
    <w:rsid w:val="009B38DE"/>
    <w:rsid w:val="009B3C54"/>
    <w:rsid w:val="009B4070"/>
    <w:rsid w:val="009B4ED1"/>
    <w:rsid w:val="009B64BB"/>
    <w:rsid w:val="009C17CE"/>
    <w:rsid w:val="009C2788"/>
    <w:rsid w:val="009C5193"/>
    <w:rsid w:val="009C555D"/>
    <w:rsid w:val="009C5C64"/>
    <w:rsid w:val="009C671A"/>
    <w:rsid w:val="009C6D6A"/>
    <w:rsid w:val="009C7A60"/>
    <w:rsid w:val="009D0755"/>
    <w:rsid w:val="009D1C12"/>
    <w:rsid w:val="009D2C05"/>
    <w:rsid w:val="009D3748"/>
    <w:rsid w:val="009D59C7"/>
    <w:rsid w:val="009E2D1A"/>
    <w:rsid w:val="009E3266"/>
    <w:rsid w:val="009E3509"/>
    <w:rsid w:val="009E5350"/>
    <w:rsid w:val="009E5748"/>
    <w:rsid w:val="009F20FB"/>
    <w:rsid w:val="009F505F"/>
    <w:rsid w:val="009F56EA"/>
    <w:rsid w:val="00A00103"/>
    <w:rsid w:val="00A0038D"/>
    <w:rsid w:val="00A00697"/>
    <w:rsid w:val="00A00A3F"/>
    <w:rsid w:val="00A0136F"/>
    <w:rsid w:val="00A01489"/>
    <w:rsid w:val="00A0151A"/>
    <w:rsid w:val="00A04133"/>
    <w:rsid w:val="00A0500A"/>
    <w:rsid w:val="00A0644D"/>
    <w:rsid w:val="00A112AA"/>
    <w:rsid w:val="00A1169F"/>
    <w:rsid w:val="00A11F0B"/>
    <w:rsid w:val="00A12653"/>
    <w:rsid w:val="00A1434F"/>
    <w:rsid w:val="00A14AFF"/>
    <w:rsid w:val="00A16603"/>
    <w:rsid w:val="00A16A78"/>
    <w:rsid w:val="00A177C1"/>
    <w:rsid w:val="00A22C69"/>
    <w:rsid w:val="00A25A60"/>
    <w:rsid w:val="00A25BAE"/>
    <w:rsid w:val="00A26389"/>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9F7"/>
    <w:rsid w:val="00A5486D"/>
    <w:rsid w:val="00A55594"/>
    <w:rsid w:val="00A567E2"/>
    <w:rsid w:val="00A56F66"/>
    <w:rsid w:val="00A6129C"/>
    <w:rsid w:val="00A64EA7"/>
    <w:rsid w:val="00A66837"/>
    <w:rsid w:val="00A66F44"/>
    <w:rsid w:val="00A66F7F"/>
    <w:rsid w:val="00A70098"/>
    <w:rsid w:val="00A7181B"/>
    <w:rsid w:val="00A72787"/>
    <w:rsid w:val="00A72F22"/>
    <w:rsid w:val="00A7360F"/>
    <w:rsid w:val="00A748A6"/>
    <w:rsid w:val="00A74A5D"/>
    <w:rsid w:val="00A7621D"/>
    <w:rsid w:val="00A769F4"/>
    <w:rsid w:val="00A76B0F"/>
    <w:rsid w:val="00A776B4"/>
    <w:rsid w:val="00A83BED"/>
    <w:rsid w:val="00A83FFC"/>
    <w:rsid w:val="00A84559"/>
    <w:rsid w:val="00A846AA"/>
    <w:rsid w:val="00A855EF"/>
    <w:rsid w:val="00A87C30"/>
    <w:rsid w:val="00A90B8B"/>
    <w:rsid w:val="00A90F37"/>
    <w:rsid w:val="00A90F9F"/>
    <w:rsid w:val="00A933D3"/>
    <w:rsid w:val="00A94361"/>
    <w:rsid w:val="00A95A32"/>
    <w:rsid w:val="00A95C2E"/>
    <w:rsid w:val="00A97B46"/>
    <w:rsid w:val="00A97CDA"/>
    <w:rsid w:val="00AA083A"/>
    <w:rsid w:val="00AA0D06"/>
    <w:rsid w:val="00AA293C"/>
    <w:rsid w:val="00AA5714"/>
    <w:rsid w:val="00AB1B74"/>
    <w:rsid w:val="00AB3ED5"/>
    <w:rsid w:val="00AB5729"/>
    <w:rsid w:val="00AB7440"/>
    <w:rsid w:val="00AC5823"/>
    <w:rsid w:val="00AC5B09"/>
    <w:rsid w:val="00AC6E56"/>
    <w:rsid w:val="00AD1236"/>
    <w:rsid w:val="00AD2EFF"/>
    <w:rsid w:val="00AD6799"/>
    <w:rsid w:val="00AD7842"/>
    <w:rsid w:val="00AD7EE1"/>
    <w:rsid w:val="00AE16F0"/>
    <w:rsid w:val="00AE25D8"/>
    <w:rsid w:val="00AE2A3C"/>
    <w:rsid w:val="00AF0D2A"/>
    <w:rsid w:val="00AF102D"/>
    <w:rsid w:val="00AF1296"/>
    <w:rsid w:val="00AF2209"/>
    <w:rsid w:val="00AF260C"/>
    <w:rsid w:val="00AF32AA"/>
    <w:rsid w:val="00AF3EAE"/>
    <w:rsid w:val="00AF3FB9"/>
    <w:rsid w:val="00AF4B2C"/>
    <w:rsid w:val="00AF4CAD"/>
    <w:rsid w:val="00AF6F45"/>
    <w:rsid w:val="00AF7532"/>
    <w:rsid w:val="00B0282F"/>
    <w:rsid w:val="00B03B99"/>
    <w:rsid w:val="00B07909"/>
    <w:rsid w:val="00B07E22"/>
    <w:rsid w:val="00B119A2"/>
    <w:rsid w:val="00B11B30"/>
    <w:rsid w:val="00B123B2"/>
    <w:rsid w:val="00B12737"/>
    <w:rsid w:val="00B12BE7"/>
    <w:rsid w:val="00B174F7"/>
    <w:rsid w:val="00B17B28"/>
    <w:rsid w:val="00B20EFF"/>
    <w:rsid w:val="00B21C06"/>
    <w:rsid w:val="00B24E1F"/>
    <w:rsid w:val="00B2530E"/>
    <w:rsid w:val="00B25F97"/>
    <w:rsid w:val="00B26FCC"/>
    <w:rsid w:val="00B30179"/>
    <w:rsid w:val="00B34CA7"/>
    <w:rsid w:val="00B34DEA"/>
    <w:rsid w:val="00B36779"/>
    <w:rsid w:val="00B40550"/>
    <w:rsid w:val="00B40607"/>
    <w:rsid w:val="00B4114A"/>
    <w:rsid w:val="00B4123B"/>
    <w:rsid w:val="00B421C1"/>
    <w:rsid w:val="00B44D51"/>
    <w:rsid w:val="00B457C7"/>
    <w:rsid w:val="00B46BC4"/>
    <w:rsid w:val="00B47222"/>
    <w:rsid w:val="00B52701"/>
    <w:rsid w:val="00B53098"/>
    <w:rsid w:val="00B530EA"/>
    <w:rsid w:val="00B537F9"/>
    <w:rsid w:val="00B53C21"/>
    <w:rsid w:val="00B54D03"/>
    <w:rsid w:val="00B55208"/>
    <w:rsid w:val="00B5539D"/>
    <w:rsid w:val="00B55C71"/>
    <w:rsid w:val="00B56A6D"/>
    <w:rsid w:val="00B56E4A"/>
    <w:rsid w:val="00B56E9C"/>
    <w:rsid w:val="00B57291"/>
    <w:rsid w:val="00B575AC"/>
    <w:rsid w:val="00B57E52"/>
    <w:rsid w:val="00B64B1F"/>
    <w:rsid w:val="00B64BE6"/>
    <w:rsid w:val="00B6553F"/>
    <w:rsid w:val="00B67061"/>
    <w:rsid w:val="00B7012F"/>
    <w:rsid w:val="00B70CFE"/>
    <w:rsid w:val="00B72084"/>
    <w:rsid w:val="00B728A8"/>
    <w:rsid w:val="00B72966"/>
    <w:rsid w:val="00B72B6C"/>
    <w:rsid w:val="00B743BC"/>
    <w:rsid w:val="00B755B1"/>
    <w:rsid w:val="00B75899"/>
    <w:rsid w:val="00B76760"/>
    <w:rsid w:val="00B76BEA"/>
    <w:rsid w:val="00B77D05"/>
    <w:rsid w:val="00B802B3"/>
    <w:rsid w:val="00B805DC"/>
    <w:rsid w:val="00B80636"/>
    <w:rsid w:val="00B81070"/>
    <w:rsid w:val="00B81206"/>
    <w:rsid w:val="00B8152C"/>
    <w:rsid w:val="00B81E12"/>
    <w:rsid w:val="00B830A5"/>
    <w:rsid w:val="00B83910"/>
    <w:rsid w:val="00B852D7"/>
    <w:rsid w:val="00B8549E"/>
    <w:rsid w:val="00B8744E"/>
    <w:rsid w:val="00B9013D"/>
    <w:rsid w:val="00B91289"/>
    <w:rsid w:val="00B921D6"/>
    <w:rsid w:val="00B92D2F"/>
    <w:rsid w:val="00B96D46"/>
    <w:rsid w:val="00BA1E08"/>
    <w:rsid w:val="00BA2F4C"/>
    <w:rsid w:val="00BA36C4"/>
    <w:rsid w:val="00BA372C"/>
    <w:rsid w:val="00BA57C2"/>
    <w:rsid w:val="00BA726B"/>
    <w:rsid w:val="00BA7D69"/>
    <w:rsid w:val="00BB06ED"/>
    <w:rsid w:val="00BB0FAB"/>
    <w:rsid w:val="00BB2B0F"/>
    <w:rsid w:val="00BB35D8"/>
    <w:rsid w:val="00BB4543"/>
    <w:rsid w:val="00BB481C"/>
    <w:rsid w:val="00BB532B"/>
    <w:rsid w:val="00BB6B1D"/>
    <w:rsid w:val="00BB6C56"/>
    <w:rsid w:val="00BC27EB"/>
    <w:rsid w:val="00BC31D4"/>
    <w:rsid w:val="00BC36B2"/>
    <w:rsid w:val="00BC3FA0"/>
    <w:rsid w:val="00BC49BF"/>
    <w:rsid w:val="00BC5B7C"/>
    <w:rsid w:val="00BC74E9"/>
    <w:rsid w:val="00BC7BF2"/>
    <w:rsid w:val="00BD00F1"/>
    <w:rsid w:val="00BD0C5A"/>
    <w:rsid w:val="00BD0DEF"/>
    <w:rsid w:val="00BD3E77"/>
    <w:rsid w:val="00BD4C4E"/>
    <w:rsid w:val="00BD5DAC"/>
    <w:rsid w:val="00BD7245"/>
    <w:rsid w:val="00BD7DF6"/>
    <w:rsid w:val="00BE5C4A"/>
    <w:rsid w:val="00BE5D3E"/>
    <w:rsid w:val="00BE6341"/>
    <w:rsid w:val="00BE75B7"/>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11A03"/>
    <w:rsid w:val="00C11C9F"/>
    <w:rsid w:val="00C1318B"/>
    <w:rsid w:val="00C1420F"/>
    <w:rsid w:val="00C1470C"/>
    <w:rsid w:val="00C14AA6"/>
    <w:rsid w:val="00C159B4"/>
    <w:rsid w:val="00C165E7"/>
    <w:rsid w:val="00C16C6B"/>
    <w:rsid w:val="00C17010"/>
    <w:rsid w:val="00C17352"/>
    <w:rsid w:val="00C17F69"/>
    <w:rsid w:val="00C206FA"/>
    <w:rsid w:val="00C20E0F"/>
    <w:rsid w:val="00C2127B"/>
    <w:rsid w:val="00C228FE"/>
    <w:rsid w:val="00C22C0C"/>
    <w:rsid w:val="00C23F80"/>
    <w:rsid w:val="00C277C6"/>
    <w:rsid w:val="00C30181"/>
    <w:rsid w:val="00C3084F"/>
    <w:rsid w:val="00C3146E"/>
    <w:rsid w:val="00C3338B"/>
    <w:rsid w:val="00C33CBE"/>
    <w:rsid w:val="00C34736"/>
    <w:rsid w:val="00C34B10"/>
    <w:rsid w:val="00C3741F"/>
    <w:rsid w:val="00C40D9C"/>
    <w:rsid w:val="00C419CE"/>
    <w:rsid w:val="00C426A5"/>
    <w:rsid w:val="00C42F42"/>
    <w:rsid w:val="00C4527F"/>
    <w:rsid w:val="00C452C9"/>
    <w:rsid w:val="00C459B6"/>
    <w:rsid w:val="00C45D9D"/>
    <w:rsid w:val="00C463DD"/>
    <w:rsid w:val="00C4724C"/>
    <w:rsid w:val="00C50151"/>
    <w:rsid w:val="00C50239"/>
    <w:rsid w:val="00C5077E"/>
    <w:rsid w:val="00C50B2E"/>
    <w:rsid w:val="00C52453"/>
    <w:rsid w:val="00C52DC3"/>
    <w:rsid w:val="00C53616"/>
    <w:rsid w:val="00C5562E"/>
    <w:rsid w:val="00C55E64"/>
    <w:rsid w:val="00C55FF5"/>
    <w:rsid w:val="00C56FC6"/>
    <w:rsid w:val="00C60D55"/>
    <w:rsid w:val="00C61C0C"/>
    <w:rsid w:val="00C627E7"/>
    <w:rsid w:val="00C629A0"/>
    <w:rsid w:val="00C64629"/>
    <w:rsid w:val="00C64A45"/>
    <w:rsid w:val="00C64CB3"/>
    <w:rsid w:val="00C67D31"/>
    <w:rsid w:val="00C70139"/>
    <w:rsid w:val="00C7100A"/>
    <w:rsid w:val="00C72906"/>
    <w:rsid w:val="00C74157"/>
    <w:rsid w:val="00C745C3"/>
    <w:rsid w:val="00C7592E"/>
    <w:rsid w:val="00C75D61"/>
    <w:rsid w:val="00C76E29"/>
    <w:rsid w:val="00C80D36"/>
    <w:rsid w:val="00C818BF"/>
    <w:rsid w:val="00C82CCB"/>
    <w:rsid w:val="00C82FF9"/>
    <w:rsid w:val="00C8661D"/>
    <w:rsid w:val="00C905A8"/>
    <w:rsid w:val="00C90AFA"/>
    <w:rsid w:val="00C91C84"/>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B0576"/>
    <w:rsid w:val="00CB2786"/>
    <w:rsid w:val="00CB3B10"/>
    <w:rsid w:val="00CB3E03"/>
    <w:rsid w:val="00CB59EB"/>
    <w:rsid w:val="00CB5B01"/>
    <w:rsid w:val="00CB5D7B"/>
    <w:rsid w:val="00CB65DA"/>
    <w:rsid w:val="00CB7D84"/>
    <w:rsid w:val="00CB7E97"/>
    <w:rsid w:val="00CC0FB6"/>
    <w:rsid w:val="00CC1072"/>
    <w:rsid w:val="00CC28BD"/>
    <w:rsid w:val="00CC5861"/>
    <w:rsid w:val="00CC5E16"/>
    <w:rsid w:val="00CD0EE4"/>
    <w:rsid w:val="00CD2B75"/>
    <w:rsid w:val="00CD490F"/>
    <w:rsid w:val="00CD4AA6"/>
    <w:rsid w:val="00CD5510"/>
    <w:rsid w:val="00CD5641"/>
    <w:rsid w:val="00CD67C2"/>
    <w:rsid w:val="00CE16CC"/>
    <w:rsid w:val="00CE2420"/>
    <w:rsid w:val="00CE2F5B"/>
    <w:rsid w:val="00CE4A8F"/>
    <w:rsid w:val="00CE5032"/>
    <w:rsid w:val="00CE581B"/>
    <w:rsid w:val="00CE5F4A"/>
    <w:rsid w:val="00CE622A"/>
    <w:rsid w:val="00CE72F0"/>
    <w:rsid w:val="00CE7364"/>
    <w:rsid w:val="00CE7D6C"/>
    <w:rsid w:val="00CF39A5"/>
    <w:rsid w:val="00CF41CD"/>
    <w:rsid w:val="00CF6B0A"/>
    <w:rsid w:val="00D020CD"/>
    <w:rsid w:val="00D038F2"/>
    <w:rsid w:val="00D03C6B"/>
    <w:rsid w:val="00D03D06"/>
    <w:rsid w:val="00D0439F"/>
    <w:rsid w:val="00D04951"/>
    <w:rsid w:val="00D0505A"/>
    <w:rsid w:val="00D05663"/>
    <w:rsid w:val="00D061FE"/>
    <w:rsid w:val="00D1082E"/>
    <w:rsid w:val="00D10E2C"/>
    <w:rsid w:val="00D114D3"/>
    <w:rsid w:val="00D11610"/>
    <w:rsid w:val="00D14394"/>
    <w:rsid w:val="00D161EB"/>
    <w:rsid w:val="00D174AA"/>
    <w:rsid w:val="00D2031B"/>
    <w:rsid w:val="00D20B99"/>
    <w:rsid w:val="00D20EE5"/>
    <w:rsid w:val="00D21E1A"/>
    <w:rsid w:val="00D248B6"/>
    <w:rsid w:val="00D24AFC"/>
    <w:rsid w:val="00D2548F"/>
    <w:rsid w:val="00D25FE2"/>
    <w:rsid w:val="00D26E07"/>
    <w:rsid w:val="00D27004"/>
    <w:rsid w:val="00D270CB"/>
    <w:rsid w:val="00D272A9"/>
    <w:rsid w:val="00D30EAF"/>
    <w:rsid w:val="00D31CBF"/>
    <w:rsid w:val="00D321E3"/>
    <w:rsid w:val="00D3338C"/>
    <w:rsid w:val="00D351B0"/>
    <w:rsid w:val="00D35F31"/>
    <w:rsid w:val="00D3710D"/>
    <w:rsid w:val="00D3742E"/>
    <w:rsid w:val="00D3764A"/>
    <w:rsid w:val="00D401D9"/>
    <w:rsid w:val="00D4171B"/>
    <w:rsid w:val="00D418D8"/>
    <w:rsid w:val="00D42B28"/>
    <w:rsid w:val="00D42B92"/>
    <w:rsid w:val="00D42FF9"/>
    <w:rsid w:val="00D430BF"/>
    <w:rsid w:val="00D43252"/>
    <w:rsid w:val="00D45CC9"/>
    <w:rsid w:val="00D46157"/>
    <w:rsid w:val="00D46407"/>
    <w:rsid w:val="00D46611"/>
    <w:rsid w:val="00D478F1"/>
    <w:rsid w:val="00D47EEA"/>
    <w:rsid w:val="00D514AD"/>
    <w:rsid w:val="00D531BE"/>
    <w:rsid w:val="00D54A3A"/>
    <w:rsid w:val="00D556AE"/>
    <w:rsid w:val="00D56030"/>
    <w:rsid w:val="00D60EE2"/>
    <w:rsid w:val="00D633A6"/>
    <w:rsid w:val="00D648E3"/>
    <w:rsid w:val="00D652A8"/>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5165"/>
    <w:rsid w:val="00D91C6F"/>
    <w:rsid w:val="00D924B0"/>
    <w:rsid w:val="00D93987"/>
    <w:rsid w:val="00D9503E"/>
    <w:rsid w:val="00D95303"/>
    <w:rsid w:val="00D95A1A"/>
    <w:rsid w:val="00D96CE0"/>
    <w:rsid w:val="00D978C6"/>
    <w:rsid w:val="00DA143C"/>
    <w:rsid w:val="00DA2403"/>
    <w:rsid w:val="00DA2804"/>
    <w:rsid w:val="00DA3C1C"/>
    <w:rsid w:val="00DA4B8E"/>
    <w:rsid w:val="00DA5A85"/>
    <w:rsid w:val="00DA77C0"/>
    <w:rsid w:val="00DA7C9F"/>
    <w:rsid w:val="00DB0701"/>
    <w:rsid w:val="00DB0EC7"/>
    <w:rsid w:val="00DB2094"/>
    <w:rsid w:val="00DB2EC4"/>
    <w:rsid w:val="00DB3311"/>
    <w:rsid w:val="00DB4837"/>
    <w:rsid w:val="00DB7E31"/>
    <w:rsid w:val="00DC57B4"/>
    <w:rsid w:val="00DC6D39"/>
    <w:rsid w:val="00DD17E2"/>
    <w:rsid w:val="00DE3C33"/>
    <w:rsid w:val="00DE40E9"/>
    <w:rsid w:val="00DE5756"/>
    <w:rsid w:val="00DE5EE2"/>
    <w:rsid w:val="00DE6573"/>
    <w:rsid w:val="00DF0C2D"/>
    <w:rsid w:val="00DF0F92"/>
    <w:rsid w:val="00DF1CBE"/>
    <w:rsid w:val="00DF1DBF"/>
    <w:rsid w:val="00DF2151"/>
    <w:rsid w:val="00DF2962"/>
    <w:rsid w:val="00DF2B70"/>
    <w:rsid w:val="00DF36C0"/>
    <w:rsid w:val="00DF3E3A"/>
    <w:rsid w:val="00DF5A5B"/>
    <w:rsid w:val="00DF618D"/>
    <w:rsid w:val="00DF7001"/>
    <w:rsid w:val="00DF7DFE"/>
    <w:rsid w:val="00E027C9"/>
    <w:rsid w:val="00E03A50"/>
    <w:rsid w:val="00E0416D"/>
    <w:rsid w:val="00E046DF"/>
    <w:rsid w:val="00E0532C"/>
    <w:rsid w:val="00E07251"/>
    <w:rsid w:val="00E10A8F"/>
    <w:rsid w:val="00E10F4C"/>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3588"/>
    <w:rsid w:val="00E335D1"/>
    <w:rsid w:val="00E37F22"/>
    <w:rsid w:val="00E40A45"/>
    <w:rsid w:val="00E41BA6"/>
    <w:rsid w:val="00E426D9"/>
    <w:rsid w:val="00E42705"/>
    <w:rsid w:val="00E429EF"/>
    <w:rsid w:val="00E43AD4"/>
    <w:rsid w:val="00E44ECD"/>
    <w:rsid w:val="00E45B14"/>
    <w:rsid w:val="00E46953"/>
    <w:rsid w:val="00E47350"/>
    <w:rsid w:val="00E503D8"/>
    <w:rsid w:val="00E560CA"/>
    <w:rsid w:val="00E56A10"/>
    <w:rsid w:val="00E56A91"/>
    <w:rsid w:val="00E56A9E"/>
    <w:rsid w:val="00E56C82"/>
    <w:rsid w:val="00E60712"/>
    <w:rsid w:val="00E60B22"/>
    <w:rsid w:val="00E61B35"/>
    <w:rsid w:val="00E61E24"/>
    <w:rsid w:val="00E63FBC"/>
    <w:rsid w:val="00E6402B"/>
    <w:rsid w:val="00E6609A"/>
    <w:rsid w:val="00E6620B"/>
    <w:rsid w:val="00E6676C"/>
    <w:rsid w:val="00E669CD"/>
    <w:rsid w:val="00E672F9"/>
    <w:rsid w:val="00E71BC8"/>
    <w:rsid w:val="00E72315"/>
    <w:rsid w:val="00E7260F"/>
    <w:rsid w:val="00E738FE"/>
    <w:rsid w:val="00E73ED4"/>
    <w:rsid w:val="00E73F5D"/>
    <w:rsid w:val="00E74546"/>
    <w:rsid w:val="00E7683D"/>
    <w:rsid w:val="00E77E4E"/>
    <w:rsid w:val="00E80AB7"/>
    <w:rsid w:val="00E81046"/>
    <w:rsid w:val="00E82B5F"/>
    <w:rsid w:val="00E8321E"/>
    <w:rsid w:val="00E875A7"/>
    <w:rsid w:val="00E87F7C"/>
    <w:rsid w:val="00E90D97"/>
    <w:rsid w:val="00E91BC8"/>
    <w:rsid w:val="00E91C42"/>
    <w:rsid w:val="00E936FE"/>
    <w:rsid w:val="00E93FA6"/>
    <w:rsid w:val="00E940E2"/>
    <w:rsid w:val="00E96630"/>
    <w:rsid w:val="00E976C0"/>
    <w:rsid w:val="00E977C2"/>
    <w:rsid w:val="00EA0D2A"/>
    <w:rsid w:val="00EA1443"/>
    <w:rsid w:val="00EA14C0"/>
    <w:rsid w:val="00EA14C7"/>
    <w:rsid w:val="00EA1765"/>
    <w:rsid w:val="00EA1DC3"/>
    <w:rsid w:val="00EA2A77"/>
    <w:rsid w:val="00EA31DB"/>
    <w:rsid w:val="00EA3B29"/>
    <w:rsid w:val="00EA53DC"/>
    <w:rsid w:val="00EA5A06"/>
    <w:rsid w:val="00EA7542"/>
    <w:rsid w:val="00EB113F"/>
    <w:rsid w:val="00EB1C9F"/>
    <w:rsid w:val="00EB1F45"/>
    <w:rsid w:val="00EB228C"/>
    <w:rsid w:val="00EB2659"/>
    <w:rsid w:val="00EB383C"/>
    <w:rsid w:val="00EB3A6D"/>
    <w:rsid w:val="00EB7493"/>
    <w:rsid w:val="00EC143B"/>
    <w:rsid w:val="00EC1649"/>
    <w:rsid w:val="00EC2BB2"/>
    <w:rsid w:val="00EC36FF"/>
    <w:rsid w:val="00EC6158"/>
    <w:rsid w:val="00EC7408"/>
    <w:rsid w:val="00ED4C16"/>
    <w:rsid w:val="00ED4F69"/>
    <w:rsid w:val="00ED7241"/>
    <w:rsid w:val="00ED7576"/>
    <w:rsid w:val="00ED7A2A"/>
    <w:rsid w:val="00ED7F3E"/>
    <w:rsid w:val="00EE029E"/>
    <w:rsid w:val="00EE16EE"/>
    <w:rsid w:val="00EE1DDB"/>
    <w:rsid w:val="00EE54C3"/>
    <w:rsid w:val="00EE55B6"/>
    <w:rsid w:val="00EE5C3C"/>
    <w:rsid w:val="00EE5D52"/>
    <w:rsid w:val="00EE6A8D"/>
    <w:rsid w:val="00EE7F70"/>
    <w:rsid w:val="00EF0848"/>
    <w:rsid w:val="00EF1171"/>
    <w:rsid w:val="00EF1D7F"/>
    <w:rsid w:val="00EF407C"/>
    <w:rsid w:val="00F0007E"/>
    <w:rsid w:val="00F01461"/>
    <w:rsid w:val="00F014EF"/>
    <w:rsid w:val="00F01B5B"/>
    <w:rsid w:val="00F02D2A"/>
    <w:rsid w:val="00F03BB4"/>
    <w:rsid w:val="00F04438"/>
    <w:rsid w:val="00F07504"/>
    <w:rsid w:val="00F159A9"/>
    <w:rsid w:val="00F16C36"/>
    <w:rsid w:val="00F20389"/>
    <w:rsid w:val="00F211BC"/>
    <w:rsid w:val="00F21A2E"/>
    <w:rsid w:val="00F21AC2"/>
    <w:rsid w:val="00F22655"/>
    <w:rsid w:val="00F2330B"/>
    <w:rsid w:val="00F236AE"/>
    <w:rsid w:val="00F25563"/>
    <w:rsid w:val="00F25612"/>
    <w:rsid w:val="00F261CC"/>
    <w:rsid w:val="00F27BF4"/>
    <w:rsid w:val="00F3040D"/>
    <w:rsid w:val="00F3117A"/>
    <w:rsid w:val="00F31826"/>
    <w:rsid w:val="00F31E5F"/>
    <w:rsid w:val="00F32F82"/>
    <w:rsid w:val="00F34DB3"/>
    <w:rsid w:val="00F361B9"/>
    <w:rsid w:val="00F3760E"/>
    <w:rsid w:val="00F40FAC"/>
    <w:rsid w:val="00F4129E"/>
    <w:rsid w:val="00F41321"/>
    <w:rsid w:val="00F42E73"/>
    <w:rsid w:val="00F43391"/>
    <w:rsid w:val="00F45E51"/>
    <w:rsid w:val="00F46155"/>
    <w:rsid w:val="00F4644F"/>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2112"/>
    <w:rsid w:val="00F83739"/>
    <w:rsid w:val="00F83E15"/>
    <w:rsid w:val="00F83F5E"/>
    <w:rsid w:val="00F865C3"/>
    <w:rsid w:val="00F9008C"/>
    <w:rsid w:val="00F90175"/>
    <w:rsid w:val="00F90C8E"/>
    <w:rsid w:val="00F90F1F"/>
    <w:rsid w:val="00F93781"/>
    <w:rsid w:val="00F938AE"/>
    <w:rsid w:val="00F94019"/>
    <w:rsid w:val="00F9452E"/>
    <w:rsid w:val="00F95039"/>
    <w:rsid w:val="00F96431"/>
    <w:rsid w:val="00F96537"/>
    <w:rsid w:val="00F966E4"/>
    <w:rsid w:val="00F9695C"/>
    <w:rsid w:val="00F97A28"/>
    <w:rsid w:val="00FA06A4"/>
    <w:rsid w:val="00FA0EC1"/>
    <w:rsid w:val="00FA1AC3"/>
    <w:rsid w:val="00FA1FF9"/>
    <w:rsid w:val="00FA2C2B"/>
    <w:rsid w:val="00FA2E13"/>
    <w:rsid w:val="00FA326D"/>
    <w:rsid w:val="00FA3678"/>
    <w:rsid w:val="00FA3E70"/>
    <w:rsid w:val="00FA62F9"/>
    <w:rsid w:val="00FA636C"/>
    <w:rsid w:val="00FA6B49"/>
    <w:rsid w:val="00FA6B59"/>
    <w:rsid w:val="00FB03A9"/>
    <w:rsid w:val="00FB32CA"/>
    <w:rsid w:val="00FB613B"/>
    <w:rsid w:val="00FB6CFF"/>
    <w:rsid w:val="00FC120C"/>
    <w:rsid w:val="00FC309D"/>
    <w:rsid w:val="00FC55A5"/>
    <w:rsid w:val="00FC562D"/>
    <w:rsid w:val="00FC59E3"/>
    <w:rsid w:val="00FC5F7D"/>
    <w:rsid w:val="00FC65C8"/>
    <w:rsid w:val="00FC68B7"/>
    <w:rsid w:val="00FC6CC4"/>
    <w:rsid w:val="00FC6F80"/>
    <w:rsid w:val="00FD2352"/>
    <w:rsid w:val="00FD281D"/>
    <w:rsid w:val="00FD29EB"/>
    <w:rsid w:val="00FD3D1C"/>
    <w:rsid w:val="00FD3F98"/>
    <w:rsid w:val="00FD4196"/>
    <w:rsid w:val="00FD66C4"/>
    <w:rsid w:val="00FD76C4"/>
    <w:rsid w:val="00FE106A"/>
    <w:rsid w:val="00FE1A0E"/>
    <w:rsid w:val="00FE4AAE"/>
    <w:rsid w:val="00FE5881"/>
    <w:rsid w:val="00FE646D"/>
    <w:rsid w:val="00FE71DB"/>
    <w:rsid w:val="00FE7450"/>
    <w:rsid w:val="00FF145D"/>
    <w:rsid w:val="00FF1CEB"/>
    <w:rsid w:val="00FF3A20"/>
    <w:rsid w:val="00FF3C22"/>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9FB26E2"/>
  <w15:chartTrackingRefBased/>
  <w15:docId w15:val="{97890139-E7EE-4D5C-BDC7-53212DC9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5B41-2DE1-4C5A-B345-7F19B6AD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5</Pages>
  <Words>1570</Words>
  <Characters>8950</Characters>
  <Application>Microsoft Office Word</Application>
  <DocSecurity>0</DocSecurity>
  <Lines>74</Lines>
  <Paragraphs>20</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oica</dc:creator>
  <cp:keywords/>
  <cp:lastModifiedBy>Caillot</cp:lastModifiedBy>
  <cp:revision>3</cp:revision>
  <cp:lastPrinted>2014-11-03T16:14:00Z</cp:lastPrinted>
  <dcterms:created xsi:type="dcterms:W3CDTF">2016-03-23T15:17:00Z</dcterms:created>
  <dcterms:modified xsi:type="dcterms:W3CDTF">2016-03-23T15:17:00Z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