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000" w:firstRow="0" w:lastRow="0" w:firstColumn="0" w:lastColumn="0" w:noHBand="0" w:noVBand="0"/>
      </w:tblPr>
      <w:tblGrid>
        <w:gridCol w:w="4536"/>
        <w:gridCol w:w="5103"/>
      </w:tblGrid>
      <w:tr w:rsidR="00A72FF7" w:rsidRPr="00AF4696" w:rsidTr="003C2D6B">
        <w:tc>
          <w:tcPr>
            <w:tcW w:w="4536" w:type="dxa"/>
            <w:vAlign w:val="center"/>
          </w:tcPr>
          <w:p w:rsidR="00A72FF7" w:rsidRPr="00AF4696" w:rsidRDefault="00A72FF7" w:rsidP="003C2D6B">
            <w:pPr>
              <w:spacing w:after="0"/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F4696">
              <w:rPr>
                <w:rFonts w:ascii="Times New Roman" w:hAnsi="Times New Roman" w:cs="Times New Roman"/>
                <w:sz w:val="20"/>
                <w:szCs w:val="20"/>
              </w:rPr>
              <w:t xml:space="preserve">Transmitted by the </w:t>
            </w:r>
            <w:r w:rsidRPr="00AF4696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experts from</w:t>
            </w:r>
            <w:r w:rsidRPr="00AF4696">
              <w:rPr>
                <w:rFonts w:ascii="Times New Roman" w:hAnsi="Times New Roman" w:cs="Times New Roman"/>
                <w:sz w:val="20"/>
                <w:szCs w:val="20"/>
              </w:rPr>
              <w:t xml:space="preserve"> The International Automotive Lighting and Light Signalling Expert Group (GTB</w:t>
            </w:r>
            <w:r w:rsidR="00856B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5103" w:type="dxa"/>
          </w:tcPr>
          <w:p w:rsidR="00A72FF7" w:rsidRPr="00AF4696" w:rsidRDefault="00A72FF7" w:rsidP="003C2D6B">
            <w:pPr>
              <w:spacing w:after="0"/>
              <w:ind w:left="141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F4696">
              <w:rPr>
                <w:rFonts w:ascii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Informal </w:t>
            </w:r>
            <w:r w:rsidRPr="00892C3A">
              <w:rPr>
                <w:rFonts w:ascii="Times New Roman" w:hAnsi="Times New Roman" w:cs="Times New Roman"/>
                <w:sz w:val="20"/>
                <w:szCs w:val="20"/>
                <w:u w:val="single"/>
                <w:lang w:eastAsia="ar-SA"/>
              </w:rPr>
              <w:t>document</w:t>
            </w:r>
            <w:r w:rsidRPr="00892C3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892C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GRE-76</w:t>
            </w:r>
            <w:r w:rsidRPr="00892C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-</w:t>
            </w:r>
            <w:r w:rsidR="00892C3A" w:rsidRPr="00892C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07</w:t>
            </w:r>
          </w:p>
          <w:p w:rsidR="00A72FF7" w:rsidRPr="00AF4696" w:rsidRDefault="00A72FF7" w:rsidP="003C2D6B">
            <w:pPr>
              <w:tabs>
                <w:tab w:val="center" w:pos="4677"/>
                <w:tab w:val="right" w:pos="9355"/>
              </w:tabs>
              <w:spacing w:after="0"/>
              <w:ind w:left="141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F46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(7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6th</w:t>
            </w:r>
            <w:r w:rsidRPr="00AF46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GRE,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25-28 October 2016</w:t>
            </w:r>
          </w:p>
          <w:p w:rsidR="00A72FF7" w:rsidRPr="00AF4696" w:rsidRDefault="00A72FF7" w:rsidP="00E770DA">
            <w:pPr>
              <w:tabs>
                <w:tab w:val="center" w:pos="4677"/>
                <w:tab w:val="right" w:pos="9355"/>
              </w:tabs>
              <w:spacing w:after="0"/>
              <w:ind w:left="141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F46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agenda item </w:t>
            </w:r>
            <w:r w:rsidR="00E770D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</w:tr>
    </w:tbl>
    <w:p w:rsidR="00A72FF7" w:rsidRDefault="00A72FF7" w:rsidP="00A72FF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2FF7" w:rsidRDefault="00E770DA" w:rsidP="00A72FF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Correction to </w:t>
      </w:r>
      <w:r w:rsidR="00892C3A">
        <w:rPr>
          <w:rFonts w:ascii="Times New Roman" w:hAnsi="Times New Roman" w:cs="Times New Roman"/>
          <w:sz w:val="28"/>
          <w:szCs w:val="28"/>
        </w:rPr>
        <w:t>ECE/TRANS/WP.29/</w:t>
      </w:r>
      <w:r>
        <w:rPr>
          <w:rFonts w:ascii="Times New Roman" w:hAnsi="Times New Roman" w:cs="Times New Roman"/>
          <w:sz w:val="28"/>
          <w:szCs w:val="28"/>
        </w:rPr>
        <w:t>GRE/2016/31</w:t>
      </w:r>
    </w:p>
    <w:p w:rsidR="00A72FF7" w:rsidRDefault="00A72FF7" w:rsidP="00A72FF7">
      <w:pPr>
        <w:contextualSpacing/>
        <w:jc w:val="center"/>
        <w:rPr>
          <w:rFonts w:ascii="Times New Roman" w:hAnsi="Times New Roman" w:cs="Times New Roman"/>
          <w:sz w:val="20"/>
          <w:szCs w:val="20"/>
          <w:lang w:eastAsia="en-GB"/>
        </w:rPr>
      </w:pPr>
    </w:p>
    <w:p w:rsidR="00A72FF7" w:rsidRPr="00BB4BA2" w:rsidRDefault="00A72FF7" w:rsidP="00A72FF7">
      <w:pPr>
        <w:contextualSpacing/>
        <w:jc w:val="both"/>
        <w:rPr>
          <w:rFonts w:ascii="Times New Roman" w:hAnsi="Times New Roman" w:cs="Times New Roman"/>
          <w:sz w:val="20"/>
          <w:szCs w:val="20"/>
          <w:lang w:eastAsia="en-GB"/>
        </w:rPr>
      </w:pPr>
    </w:p>
    <w:p w:rsidR="00A72FF7" w:rsidRPr="00C15110" w:rsidRDefault="00A72FF7" w:rsidP="006B44F3">
      <w:pPr>
        <w:ind w:left="1134" w:right="52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B44F3">
        <w:rPr>
          <w:rFonts w:ascii="Times New Roman" w:hAnsi="Times New Roman" w:cs="Times New Roman"/>
          <w:sz w:val="20"/>
          <w:szCs w:val="20"/>
          <w:lang w:val="en-US"/>
        </w:rPr>
        <w:t>Proposal</w:t>
      </w:r>
      <w:r w:rsidRPr="006B44F3">
        <w:rPr>
          <w:rFonts w:ascii="Times New Roman" w:hAnsi="Times New Roman" w:cs="Times New Roman"/>
          <w:sz w:val="20"/>
          <w:szCs w:val="20"/>
        </w:rPr>
        <w:t xml:space="preserve"> </w:t>
      </w:r>
      <w:r w:rsidR="00E770DA" w:rsidRPr="006B44F3">
        <w:rPr>
          <w:rFonts w:ascii="Times New Roman" w:hAnsi="Times New Roman" w:cs="Times New Roman"/>
          <w:sz w:val="20"/>
          <w:szCs w:val="20"/>
        </w:rPr>
        <w:t>G - Supplement 5 to the 01 series of amendments to Regulation No. 119 (Cornering lamps)</w:t>
      </w:r>
      <w:r w:rsidR="006B44F3">
        <w:rPr>
          <w:rFonts w:ascii="Times New Roman" w:hAnsi="Times New Roman" w:cs="Times New Roman"/>
          <w:sz w:val="20"/>
          <w:szCs w:val="20"/>
        </w:rPr>
        <w:t xml:space="preserve">, </w:t>
      </w:r>
      <w:r w:rsidR="006B44F3">
        <w:rPr>
          <w:rFonts w:ascii="Times New Roman" w:hAnsi="Times New Roman" w:cs="Times New Roman"/>
          <w:i/>
          <w:sz w:val="20"/>
          <w:szCs w:val="20"/>
        </w:rPr>
        <w:t>n</w:t>
      </w:r>
      <w:r w:rsidR="00E770DA" w:rsidRPr="00C15110">
        <w:rPr>
          <w:rFonts w:ascii="Times New Roman" w:hAnsi="Times New Roman" w:cs="Times New Roman"/>
          <w:i/>
          <w:sz w:val="20"/>
          <w:szCs w:val="20"/>
        </w:rPr>
        <w:t xml:space="preserve">ew </w:t>
      </w:r>
      <w:r w:rsidR="00C15110" w:rsidRPr="00C15110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Pr="00C15110">
        <w:rPr>
          <w:rFonts w:ascii="Times New Roman" w:hAnsi="Times New Roman" w:cs="Times New Roman"/>
          <w:i/>
          <w:sz w:val="20"/>
          <w:szCs w:val="20"/>
          <w:lang w:val="en-US"/>
        </w:rPr>
        <w:t xml:space="preserve">aragraph </w:t>
      </w:r>
      <w:r w:rsidR="00C15110">
        <w:rPr>
          <w:rFonts w:ascii="Times New Roman" w:hAnsi="Times New Roman" w:cs="Times New Roman"/>
          <w:i/>
          <w:sz w:val="20"/>
          <w:szCs w:val="20"/>
          <w:lang w:val="en-US"/>
        </w:rPr>
        <w:t>6.5</w:t>
      </w:r>
      <w:r w:rsidRPr="00C15110">
        <w:rPr>
          <w:rFonts w:ascii="Times New Roman" w:hAnsi="Times New Roman" w:cs="Times New Roman"/>
          <w:i/>
          <w:sz w:val="20"/>
          <w:szCs w:val="20"/>
          <w:lang w:val="en-US"/>
        </w:rPr>
        <w:t xml:space="preserve">., </w:t>
      </w:r>
      <w:r w:rsidR="00E770DA" w:rsidRPr="00C15110">
        <w:rPr>
          <w:rFonts w:ascii="Times New Roman" w:hAnsi="Times New Roman" w:cs="Times New Roman"/>
          <w:sz w:val="20"/>
          <w:szCs w:val="20"/>
          <w:lang w:val="en-US"/>
        </w:rPr>
        <w:t>correct to read</w:t>
      </w:r>
      <w:r w:rsidRPr="00C15110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13595C" w:rsidRPr="00C15110" w:rsidRDefault="00C15110" w:rsidP="0013595C">
      <w:pPr>
        <w:ind w:left="2268" w:right="1134" w:hanging="1134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“</w:t>
      </w:r>
      <w:r w:rsidR="0013595C" w:rsidRPr="00C15110">
        <w:rPr>
          <w:rFonts w:ascii="Times New Roman" w:eastAsia="Calibri" w:hAnsi="Times New Roman" w:cs="Times New Roman"/>
          <w:b/>
          <w:sz w:val="20"/>
          <w:szCs w:val="20"/>
        </w:rPr>
        <w:t>6.5.2.</w:t>
      </w:r>
      <w:r w:rsidR="0013595C" w:rsidRPr="00C15110">
        <w:rPr>
          <w:rFonts w:ascii="Times New Roman" w:eastAsia="Calibri" w:hAnsi="Times New Roman" w:cs="Times New Roman"/>
          <w:sz w:val="20"/>
          <w:szCs w:val="20"/>
        </w:rPr>
        <w:tab/>
      </w:r>
      <w:r w:rsidR="0013595C" w:rsidRPr="00C15110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In case of failure of any one light source in a single lamp containing more than one light source, at least one of the following provisions shall apply:</w:t>
      </w:r>
    </w:p>
    <w:p w:rsidR="0013595C" w:rsidRPr="00C15110" w:rsidRDefault="0013595C" w:rsidP="0013595C">
      <w:pPr>
        <w:tabs>
          <w:tab w:val="left" w:pos="2268"/>
        </w:tabs>
        <w:ind w:left="2835" w:right="1134" w:hanging="2835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15110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ab/>
        <w:t>(a)</w:t>
      </w:r>
      <w:r w:rsidRPr="00C15110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ab/>
        <w:t xml:space="preserve">The light intensity </w:t>
      </w:r>
      <w:r w:rsidRPr="00C15110">
        <w:rPr>
          <w:rFonts w:ascii="Times New Roman" w:eastAsia="Calibri" w:hAnsi="Times New Roman" w:cs="Times New Roman"/>
          <w:b/>
          <w:bCs/>
          <w:sz w:val="20"/>
          <w:szCs w:val="20"/>
        </w:rPr>
        <w:t>complies with the minimum intensity required in the table of standard light distribution in space as shown in Annex 3, or</w:t>
      </w:r>
    </w:p>
    <w:p w:rsidR="0013595C" w:rsidRPr="00C15110" w:rsidRDefault="0013595C" w:rsidP="0013595C">
      <w:pPr>
        <w:tabs>
          <w:tab w:val="left" w:pos="2268"/>
        </w:tabs>
        <w:ind w:left="2835" w:right="1134" w:hanging="2835"/>
        <w:jc w:val="both"/>
        <w:rPr>
          <w:rFonts w:ascii="Times New Roman" w:eastAsia="Calibri" w:hAnsi="Times New Roman" w:cs="Times New Roman"/>
          <w:b/>
          <w:bCs/>
          <w:strike/>
          <w:snapToGrid w:val="0"/>
          <w:sz w:val="20"/>
          <w:szCs w:val="20"/>
        </w:rPr>
      </w:pPr>
      <w:r w:rsidRPr="00C15110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ab/>
      </w:r>
      <w:r w:rsidRPr="00C15110">
        <w:rPr>
          <w:rFonts w:ascii="Times New Roman" w:eastAsia="Calibri" w:hAnsi="Times New Roman" w:cs="Times New Roman"/>
          <w:b/>
          <w:bCs/>
          <w:strike/>
          <w:snapToGrid w:val="0"/>
          <w:sz w:val="20"/>
          <w:szCs w:val="20"/>
        </w:rPr>
        <w:t>(</w:t>
      </w:r>
      <w:r w:rsidRPr="00C15110">
        <w:rPr>
          <w:rFonts w:ascii="Times New Roman" w:eastAsia="Calibri" w:hAnsi="Times New Roman" w:cs="Times New Roman"/>
          <w:b/>
          <w:bCs/>
          <w:strike/>
          <w:sz w:val="20"/>
          <w:szCs w:val="20"/>
          <w:lang w:val="en-US"/>
        </w:rPr>
        <w:t>b)</w:t>
      </w:r>
      <w:r w:rsidRPr="00C15110">
        <w:rPr>
          <w:rFonts w:ascii="Times New Roman" w:eastAsia="Calibri" w:hAnsi="Times New Roman" w:cs="Times New Roman"/>
          <w:b/>
          <w:bCs/>
          <w:strike/>
          <w:sz w:val="20"/>
          <w:szCs w:val="20"/>
          <w:lang w:val="en-US"/>
        </w:rPr>
        <w:tab/>
        <w:t xml:space="preserve">A signal for activation of a tell-tale indicating failure, as indicated in paragraph 6.20.8. </w:t>
      </w:r>
      <w:proofErr w:type="gramStart"/>
      <w:r w:rsidRPr="00C15110">
        <w:rPr>
          <w:rFonts w:ascii="Times New Roman" w:eastAsia="Calibri" w:hAnsi="Times New Roman" w:cs="Times New Roman"/>
          <w:b/>
          <w:bCs/>
          <w:strike/>
          <w:sz w:val="20"/>
          <w:szCs w:val="20"/>
          <w:lang w:val="en-US"/>
        </w:rPr>
        <w:t>of</w:t>
      </w:r>
      <w:proofErr w:type="gramEnd"/>
      <w:r w:rsidRPr="00C15110">
        <w:rPr>
          <w:rFonts w:ascii="Times New Roman" w:eastAsia="Calibri" w:hAnsi="Times New Roman" w:cs="Times New Roman"/>
          <w:b/>
          <w:bCs/>
          <w:strike/>
          <w:sz w:val="20"/>
          <w:szCs w:val="20"/>
          <w:lang w:val="en-US"/>
        </w:rPr>
        <w:t xml:space="preserve"> Regulation No. 48, is produced, provided that the luminous intensity </w:t>
      </w:r>
      <w:r w:rsidRPr="00C15110">
        <w:rPr>
          <w:rFonts w:ascii="Times New Roman" w:eastAsia="Calibri" w:hAnsi="Times New Roman" w:cs="Times New Roman"/>
          <w:b/>
          <w:bCs/>
          <w:strike/>
          <w:snapToGrid w:val="0"/>
          <w:sz w:val="20"/>
          <w:szCs w:val="20"/>
        </w:rPr>
        <w:t>in the axis of reference</w:t>
      </w:r>
      <w:r w:rsidRPr="00C15110">
        <w:rPr>
          <w:rFonts w:ascii="Times New Roman" w:eastAsia="Calibri" w:hAnsi="Times New Roman" w:cs="Times New Roman"/>
          <w:b/>
          <w:bCs/>
          <w:strike/>
          <w:sz w:val="20"/>
          <w:szCs w:val="20"/>
          <w:lang w:val="en-US"/>
        </w:rPr>
        <w:t xml:space="preserve"> is at least 50</w:t>
      </w:r>
      <w:r w:rsidRPr="00C15110">
        <w:rPr>
          <w:rFonts w:ascii="Times New Roman" w:eastAsia="Calibri" w:hAnsi="Times New Roman" w:cs="Times New Roman"/>
          <w:b/>
          <w:bCs/>
          <w:strike/>
          <w:snapToGrid w:val="0"/>
          <w:sz w:val="20"/>
          <w:szCs w:val="20"/>
          <w:lang w:val="en-US"/>
        </w:rPr>
        <w:t xml:space="preserve"> </w:t>
      </w:r>
      <w:r w:rsidRPr="00C15110">
        <w:rPr>
          <w:rFonts w:ascii="Times New Roman" w:eastAsia="Calibri" w:hAnsi="Times New Roman" w:cs="Times New Roman"/>
          <w:b/>
          <w:bCs/>
          <w:strike/>
          <w:snapToGrid w:val="0"/>
          <w:sz w:val="20"/>
          <w:szCs w:val="20"/>
        </w:rPr>
        <w:t xml:space="preserve">per cent of the minimum intensity required. </w:t>
      </w:r>
      <w:proofErr w:type="gramStart"/>
      <w:r w:rsidRPr="00C15110">
        <w:rPr>
          <w:rFonts w:ascii="Times New Roman" w:eastAsia="Calibri" w:hAnsi="Times New Roman" w:cs="Times New Roman"/>
          <w:b/>
          <w:bCs/>
          <w:strike/>
          <w:snapToGrid w:val="0"/>
          <w:sz w:val="20"/>
          <w:szCs w:val="20"/>
        </w:rPr>
        <w:t>In this case a note in the communication form states that the lamp is only for use on a vehicle fitted with a tell-tale</w:t>
      </w:r>
      <w:r w:rsidRPr="00C15110">
        <w:rPr>
          <w:rFonts w:ascii="Times New Roman" w:hAnsi="Times New Roman" w:cs="Times New Roman"/>
          <w:b/>
          <w:strike/>
          <w:sz w:val="20"/>
          <w:szCs w:val="20"/>
          <w:lang w:val="en-US"/>
        </w:rPr>
        <w:t xml:space="preserve"> indicating failure</w:t>
      </w:r>
      <w:r w:rsidRPr="00C15110">
        <w:rPr>
          <w:rFonts w:ascii="Times New Roman" w:eastAsia="Calibri" w:hAnsi="Times New Roman" w:cs="Times New Roman"/>
          <w:b/>
          <w:bCs/>
          <w:strike/>
          <w:snapToGrid w:val="0"/>
          <w:sz w:val="20"/>
          <w:szCs w:val="20"/>
        </w:rPr>
        <w:t>."</w:t>
      </w:r>
      <w:proofErr w:type="gramEnd"/>
    </w:p>
    <w:p w:rsidR="0013595C" w:rsidRPr="00C15110" w:rsidRDefault="0013595C" w:rsidP="0013595C">
      <w:pPr>
        <w:tabs>
          <w:tab w:val="left" w:pos="2268"/>
        </w:tabs>
        <w:ind w:left="2835" w:right="1134" w:hanging="283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5110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ab/>
        <w:t>(</w:t>
      </w:r>
      <w:r w:rsidRPr="00C1511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b)</w:t>
      </w:r>
      <w:r w:rsidRPr="00C1511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ab/>
      </w:r>
      <w:r w:rsidR="00C15110" w:rsidRPr="00C1511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A signal for activation of a tell-tale indicating failure, as indicated in paragraph 6.20.8. </w:t>
      </w:r>
      <w:proofErr w:type="gramStart"/>
      <w:r w:rsidR="00C15110" w:rsidRPr="00C1511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of</w:t>
      </w:r>
      <w:proofErr w:type="gramEnd"/>
      <w:r w:rsidR="00C15110" w:rsidRPr="00C1511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 Regulation No. 48, is produced, provided that the luminous intensity </w:t>
      </w:r>
      <w:r w:rsidR="00C15110" w:rsidRPr="00C15110">
        <w:rPr>
          <w:rFonts w:ascii="Times New Roman" w:hAnsi="Times New Roman" w:cs="Times New Roman"/>
          <w:b/>
          <w:iCs/>
          <w:sz w:val="20"/>
          <w:szCs w:val="20"/>
          <w:lang w:val="en-US" w:eastAsia="fi-FI"/>
        </w:rPr>
        <w:t>at 2.5°D 45°L for a left-side lamp (the L angle should be substituted for the R angle for a right-side lamp)</w:t>
      </w:r>
      <w:r w:rsidR="00C15110">
        <w:rPr>
          <w:rFonts w:ascii="Times New Roman" w:hAnsi="Times New Roman" w:cs="Times New Roman"/>
          <w:b/>
          <w:iCs/>
          <w:sz w:val="20"/>
          <w:szCs w:val="20"/>
          <w:lang w:val="en-US" w:eastAsia="fi-FI"/>
        </w:rPr>
        <w:t xml:space="preserve"> </w:t>
      </w:r>
      <w:r w:rsidR="00C15110" w:rsidRPr="00C1511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is at least 50</w:t>
      </w:r>
      <w:r w:rsidR="00C15110" w:rsidRPr="00C15110">
        <w:rPr>
          <w:rFonts w:ascii="Times New Roman" w:eastAsia="Calibri" w:hAnsi="Times New Roman" w:cs="Times New Roman"/>
          <w:b/>
          <w:bCs/>
          <w:snapToGrid w:val="0"/>
          <w:sz w:val="20"/>
          <w:szCs w:val="20"/>
          <w:lang w:val="en-US"/>
        </w:rPr>
        <w:t xml:space="preserve"> </w:t>
      </w:r>
      <w:r w:rsidR="00C15110" w:rsidRPr="00C15110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 xml:space="preserve">per cent of the minimum intensity required. </w:t>
      </w:r>
      <w:proofErr w:type="gramStart"/>
      <w:r w:rsidR="00C15110" w:rsidRPr="00C15110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In this case a note in the communication form states that the lamp is only for use on a vehicle fitted with a tell-tale</w:t>
      </w:r>
      <w:r w:rsidR="00C15110" w:rsidRPr="00C1511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indicating failure</w:t>
      </w:r>
      <w:r w:rsidR="00C15110" w:rsidRPr="00C15110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."</w:t>
      </w:r>
      <w:proofErr w:type="gramEnd"/>
    </w:p>
    <w:p w:rsidR="00C15110" w:rsidRDefault="00C15110" w:rsidP="00C15110">
      <w:pPr>
        <w:ind w:left="2268" w:right="521" w:hanging="113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The table in the justification: </w:t>
      </w:r>
      <w:r w:rsidRPr="00C15110">
        <w:rPr>
          <w:rFonts w:ascii="Times New Roman" w:hAnsi="Times New Roman" w:cs="Times New Roman"/>
          <w:sz w:val="20"/>
          <w:szCs w:val="20"/>
          <w:lang w:val="en-US"/>
        </w:rPr>
        <w:t>correct to read:</w:t>
      </w:r>
    </w:p>
    <w:tbl>
      <w:tblPr>
        <w:tblStyle w:val="TableGrid"/>
        <w:tblW w:w="0" w:type="auto"/>
        <w:tblInd w:w="1139" w:type="dxa"/>
        <w:tblLook w:val="04A0" w:firstRow="1" w:lastRow="0" w:firstColumn="1" w:lastColumn="0" w:noHBand="0" w:noVBand="1"/>
      </w:tblPr>
      <w:tblGrid>
        <w:gridCol w:w="505"/>
        <w:gridCol w:w="3363"/>
        <w:gridCol w:w="3582"/>
      </w:tblGrid>
      <w:tr w:rsidR="00C15110" w:rsidRPr="00C15110" w:rsidTr="006252D5">
        <w:trPr>
          <w:trHeight w:val="3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5110" w:rsidRPr="00C15110" w:rsidRDefault="00C15110" w:rsidP="006252D5">
            <w:pPr>
              <w:pStyle w:val="SingleTxtG"/>
              <w:tabs>
                <w:tab w:val="left" w:pos="2835"/>
              </w:tabs>
              <w:spacing w:before="80" w:after="80" w:line="200" w:lineRule="exact"/>
              <w:ind w:left="0" w:right="79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5110" w:rsidRPr="00C15110" w:rsidRDefault="00C15110" w:rsidP="006252D5">
            <w:pPr>
              <w:pStyle w:val="SingleTxtG"/>
              <w:spacing w:before="80" w:after="80" w:line="200" w:lineRule="exact"/>
              <w:ind w:left="0" w:right="34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5110">
              <w:rPr>
                <w:rFonts w:ascii="Times New Roman" w:hAnsi="Times New Roman" w:cs="Times New Roman"/>
                <w:i/>
                <w:sz w:val="18"/>
                <w:szCs w:val="18"/>
              </w:rPr>
              <w:t>Failure condition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5110" w:rsidRPr="00C15110" w:rsidRDefault="00C15110" w:rsidP="006252D5">
            <w:pPr>
              <w:pStyle w:val="SingleTxtG"/>
              <w:spacing w:before="80" w:after="80" w:line="200" w:lineRule="exact"/>
              <w:ind w:left="0" w:right="141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5110">
              <w:rPr>
                <w:rFonts w:ascii="Times New Roman" w:hAnsi="Times New Roman" w:cs="Times New Roman"/>
                <w:i/>
                <w:sz w:val="18"/>
                <w:szCs w:val="18"/>
              </w:rPr>
              <w:t>Approval requirement</w:t>
            </w:r>
          </w:p>
        </w:tc>
      </w:tr>
      <w:tr w:rsidR="00C15110" w:rsidRPr="00C15110" w:rsidTr="006252D5">
        <w:trPr>
          <w:trHeight w:val="1134"/>
        </w:trPr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15110" w:rsidRPr="00C15110" w:rsidRDefault="00C15110" w:rsidP="006252D5">
            <w:pPr>
              <w:pStyle w:val="SingleTxtG"/>
              <w:tabs>
                <w:tab w:val="left" w:pos="2835"/>
              </w:tabs>
              <w:spacing w:before="40" w:line="220" w:lineRule="exact"/>
              <w:ind w:left="0" w:right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110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336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15110" w:rsidRPr="00C15110" w:rsidRDefault="00C15110" w:rsidP="006252D5">
            <w:pPr>
              <w:pStyle w:val="SingleTxtG"/>
              <w:spacing w:before="40" w:line="220" w:lineRule="exact"/>
              <w:ind w:left="113"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15110">
              <w:rPr>
                <w:rFonts w:ascii="Times New Roman" w:hAnsi="Times New Roman" w:cs="Times New Roman"/>
                <w:sz w:val="18"/>
                <w:szCs w:val="18"/>
              </w:rPr>
              <w:t>In the case of failure of one light source, the lamp still produces more than the minimum photometric values prescribed in the photometric field</w:t>
            </w:r>
          </w:p>
        </w:tc>
        <w:tc>
          <w:tcPr>
            <w:tcW w:w="358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15110" w:rsidRPr="00C15110" w:rsidRDefault="00C15110" w:rsidP="006252D5">
            <w:pPr>
              <w:pStyle w:val="SingleTxtG"/>
              <w:spacing w:before="40" w:line="220" w:lineRule="exact"/>
              <w:ind w:left="113"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15110">
              <w:rPr>
                <w:rFonts w:ascii="Times New Roman" w:hAnsi="Times New Roman" w:cs="Times New Roman"/>
                <w:sz w:val="18"/>
                <w:szCs w:val="18"/>
              </w:rPr>
              <w:t xml:space="preserve">The lamp may be approved either according to the requirement in paragraph 6.1.7.2. (a) </w:t>
            </w:r>
            <w:proofErr w:type="gramStart"/>
            <w:r w:rsidRPr="00C15110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proofErr w:type="gramEnd"/>
            <w:r w:rsidRPr="00C15110">
              <w:rPr>
                <w:rFonts w:ascii="Times New Roman" w:hAnsi="Times New Roman" w:cs="Times New Roman"/>
                <w:sz w:val="18"/>
                <w:szCs w:val="18"/>
              </w:rPr>
              <w:t xml:space="preserve"> to the requirement in paragraph 6.1.7.2. (b) </w:t>
            </w:r>
          </w:p>
        </w:tc>
      </w:tr>
      <w:tr w:rsidR="00C15110" w:rsidRPr="00C15110" w:rsidTr="006252D5">
        <w:trPr>
          <w:trHeight w:val="113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110" w:rsidRPr="00C15110" w:rsidRDefault="00C15110" w:rsidP="006252D5">
            <w:pPr>
              <w:pStyle w:val="SingleTxtG"/>
              <w:spacing w:before="40" w:line="220" w:lineRule="exact"/>
              <w:ind w:left="0" w:right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110">
              <w:rPr>
                <w:rFonts w:ascii="Times New Roman" w:hAnsi="Times New Roman" w:cs="Times New Roman"/>
                <w:sz w:val="18"/>
                <w:szCs w:val="18"/>
              </w:rPr>
              <w:t>(b)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110" w:rsidRPr="00C15110" w:rsidRDefault="00C15110" w:rsidP="006252D5">
            <w:pPr>
              <w:pStyle w:val="SingleTxtG"/>
              <w:spacing w:before="40" w:line="220" w:lineRule="exact"/>
              <w:ind w:left="113"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15110">
              <w:rPr>
                <w:rFonts w:ascii="Times New Roman" w:hAnsi="Times New Roman" w:cs="Times New Roman"/>
                <w:sz w:val="18"/>
                <w:szCs w:val="18"/>
              </w:rPr>
              <w:t>In case of failure of one light source, the lamp produces less than the minimum photometric values prescribed but more than 50% of the value required in the reference-axis (H-V)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15110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110" w:rsidRPr="00C15110" w:rsidRDefault="00C15110" w:rsidP="006252D5">
            <w:pPr>
              <w:pStyle w:val="SingleTxtG"/>
              <w:spacing w:before="40" w:line="220" w:lineRule="exact"/>
              <w:ind w:left="113"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15110">
              <w:rPr>
                <w:rFonts w:ascii="Times New Roman" w:hAnsi="Times New Roman" w:cs="Times New Roman"/>
                <w:sz w:val="18"/>
                <w:szCs w:val="18"/>
              </w:rPr>
              <w:t>The lamp may only be approved according to the requirement in paragraph 6.1.7.2. (b).</w:t>
            </w:r>
          </w:p>
        </w:tc>
      </w:tr>
      <w:tr w:rsidR="00C15110" w:rsidRPr="00C15110" w:rsidTr="006252D5">
        <w:trPr>
          <w:trHeight w:val="981"/>
        </w:trPr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15110" w:rsidRPr="00C15110" w:rsidRDefault="00C15110" w:rsidP="006252D5">
            <w:pPr>
              <w:pStyle w:val="SingleTxtG"/>
              <w:spacing w:before="40" w:line="220" w:lineRule="exact"/>
              <w:ind w:left="0" w:right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110">
              <w:rPr>
                <w:rFonts w:ascii="Times New Roman" w:hAnsi="Times New Roman" w:cs="Times New Roman"/>
                <w:sz w:val="18"/>
                <w:szCs w:val="18"/>
              </w:rPr>
              <w:t>(c)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15110" w:rsidRPr="00C15110" w:rsidRDefault="00C15110" w:rsidP="006252D5">
            <w:pPr>
              <w:pStyle w:val="SingleTxtG"/>
              <w:spacing w:before="40" w:line="220" w:lineRule="exact"/>
              <w:ind w:left="113" w:right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110">
              <w:rPr>
                <w:rFonts w:ascii="Times New Roman" w:hAnsi="Times New Roman" w:cs="Times New Roman"/>
                <w:sz w:val="18"/>
                <w:szCs w:val="18"/>
              </w:rPr>
              <w:t>In case of failure of one light source, the lamp produces less than 50% of the photometric value required in the reference-axis (H-V)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*</w:t>
            </w:r>
          </w:p>
          <w:p w:rsidR="00C15110" w:rsidRPr="00C15110" w:rsidRDefault="00C15110" w:rsidP="006B44F3">
            <w:pPr>
              <w:pStyle w:val="SingleTxtG"/>
              <w:spacing w:before="40" w:line="220" w:lineRule="exact"/>
              <w:ind w:left="113" w:right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C151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H-V replaced by </w:t>
            </w:r>
            <w:r w:rsidRPr="00C15110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 w:eastAsia="fi-FI"/>
              </w:rPr>
              <w:t xml:space="preserve">at </w:t>
            </w:r>
            <w:r w:rsidR="006B44F3" w:rsidRPr="00C15110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 w:eastAsia="fi-FI"/>
              </w:rPr>
              <w:t>2.5°D</w:t>
            </w:r>
            <w:r w:rsidR="006B44F3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 w:eastAsia="fi-FI"/>
              </w:rPr>
              <w:t>,</w:t>
            </w:r>
            <w:r w:rsidR="006B44F3" w:rsidRPr="00C15110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 w:eastAsia="fi-FI"/>
              </w:rPr>
              <w:t xml:space="preserve"> </w:t>
            </w:r>
            <w:r w:rsidRPr="00C15110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 w:eastAsia="fi-FI"/>
              </w:rPr>
              <w:t>45°</w:t>
            </w:r>
            <w:r w:rsidR="006B44F3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 w:eastAsia="fi-FI"/>
              </w:rPr>
              <w:t xml:space="preserve"> </w:t>
            </w:r>
            <w:proofErr w:type="spellStart"/>
            <w:r w:rsidRPr="00C15110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 w:eastAsia="fi-FI"/>
              </w:rPr>
              <w:t>L</w:t>
            </w:r>
            <w:r w:rsidR="006B44F3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 w:eastAsia="fi-FI"/>
              </w:rPr>
              <w:t>or</w:t>
            </w:r>
            <w:proofErr w:type="spellEnd"/>
            <w:r w:rsidR="006B44F3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 w:eastAsia="fi-FI"/>
              </w:rPr>
              <w:t xml:space="preserve"> R, </w:t>
            </w:r>
            <w:r w:rsidRPr="00C15110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 w:eastAsia="fi-FI"/>
              </w:rPr>
              <w:t xml:space="preserve"> in the case of cornering lamp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15110" w:rsidRPr="00C15110" w:rsidRDefault="00C15110" w:rsidP="006252D5">
            <w:pPr>
              <w:pStyle w:val="SingleTxtG"/>
              <w:spacing w:before="40" w:line="220" w:lineRule="exact"/>
              <w:ind w:left="113"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15110">
              <w:rPr>
                <w:rFonts w:ascii="Times New Roman" w:hAnsi="Times New Roman" w:cs="Times New Roman"/>
                <w:sz w:val="18"/>
                <w:szCs w:val="18"/>
              </w:rPr>
              <w:t>The lamp cannot be approved.</w:t>
            </w:r>
          </w:p>
        </w:tc>
      </w:tr>
    </w:tbl>
    <w:p w:rsidR="00E770DA" w:rsidRPr="00C15110" w:rsidRDefault="00C15110" w:rsidP="00C15110">
      <w:pPr>
        <w:ind w:left="2268" w:right="521" w:hanging="1134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”</w:t>
      </w:r>
    </w:p>
    <w:p w:rsidR="00A72FF7" w:rsidRPr="00132634" w:rsidRDefault="00A72FF7" w:rsidP="00A72FF7">
      <w:pPr>
        <w:ind w:left="284" w:right="521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F7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C1F7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9C1F7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Justification</w:t>
      </w:r>
    </w:p>
    <w:p w:rsidR="00E770DA" w:rsidRPr="006B44F3" w:rsidRDefault="006B44F3" w:rsidP="006B44F3">
      <w:pPr>
        <w:ind w:left="1134" w:right="52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 the cornering lamp projects a beam to the left and right of the reference axis it is not relevant to check the photometric values in the reference axis (HV). For this reason the test point </w:t>
      </w:r>
      <w:r w:rsidRPr="006B44F3">
        <w:rPr>
          <w:rFonts w:ascii="Times New Roman" w:hAnsi="Times New Roman" w:cs="Times New Roman"/>
          <w:sz w:val="20"/>
          <w:szCs w:val="20"/>
        </w:rPr>
        <w:t xml:space="preserve">at </w:t>
      </w:r>
      <w:r w:rsidRPr="006B44F3">
        <w:rPr>
          <w:rFonts w:ascii="Times New Roman" w:hAnsi="Times New Roman" w:cs="Times New Roman"/>
          <w:iCs/>
          <w:sz w:val="18"/>
          <w:szCs w:val="18"/>
          <w:lang w:val="en-US" w:eastAsia="fi-FI"/>
        </w:rPr>
        <w:t>2.5°D</w:t>
      </w:r>
      <w:r>
        <w:rPr>
          <w:rFonts w:ascii="Times New Roman" w:hAnsi="Times New Roman" w:cs="Times New Roman"/>
          <w:iCs/>
          <w:sz w:val="18"/>
          <w:szCs w:val="18"/>
          <w:lang w:val="en-US" w:eastAsia="fi-FI"/>
        </w:rPr>
        <w:t xml:space="preserve">, </w:t>
      </w:r>
      <w:r w:rsidRPr="006B44F3">
        <w:rPr>
          <w:rFonts w:ascii="Times New Roman" w:hAnsi="Times New Roman" w:cs="Times New Roman"/>
          <w:iCs/>
          <w:sz w:val="18"/>
          <w:szCs w:val="18"/>
          <w:lang w:val="en-US" w:eastAsia="fi-FI"/>
        </w:rPr>
        <w:t xml:space="preserve">45°L </w:t>
      </w:r>
      <w:r>
        <w:rPr>
          <w:rFonts w:ascii="Times New Roman" w:hAnsi="Times New Roman" w:cs="Times New Roman"/>
          <w:iCs/>
          <w:sz w:val="18"/>
          <w:szCs w:val="18"/>
          <w:lang w:val="en-US" w:eastAsia="fi-FI"/>
        </w:rPr>
        <w:t>or R shall be used.</w:t>
      </w:r>
    </w:p>
    <w:p w:rsidR="00A72FF7" w:rsidRPr="009C1F78" w:rsidRDefault="00A72FF7" w:rsidP="00A72FF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</w:t>
      </w:r>
    </w:p>
    <w:p w:rsidR="007620D8" w:rsidRPr="00A72FF7" w:rsidRDefault="007620D8" w:rsidP="00A72FF7">
      <w:pPr>
        <w:rPr>
          <w:szCs w:val="20"/>
        </w:rPr>
      </w:pPr>
    </w:p>
    <w:sectPr w:rsidR="007620D8" w:rsidRPr="00A72FF7" w:rsidSect="007620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757" w:rsidRDefault="00687757" w:rsidP="00495922">
      <w:pPr>
        <w:spacing w:after="0" w:line="240" w:lineRule="auto"/>
      </w:pPr>
      <w:r>
        <w:separator/>
      </w:r>
    </w:p>
  </w:endnote>
  <w:endnote w:type="continuationSeparator" w:id="0">
    <w:p w:rsidR="00687757" w:rsidRDefault="00687757" w:rsidP="0049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FF7" w:rsidRDefault="00A72F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FF7" w:rsidRDefault="00A72F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FF7" w:rsidRDefault="00A72F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757" w:rsidRDefault="00687757" w:rsidP="00495922">
      <w:pPr>
        <w:spacing w:after="0" w:line="240" w:lineRule="auto"/>
      </w:pPr>
      <w:r>
        <w:separator/>
      </w:r>
    </w:p>
  </w:footnote>
  <w:footnote w:type="continuationSeparator" w:id="0">
    <w:p w:rsidR="00687757" w:rsidRDefault="00687757" w:rsidP="00495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3E" w:rsidRDefault="00AF60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3E" w:rsidRDefault="00AF60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FF7" w:rsidRDefault="00A72F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21DB"/>
    <w:multiLevelType w:val="hybridMultilevel"/>
    <w:tmpl w:val="274CD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621D6"/>
    <w:multiLevelType w:val="hybridMultilevel"/>
    <w:tmpl w:val="8C38E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57A1B"/>
    <w:multiLevelType w:val="hybridMultilevel"/>
    <w:tmpl w:val="6E0ADA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C1559"/>
    <w:multiLevelType w:val="hybridMultilevel"/>
    <w:tmpl w:val="6B169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1881"/>
    <w:multiLevelType w:val="hybridMultilevel"/>
    <w:tmpl w:val="A5903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84ED3"/>
    <w:multiLevelType w:val="hybridMultilevel"/>
    <w:tmpl w:val="D2301452"/>
    <w:lvl w:ilvl="0" w:tplc="91AC091C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2C4A3DEE"/>
    <w:multiLevelType w:val="hybridMultilevel"/>
    <w:tmpl w:val="AC142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8458A"/>
    <w:multiLevelType w:val="hybridMultilevel"/>
    <w:tmpl w:val="F41425A0"/>
    <w:lvl w:ilvl="0" w:tplc="B6BE4E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E22F2">
      <w:start w:val="71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3051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6E6F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78D3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785E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B8D9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806B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567A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903F4E"/>
    <w:multiLevelType w:val="hybridMultilevel"/>
    <w:tmpl w:val="C298DD1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379B6719"/>
    <w:multiLevelType w:val="hybridMultilevel"/>
    <w:tmpl w:val="5118827C"/>
    <w:lvl w:ilvl="0" w:tplc="92DA5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4791A"/>
    <w:multiLevelType w:val="hybridMultilevel"/>
    <w:tmpl w:val="5CE084D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D06D78"/>
    <w:multiLevelType w:val="hybridMultilevel"/>
    <w:tmpl w:val="123496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A038A"/>
    <w:multiLevelType w:val="hybridMultilevel"/>
    <w:tmpl w:val="D5FE13AE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55B046E"/>
    <w:multiLevelType w:val="hybridMultilevel"/>
    <w:tmpl w:val="254ADF3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45CA26C3"/>
    <w:multiLevelType w:val="hybridMultilevel"/>
    <w:tmpl w:val="906294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C43B9"/>
    <w:multiLevelType w:val="hybridMultilevel"/>
    <w:tmpl w:val="B46619D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E5151"/>
    <w:multiLevelType w:val="hybridMultilevel"/>
    <w:tmpl w:val="5A562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55524"/>
    <w:multiLevelType w:val="hybridMultilevel"/>
    <w:tmpl w:val="FC40B1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00851"/>
    <w:multiLevelType w:val="hybridMultilevel"/>
    <w:tmpl w:val="F81A9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8C1661"/>
    <w:multiLevelType w:val="hybridMultilevel"/>
    <w:tmpl w:val="5A562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B0245"/>
    <w:multiLevelType w:val="hybridMultilevel"/>
    <w:tmpl w:val="76BEEB70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8CC19EB"/>
    <w:multiLevelType w:val="hybridMultilevel"/>
    <w:tmpl w:val="3BDA75B8"/>
    <w:lvl w:ilvl="0" w:tplc="97AE7C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9D2289"/>
    <w:multiLevelType w:val="hybridMultilevel"/>
    <w:tmpl w:val="5290C7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36056"/>
    <w:multiLevelType w:val="hybridMultilevel"/>
    <w:tmpl w:val="E544F5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E25B09"/>
    <w:multiLevelType w:val="hybridMultilevel"/>
    <w:tmpl w:val="CDBC479C"/>
    <w:lvl w:ilvl="0" w:tplc="C2DABA8A">
      <w:start w:val="2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8C74F2"/>
    <w:multiLevelType w:val="hybridMultilevel"/>
    <w:tmpl w:val="699E6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13"/>
  </w:num>
  <w:num w:numId="5">
    <w:abstractNumId w:val="1"/>
  </w:num>
  <w:num w:numId="6">
    <w:abstractNumId w:val="15"/>
  </w:num>
  <w:num w:numId="7">
    <w:abstractNumId w:val="7"/>
  </w:num>
  <w:num w:numId="8">
    <w:abstractNumId w:val="14"/>
  </w:num>
  <w:num w:numId="9">
    <w:abstractNumId w:val="2"/>
  </w:num>
  <w:num w:numId="10">
    <w:abstractNumId w:val="22"/>
  </w:num>
  <w:num w:numId="11">
    <w:abstractNumId w:val="17"/>
  </w:num>
  <w:num w:numId="12">
    <w:abstractNumId w:val="21"/>
  </w:num>
  <w:num w:numId="13">
    <w:abstractNumId w:val="9"/>
  </w:num>
  <w:num w:numId="14">
    <w:abstractNumId w:val="12"/>
  </w:num>
  <w:num w:numId="15">
    <w:abstractNumId w:val="10"/>
  </w:num>
  <w:num w:numId="16">
    <w:abstractNumId w:val="20"/>
  </w:num>
  <w:num w:numId="17">
    <w:abstractNumId w:val="3"/>
  </w:num>
  <w:num w:numId="18">
    <w:abstractNumId w:val="23"/>
  </w:num>
  <w:num w:numId="19">
    <w:abstractNumId w:val="11"/>
  </w:num>
  <w:num w:numId="20">
    <w:abstractNumId w:val="5"/>
  </w:num>
  <w:num w:numId="21">
    <w:abstractNumId w:val="19"/>
  </w:num>
  <w:num w:numId="22">
    <w:abstractNumId w:val="6"/>
  </w:num>
  <w:num w:numId="23">
    <w:abstractNumId w:val="25"/>
  </w:num>
  <w:num w:numId="24">
    <w:abstractNumId w:val="0"/>
  </w:num>
  <w:num w:numId="25">
    <w:abstractNumId w:val="2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EE"/>
    <w:rsid w:val="00002EB2"/>
    <w:rsid w:val="0001423F"/>
    <w:rsid w:val="00017FE9"/>
    <w:rsid w:val="00045D27"/>
    <w:rsid w:val="00051C83"/>
    <w:rsid w:val="00081A77"/>
    <w:rsid w:val="000A1128"/>
    <w:rsid w:val="000A1FC8"/>
    <w:rsid w:val="000B7673"/>
    <w:rsid w:val="000C613B"/>
    <w:rsid w:val="000D28F7"/>
    <w:rsid w:val="000D767E"/>
    <w:rsid w:val="000D7C97"/>
    <w:rsid w:val="000E04EA"/>
    <w:rsid w:val="00103DA7"/>
    <w:rsid w:val="00104A5D"/>
    <w:rsid w:val="00104B70"/>
    <w:rsid w:val="0010645E"/>
    <w:rsid w:val="00110C8D"/>
    <w:rsid w:val="00132634"/>
    <w:rsid w:val="00133420"/>
    <w:rsid w:val="0013595C"/>
    <w:rsid w:val="001438A2"/>
    <w:rsid w:val="0017295E"/>
    <w:rsid w:val="001842A6"/>
    <w:rsid w:val="00186746"/>
    <w:rsid w:val="001A2878"/>
    <w:rsid w:val="001B36E6"/>
    <w:rsid w:val="001C1E9B"/>
    <w:rsid w:val="001D087A"/>
    <w:rsid w:val="001D6862"/>
    <w:rsid w:val="001E5BB5"/>
    <w:rsid w:val="00203752"/>
    <w:rsid w:val="00215412"/>
    <w:rsid w:val="00215CB0"/>
    <w:rsid w:val="00231A60"/>
    <w:rsid w:val="00232343"/>
    <w:rsid w:val="00233999"/>
    <w:rsid w:val="00233D38"/>
    <w:rsid w:val="00240B3B"/>
    <w:rsid w:val="00241CEE"/>
    <w:rsid w:val="00257C34"/>
    <w:rsid w:val="0026275E"/>
    <w:rsid w:val="00276AB2"/>
    <w:rsid w:val="002925FE"/>
    <w:rsid w:val="002963BF"/>
    <w:rsid w:val="002A0D00"/>
    <w:rsid w:val="002D26A8"/>
    <w:rsid w:val="002F2923"/>
    <w:rsid w:val="002F72EB"/>
    <w:rsid w:val="00310415"/>
    <w:rsid w:val="00314D32"/>
    <w:rsid w:val="00320AC2"/>
    <w:rsid w:val="00326463"/>
    <w:rsid w:val="00335B81"/>
    <w:rsid w:val="00353F75"/>
    <w:rsid w:val="00363F98"/>
    <w:rsid w:val="003661A1"/>
    <w:rsid w:val="003866D6"/>
    <w:rsid w:val="00386A19"/>
    <w:rsid w:val="003A6831"/>
    <w:rsid w:val="003C2176"/>
    <w:rsid w:val="003D769B"/>
    <w:rsid w:val="003F4C24"/>
    <w:rsid w:val="00402F98"/>
    <w:rsid w:val="00403F95"/>
    <w:rsid w:val="004053B4"/>
    <w:rsid w:val="00407A41"/>
    <w:rsid w:val="00407CA5"/>
    <w:rsid w:val="0045730B"/>
    <w:rsid w:val="004761B2"/>
    <w:rsid w:val="00482CDC"/>
    <w:rsid w:val="004870F1"/>
    <w:rsid w:val="00495922"/>
    <w:rsid w:val="004A094A"/>
    <w:rsid w:val="004B5C35"/>
    <w:rsid w:val="004C6FDC"/>
    <w:rsid w:val="004D184E"/>
    <w:rsid w:val="004D3860"/>
    <w:rsid w:val="004E0B5C"/>
    <w:rsid w:val="004E63E8"/>
    <w:rsid w:val="004F544E"/>
    <w:rsid w:val="00511B4E"/>
    <w:rsid w:val="005167A3"/>
    <w:rsid w:val="00521C12"/>
    <w:rsid w:val="00554A45"/>
    <w:rsid w:val="00555020"/>
    <w:rsid w:val="00564E4C"/>
    <w:rsid w:val="00573438"/>
    <w:rsid w:val="00577566"/>
    <w:rsid w:val="00597391"/>
    <w:rsid w:val="005C35E6"/>
    <w:rsid w:val="005F53B4"/>
    <w:rsid w:val="00601AF9"/>
    <w:rsid w:val="006038F2"/>
    <w:rsid w:val="006145C2"/>
    <w:rsid w:val="00625545"/>
    <w:rsid w:val="00636524"/>
    <w:rsid w:val="00650DE1"/>
    <w:rsid w:val="00687757"/>
    <w:rsid w:val="0069461B"/>
    <w:rsid w:val="006A5DF4"/>
    <w:rsid w:val="006B44F3"/>
    <w:rsid w:val="006B77AA"/>
    <w:rsid w:val="006C6A29"/>
    <w:rsid w:val="006D5809"/>
    <w:rsid w:val="006E0FFF"/>
    <w:rsid w:val="006E6D30"/>
    <w:rsid w:val="006F274C"/>
    <w:rsid w:val="00723A62"/>
    <w:rsid w:val="00726B13"/>
    <w:rsid w:val="007620D8"/>
    <w:rsid w:val="007776D4"/>
    <w:rsid w:val="007A7EE1"/>
    <w:rsid w:val="007C2467"/>
    <w:rsid w:val="007C420A"/>
    <w:rsid w:val="007D104C"/>
    <w:rsid w:val="007D1205"/>
    <w:rsid w:val="007E3033"/>
    <w:rsid w:val="007E3146"/>
    <w:rsid w:val="007F2014"/>
    <w:rsid w:val="00822499"/>
    <w:rsid w:val="00824BAF"/>
    <w:rsid w:val="00831119"/>
    <w:rsid w:val="00845058"/>
    <w:rsid w:val="00856B40"/>
    <w:rsid w:val="00856D31"/>
    <w:rsid w:val="00867EC0"/>
    <w:rsid w:val="008725BF"/>
    <w:rsid w:val="00877429"/>
    <w:rsid w:val="00880078"/>
    <w:rsid w:val="00892C3A"/>
    <w:rsid w:val="008966D7"/>
    <w:rsid w:val="008C1A66"/>
    <w:rsid w:val="008C75C9"/>
    <w:rsid w:val="008D229B"/>
    <w:rsid w:val="008E37FA"/>
    <w:rsid w:val="00902F2E"/>
    <w:rsid w:val="00902FE0"/>
    <w:rsid w:val="009064E2"/>
    <w:rsid w:val="00926957"/>
    <w:rsid w:val="00933544"/>
    <w:rsid w:val="00936C3A"/>
    <w:rsid w:val="00945736"/>
    <w:rsid w:val="009643BC"/>
    <w:rsid w:val="00965BF6"/>
    <w:rsid w:val="009A3794"/>
    <w:rsid w:val="009C1F78"/>
    <w:rsid w:val="009D5E3C"/>
    <w:rsid w:val="009D7F4B"/>
    <w:rsid w:val="009E1BC2"/>
    <w:rsid w:val="009F3A25"/>
    <w:rsid w:val="00A15AC1"/>
    <w:rsid w:val="00A22C89"/>
    <w:rsid w:val="00A34A1F"/>
    <w:rsid w:val="00A46843"/>
    <w:rsid w:val="00A67D44"/>
    <w:rsid w:val="00A72FF7"/>
    <w:rsid w:val="00A766AD"/>
    <w:rsid w:val="00AA3765"/>
    <w:rsid w:val="00AC7E47"/>
    <w:rsid w:val="00AE6DA2"/>
    <w:rsid w:val="00AF4696"/>
    <w:rsid w:val="00AF603E"/>
    <w:rsid w:val="00B0175D"/>
    <w:rsid w:val="00B0636E"/>
    <w:rsid w:val="00B13B68"/>
    <w:rsid w:val="00B35FAA"/>
    <w:rsid w:val="00B504FA"/>
    <w:rsid w:val="00B52855"/>
    <w:rsid w:val="00B67CBD"/>
    <w:rsid w:val="00B86743"/>
    <w:rsid w:val="00B97A6D"/>
    <w:rsid w:val="00BA4C71"/>
    <w:rsid w:val="00BA6866"/>
    <w:rsid w:val="00BB4BA2"/>
    <w:rsid w:val="00BC4FC2"/>
    <w:rsid w:val="00BC5741"/>
    <w:rsid w:val="00BF1E67"/>
    <w:rsid w:val="00C001D0"/>
    <w:rsid w:val="00C048C0"/>
    <w:rsid w:val="00C102D6"/>
    <w:rsid w:val="00C15110"/>
    <w:rsid w:val="00C406B6"/>
    <w:rsid w:val="00C47384"/>
    <w:rsid w:val="00C7437C"/>
    <w:rsid w:val="00C8073A"/>
    <w:rsid w:val="00C825C4"/>
    <w:rsid w:val="00C947E8"/>
    <w:rsid w:val="00CA1B31"/>
    <w:rsid w:val="00CB1294"/>
    <w:rsid w:val="00CB29A2"/>
    <w:rsid w:val="00CD6BC7"/>
    <w:rsid w:val="00D26E95"/>
    <w:rsid w:val="00D330DC"/>
    <w:rsid w:val="00D364EE"/>
    <w:rsid w:val="00D50842"/>
    <w:rsid w:val="00D545DB"/>
    <w:rsid w:val="00D661E4"/>
    <w:rsid w:val="00D70163"/>
    <w:rsid w:val="00DA4120"/>
    <w:rsid w:val="00DB008F"/>
    <w:rsid w:val="00DD5CB2"/>
    <w:rsid w:val="00DE43DA"/>
    <w:rsid w:val="00E20F8A"/>
    <w:rsid w:val="00E21C23"/>
    <w:rsid w:val="00E4209E"/>
    <w:rsid w:val="00E7356C"/>
    <w:rsid w:val="00E75740"/>
    <w:rsid w:val="00E770DA"/>
    <w:rsid w:val="00E81AF9"/>
    <w:rsid w:val="00E8776F"/>
    <w:rsid w:val="00E924E8"/>
    <w:rsid w:val="00ED4BC4"/>
    <w:rsid w:val="00EE075D"/>
    <w:rsid w:val="00EE47FF"/>
    <w:rsid w:val="00EE57CD"/>
    <w:rsid w:val="00F05A28"/>
    <w:rsid w:val="00F05DCB"/>
    <w:rsid w:val="00F80FB7"/>
    <w:rsid w:val="00F84291"/>
    <w:rsid w:val="00F8622D"/>
    <w:rsid w:val="00FB7D2F"/>
    <w:rsid w:val="00FC661E"/>
    <w:rsid w:val="00FE723C"/>
    <w:rsid w:val="00FE7628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BD"/>
    <w:pPr>
      <w:ind w:left="720"/>
      <w:contextualSpacing/>
    </w:pPr>
  </w:style>
  <w:style w:type="character" w:styleId="Hyperlink">
    <w:name w:val="Hyperlink"/>
    <w:semiHidden/>
    <w:rsid w:val="00BA4C71"/>
    <w:rPr>
      <w:color w:val="auto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4D1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8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8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8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922"/>
  </w:style>
  <w:style w:type="paragraph" w:styleId="Footer">
    <w:name w:val="footer"/>
    <w:basedOn w:val="Normal"/>
    <w:link w:val="FooterChar"/>
    <w:uiPriority w:val="99"/>
    <w:unhideWhenUsed/>
    <w:rsid w:val="00495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922"/>
  </w:style>
  <w:style w:type="paragraph" w:customStyle="1" w:styleId="HChG">
    <w:name w:val="_ H _Ch_G"/>
    <w:basedOn w:val="Normal"/>
    <w:next w:val="Normal"/>
    <w:link w:val="HChGChar"/>
    <w:qFormat/>
    <w:rsid w:val="0013263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ChGChar">
    <w:name w:val="_ H _Ch_G Char"/>
    <w:link w:val="HChG"/>
    <w:rsid w:val="00132634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83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4B5C35"/>
    <w:pPr>
      <w:suppressAutoHyphens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5C35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SingleTxtGChar">
    <w:name w:val="_ Single Txt_G Char"/>
    <w:link w:val="SingleTxtG"/>
    <w:rsid w:val="00C15110"/>
  </w:style>
  <w:style w:type="paragraph" w:customStyle="1" w:styleId="SingleTxtG">
    <w:name w:val="_ Single Txt_G"/>
    <w:basedOn w:val="Normal"/>
    <w:link w:val="SingleTxtGChar"/>
    <w:rsid w:val="00C15110"/>
    <w:pPr>
      <w:suppressAutoHyphens/>
      <w:ind w:left="1134" w:right="113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BD"/>
    <w:pPr>
      <w:ind w:left="720"/>
      <w:contextualSpacing/>
    </w:pPr>
  </w:style>
  <w:style w:type="character" w:styleId="Hyperlink">
    <w:name w:val="Hyperlink"/>
    <w:semiHidden/>
    <w:rsid w:val="00BA4C71"/>
    <w:rPr>
      <w:color w:val="auto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4D1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8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8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8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922"/>
  </w:style>
  <w:style w:type="paragraph" w:styleId="Footer">
    <w:name w:val="footer"/>
    <w:basedOn w:val="Normal"/>
    <w:link w:val="FooterChar"/>
    <w:uiPriority w:val="99"/>
    <w:unhideWhenUsed/>
    <w:rsid w:val="00495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922"/>
  </w:style>
  <w:style w:type="paragraph" w:customStyle="1" w:styleId="HChG">
    <w:name w:val="_ H _Ch_G"/>
    <w:basedOn w:val="Normal"/>
    <w:next w:val="Normal"/>
    <w:link w:val="HChGChar"/>
    <w:qFormat/>
    <w:rsid w:val="0013263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ChGChar">
    <w:name w:val="_ H _Ch_G Char"/>
    <w:link w:val="HChG"/>
    <w:rsid w:val="00132634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83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4B5C35"/>
    <w:pPr>
      <w:suppressAutoHyphens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5C35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SingleTxtGChar">
    <w:name w:val="_ Single Txt_G Char"/>
    <w:link w:val="SingleTxtG"/>
    <w:rsid w:val="00C15110"/>
  </w:style>
  <w:style w:type="paragraph" w:customStyle="1" w:styleId="SingleTxtG">
    <w:name w:val="_ Single Txt_G"/>
    <w:basedOn w:val="Normal"/>
    <w:link w:val="SingleTxtGChar"/>
    <w:rsid w:val="00C15110"/>
    <w:pPr>
      <w:suppressAutoHyphens/>
      <w:ind w:left="1134" w:right="113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7688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423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394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751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880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42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8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6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8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94B82-5E2F-42D7-AC3F-4EED5DDE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draperoffice</dc:creator>
  <cp:lastModifiedBy>Konstantin Glukhenkiy</cp:lastModifiedBy>
  <cp:revision>3</cp:revision>
  <dcterms:created xsi:type="dcterms:W3CDTF">2016-10-17T08:35:00Z</dcterms:created>
  <dcterms:modified xsi:type="dcterms:W3CDTF">2016-10-17T08:36:00Z</dcterms:modified>
</cp:coreProperties>
</file>