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61CCF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B61CCF" w:rsidRDefault="00F35BAF" w:rsidP="00C5761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B61CCF" w:rsidRDefault="00F35BAF" w:rsidP="00892A2F">
            <w:pPr>
              <w:spacing w:after="80" w:line="300" w:lineRule="exact"/>
              <w:rPr>
                <w:sz w:val="28"/>
              </w:rPr>
            </w:pPr>
            <w:r w:rsidRPr="00B61CC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61CCF" w:rsidRDefault="00C57619" w:rsidP="00C57619">
            <w:pPr>
              <w:jc w:val="right"/>
            </w:pPr>
            <w:r w:rsidRPr="00B61CCF">
              <w:rPr>
                <w:sz w:val="40"/>
              </w:rPr>
              <w:t>ECE</w:t>
            </w:r>
            <w:r w:rsidRPr="00B61CCF">
              <w:t>/TRANS/WP.29/GRE/2016/26</w:t>
            </w:r>
          </w:p>
        </w:tc>
      </w:tr>
      <w:tr w:rsidR="00F35BAF" w:rsidRPr="00B61CCF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61CCF" w:rsidRDefault="00F35BAF" w:rsidP="00892A2F">
            <w:pPr>
              <w:spacing w:before="120"/>
              <w:jc w:val="center"/>
            </w:pPr>
            <w:r w:rsidRPr="00B61CCF">
              <w:rPr>
                <w:noProof/>
                <w:lang w:val="en-GB" w:eastAsia="en-GB"/>
              </w:rPr>
              <w:drawing>
                <wp:inline distT="0" distB="0" distL="0" distR="0" wp14:anchorId="152190D5" wp14:editId="43BDE51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B61CCF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61CC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61CCF" w:rsidRDefault="00C57619" w:rsidP="00892A2F">
            <w:pPr>
              <w:spacing w:before="240"/>
            </w:pPr>
            <w:r w:rsidRPr="00B61CCF">
              <w:t>Distr. générale</w:t>
            </w:r>
          </w:p>
          <w:p w:rsidR="00C57619" w:rsidRPr="00B61CCF" w:rsidRDefault="00C57619" w:rsidP="00C57619">
            <w:pPr>
              <w:spacing w:line="240" w:lineRule="exact"/>
            </w:pPr>
            <w:r w:rsidRPr="00B61CCF">
              <w:t>9 août 2016</w:t>
            </w:r>
          </w:p>
          <w:p w:rsidR="00C57619" w:rsidRPr="00B61CCF" w:rsidRDefault="00C57619" w:rsidP="00C57619">
            <w:pPr>
              <w:spacing w:line="240" w:lineRule="exact"/>
            </w:pPr>
            <w:r w:rsidRPr="00B61CCF">
              <w:t>Français</w:t>
            </w:r>
          </w:p>
          <w:p w:rsidR="00C57619" w:rsidRPr="00B61CCF" w:rsidRDefault="00C57619" w:rsidP="00C57619">
            <w:pPr>
              <w:spacing w:line="240" w:lineRule="exact"/>
            </w:pPr>
            <w:r w:rsidRPr="00B61CCF">
              <w:t>Original</w:t>
            </w:r>
            <w:r w:rsidR="00B61CCF">
              <w:t> :</w:t>
            </w:r>
            <w:r w:rsidRPr="00B61CCF">
              <w:t xml:space="preserve"> anglais</w:t>
            </w:r>
          </w:p>
        </w:tc>
      </w:tr>
    </w:tbl>
    <w:p w:rsidR="007F20FA" w:rsidRPr="00B61CCF" w:rsidRDefault="007F20FA" w:rsidP="007F20FA">
      <w:pPr>
        <w:spacing w:before="120"/>
        <w:rPr>
          <w:b/>
          <w:sz w:val="28"/>
          <w:szCs w:val="28"/>
        </w:rPr>
      </w:pPr>
      <w:r w:rsidRPr="00B61CCF">
        <w:rPr>
          <w:b/>
          <w:sz w:val="28"/>
          <w:szCs w:val="28"/>
        </w:rPr>
        <w:t>Commission économique pour l’Europe</w:t>
      </w:r>
    </w:p>
    <w:p w:rsidR="007F20FA" w:rsidRPr="00B61CCF" w:rsidRDefault="007F20FA" w:rsidP="00C57619">
      <w:pPr>
        <w:spacing w:before="120" w:after="120"/>
        <w:rPr>
          <w:sz w:val="28"/>
          <w:szCs w:val="28"/>
        </w:rPr>
      </w:pPr>
      <w:r w:rsidRPr="00B61CCF">
        <w:rPr>
          <w:sz w:val="28"/>
          <w:szCs w:val="28"/>
        </w:rPr>
        <w:t>Comité des transports intérieurs</w:t>
      </w:r>
    </w:p>
    <w:p w:rsidR="00C57619" w:rsidRPr="00B61CCF" w:rsidRDefault="00C57619" w:rsidP="00B61CCF">
      <w:pPr>
        <w:spacing w:after="120"/>
        <w:rPr>
          <w:b/>
          <w:bCs/>
          <w:sz w:val="24"/>
          <w:szCs w:val="24"/>
        </w:rPr>
      </w:pPr>
      <w:r w:rsidRPr="00B61CCF">
        <w:rPr>
          <w:b/>
          <w:bCs/>
          <w:sz w:val="24"/>
          <w:szCs w:val="24"/>
        </w:rPr>
        <w:t xml:space="preserve">Forum mondial de l’harmonisation </w:t>
      </w:r>
      <w:r w:rsidRPr="00B61CCF">
        <w:rPr>
          <w:b/>
          <w:bCs/>
          <w:sz w:val="24"/>
          <w:szCs w:val="24"/>
        </w:rPr>
        <w:br/>
        <w:t>des Règlements concernant les véhicules</w:t>
      </w:r>
    </w:p>
    <w:p w:rsidR="00C57619" w:rsidRPr="00B61CCF" w:rsidRDefault="00C57619" w:rsidP="00C57619">
      <w:pPr>
        <w:spacing w:after="120"/>
        <w:rPr>
          <w:b/>
          <w:bCs/>
        </w:rPr>
      </w:pPr>
      <w:r w:rsidRPr="00B61CCF">
        <w:rPr>
          <w:b/>
          <w:bCs/>
        </w:rPr>
        <w:t>Groupe de travail de l’éclairage e</w:t>
      </w:r>
      <w:r w:rsidR="00B61CCF" w:rsidRPr="00B61CCF">
        <w:rPr>
          <w:b/>
          <w:bCs/>
        </w:rPr>
        <w:t>t de la signalisation lumineuse</w:t>
      </w:r>
    </w:p>
    <w:p w:rsidR="00C57619" w:rsidRPr="00B61CCF" w:rsidRDefault="00C57619" w:rsidP="00C57619">
      <w:pPr>
        <w:rPr>
          <w:b/>
          <w:bCs/>
        </w:rPr>
      </w:pPr>
      <w:r w:rsidRPr="00B61CCF">
        <w:rPr>
          <w:b/>
          <w:bCs/>
        </w:rPr>
        <w:t>Soixante-seizième session</w:t>
      </w:r>
    </w:p>
    <w:p w:rsidR="00C57619" w:rsidRPr="00B61CCF" w:rsidRDefault="00C57619" w:rsidP="00B61CCF">
      <w:pPr>
        <w:rPr>
          <w:bCs/>
        </w:rPr>
      </w:pPr>
      <w:r w:rsidRPr="00B61CCF">
        <w:t>Genève</w:t>
      </w:r>
      <w:r w:rsidRPr="00B61CCF">
        <w:rPr>
          <w:bCs/>
        </w:rPr>
        <w:t>, 25</w:t>
      </w:r>
      <w:r w:rsidR="00B61CCF" w:rsidRPr="00B61CCF">
        <w:rPr>
          <w:bCs/>
        </w:rPr>
        <w:t>-</w:t>
      </w:r>
      <w:r w:rsidRPr="00B61CCF">
        <w:rPr>
          <w:bCs/>
        </w:rPr>
        <w:t>28 octobre 2016</w:t>
      </w:r>
    </w:p>
    <w:p w:rsidR="00C57619" w:rsidRPr="00B61CCF" w:rsidRDefault="00C57619" w:rsidP="00C57619">
      <w:pPr>
        <w:rPr>
          <w:b/>
        </w:rPr>
      </w:pPr>
      <w:r w:rsidRPr="00B61CCF">
        <w:rPr>
          <w:bCs/>
        </w:rPr>
        <w:t>Point 5 de l’ordre du jour provisoire</w:t>
      </w:r>
      <w:r w:rsidRPr="00B61CCF">
        <w:rPr>
          <w:bCs/>
        </w:rPr>
        <w:br/>
      </w:r>
      <w:r w:rsidRPr="00B61CCF">
        <w:rPr>
          <w:b/>
        </w:rPr>
        <w:t>Règlements n</w:t>
      </w:r>
      <w:r w:rsidRPr="00B61CCF">
        <w:rPr>
          <w:b/>
          <w:vertAlign w:val="superscript"/>
        </w:rPr>
        <w:t>os</w:t>
      </w:r>
      <w:r w:rsidRPr="00B61CCF">
        <w:t> </w:t>
      </w:r>
      <w:r w:rsidRPr="00B61CCF">
        <w:rPr>
          <w:b/>
        </w:rPr>
        <w:t xml:space="preserve">37 (Lampes à incandescence), </w:t>
      </w:r>
      <w:r w:rsidRPr="00B61CCF">
        <w:rPr>
          <w:b/>
        </w:rPr>
        <w:br/>
        <w:t xml:space="preserve">99 (Sources lumineuses à décharge) </w:t>
      </w:r>
      <w:r w:rsidRPr="00B61CCF">
        <w:rPr>
          <w:b/>
        </w:rPr>
        <w:br/>
        <w:t>et 128 (Sources lumineuses à diodes électroluminescentes)</w:t>
      </w:r>
    </w:p>
    <w:p w:rsidR="00C57619" w:rsidRPr="00B61CCF" w:rsidRDefault="00C57619" w:rsidP="00B61CCF">
      <w:pPr>
        <w:pStyle w:val="HChG"/>
      </w:pPr>
      <w:r w:rsidRPr="00B61CCF">
        <w:tab/>
      </w:r>
      <w:r w:rsidRPr="00B61CCF">
        <w:tab/>
        <w:t>Proposition de Complément</w:t>
      </w:r>
      <w:r w:rsidR="00B61CCF" w:rsidRPr="00B61CCF">
        <w:t> </w:t>
      </w:r>
      <w:r w:rsidRPr="00B61CCF">
        <w:t xml:space="preserve">13 à la série original d’amendements au Règlement </w:t>
      </w:r>
      <w:r w:rsidR="00B61CCF" w:rsidRPr="00B61CCF">
        <w:rPr>
          <w:rFonts w:eastAsia="MS Mincho"/>
        </w:rPr>
        <w:t>n</w:t>
      </w:r>
      <w:r w:rsidR="00B61CCF" w:rsidRPr="00B61CCF">
        <w:rPr>
          <w:rFonts w:eastAsia="MS Mincho"/>
          <w:vertAlign w:val="superscript"/>
        </w:rPr>
        <w:t>o</w:t>
      </w:r>
      <w:r w:rsidR="00B61CCF" w:rsidRPr="00B61CCF">
        <w:t> </w:t>
      </w:r>
      <w:r w:rsidRPr="00B61CCF">
        <w:t xml:space="preserve">99 </w:t>
      </w:r>
      <w:r w:rsidR="00B61CCF" w:rsidRPr="00B61CCF">
        <w:br/>
      </w:r>
      <w:r w:rsidRPr="00B61CCF">
        <w:t>(Sources lumineuses à décharge</w:t>
      </w:r>
      <w:r w:rsidR="000416B8">
        <w:t>)</w:t>
      </w:r>
    </w:p>
    <w:p w:rsidR="00C57619" w:rsidRPr="00B61CCF" w:rsidRDefault="00C57619" w:rsidP="00B61CCF">
      <w:pPr>
        <w:pStyle w:val="H1G"/>
      </w:pPr>
      <w:r w:rsidRPr="00B61CCF">
        <w:tab/>
      </w:r>
      <w:r w:rsidRPr="00B61CCF">
        <w:tab/>
        <w:t xml:space="preserve">Communication de l’expert du Groupe de travail </w:t>
      </w:r>
      <w:r w:rsidR="00B61CCF" w:rsidRPr="00B61CCF">
        <w:t>« </w:t>
      </w:r>
      <w:r w:rsidRPr="00B61CCF">
        <w:t>Bruxelles 1952</w:t>
      </w:r>
      <w:r w:rsidR="00B61CCF" w:rsidRPr="00B61CCF">
        <w:t> »</w:t>
      </w:r>
      <w:r w:rsidRPr="00B61CCF">
        <w:t>(GTB)</w:t>
      </w:r>
      <w:r w:rsidRPr="00B61CCF">
        <w:rPr>
          <w:b w:val="0"/>
          <w:bCs/>
          <w:sz w:val="20"/>
        </w:rPr>
        <w:footnoteReference w:customMarkFollows="1" w:id="2"/>
        <w:t>*</w:t>
      </w:r>
    </w:p>
    <w:p w:rsidR="00C57619" w:rsidRPr="00B61CCF" w:rsidRDefault="00C57619" w:rsidP="00B61CCF">
      <w:pPr>
        <w:pStyle w:val="SingleTxtG"/>
        <w:ind w:firstLine="567"/>
      </w:pPr>
      <w:r w:rsidRPr="00B61CCF">
        <w:t>Le texte ci-après a été établi par l’expert du Groupe de travail «</w:t>
      </w:r>
      <w:r w:rsidR="00B61CCF" w:rsidRPr="00B61CCF">
        <w:t> </w:t>
      </w:r>
      <w:r w:rsidRPr="00B61CCF">
        <w:t>Bruxelles 1952</w:t>
      </w:r>
      <w:r w:rsidR="00B61CCF" w:rsidRPr="00B61CCF">
        <w:t> </w:t>
      </w:r>
      <w:r w:rsidRPr="00B61CCF">
        <w:t xml:space="preserve">» (GTB), pour préciser les dispositions du Règlement </w:t>
      </w:r>
      <w:r w:rsidR="00B61CCF" w:rsidRPr="00B61CCF">
        <w:rPr>
          <w:rFonts w:eastAsia="MS Mincho"/>
        </w:rPr>
        <w:t>n</w:t>
      </w:r>
      <w:r w:rsidR="00B61CCF" w:rsidRPr="00B61CCF">
        <w:rPr>
          <w:rFonts w:eastAsia="MS Mincho"/>
          <w:vertAlign w:val="superscript"/>
        </w:rPr>
        <w:t>o</w:t>
      </w:r>
      <w:r w:rsidR="00B61CCF" w:rsidRPr="00B61CCF">
        <w:t> </w:t>
      </w:r>
      <w:r w:rsidRPr="00B61CCF">
        <w:t>99 relatives aux essais de montée en puissance des sources lumineuses à décharge à deux niveaux de rendement. Les modifications qu’il est proposé d’apporter au texte actuel du Règlement sont indiquées en caractères gras pour les ajouts ou</w:t>
      </w:r>
      <w:r w:rsidR="00B61CCF" w:rsidRPr="00B61CCF">
        <w:t xml:space="preserve"> biffées pour les suppressions.</w:t>
      </w:r>
    </w:p>
    <w:p w:rsidR="00C57619" w:rsidRPr="00B61CCF" w:rsidRDefault="00C57619" w:rsidP="00C57619">
      <w:pPr>
        <w:pStyle w:val="HChG"/>
      </w:pPr>
      <w:r w:rsidRPr="00B61CCF">
        <w:br w:type="page"/>
      </w:r>
      <w:r w:rsidRPr="00B61CCF">
        <w:lastRenderedPageBreak/>
        <w:tab/>
        <w:t>I.</w:t>
      </w:r>
      <w:r w:rsidRPr="00B61CCF">
        <w:tab/>
        <w:t>Proposition</w:t>
      </w:r>
    </w:p>
    <w:p w:rsidR="00C57619" w:rsidRPr="00B61CCF" w:rsidRDefault="00C57619" w:rsidP="00B61CCF">
      <w:pPr>
        <w:pStyle w:val="SingleTxtG"/>
      </w:pPr>
      <w:r w:rsidRPr="00B61CCF">
        <w:rPr>
          <w:i/>
        </w:rPr>
        <w:t>Paragraphe 3.6.2</w:t>
      </w:r>
      <w:r w:rsidRPr="00B61CCF">
        <w:rPr>
          <w:iCs/>
        </w:rPr>
        <w:t>,</w:t>
      </w:r>
      <w:r w:rsidRPr="00B61CCF">
        <w:t xml:space="preserve"> modifier comme suit</w:t>
      </w:r>
      <w:r w:rsidR="00B61CCF">
        <w:t> :</w:t>
      </w:r>
    </w:p>
    <w:p w:rsidR="00C57619" w:rsidRPr="00B61CCF" w:rsidRDefault="00B61CCF" w:rsidP="00B61CCF">
      <w:pPr>
        <w:pStyle w:val="SingleTxtG"/>
        <w:ind w:left="2268" w:hanging="1134"/>
        <w:rPr>
          <w:lang w:eastAsia="en-GB"/>
        </w:rPr>
      </w:pPr>
      <w:r>
        <w:rPr>
          <w:lang w:eastAsia="en-GB"/>
        </w:rPr>
        <w:t>« </w:t>
      </w:r>
      <w:r w:rsidR="00C57619" w:rsidRPr="00B61CCF">
        <w:rPr>
          <w:lang w:eastAsia="en-GB"/>
        </w:rPr>
        <w:t>3.6.2</w:t>
      </w:r>
      <w:r w:rsidR="00C57619" w:rsidRPr="00B61CCF">
        <w:rPr>
          <w:lang w:eastAsia="en-GB"/>
        </w:rPr>
        <w:tab/>
        <w:t>Montée en régime</w:t>
      </w:r>
    </w:p>
    <w:p w:rsidR="00C57619" w:rsidRPr="00B61CCF" w:rsidRDefault="00C57619" w:rsidP="00B61CCF">
      <w:pPr>
        <w:pStyle w:val="SingleTxtG"/>
        <w:ind w:left="2268" w:hanging="1134"/>
        <w:rPr>
          <w:szCs w:val="24"/>
          <w:lang w:eastAsia="en-GB"/>
        </w:rPr>
      </w:pPr>
      <w:r w:rsidRPr="00B61CCF">
        <w:rPr>
          <w:szCs w:val="24"/>
          <w:lang w:eastAsia="en-GB"/>
        </w:rPr>
        <w:t>3.6.2.1</w:t>
      </w:r>
      <w:r w:rsidRPr="00B61CCF">
        <w:rPr>
          <w:szCs w:val="24"/>
          <w:lang w:eastAsia="en-GB"/>
        </w:rPr>
        <w:tab/>
        <w:t xml:space="preserve">Pour les </w:t>
      </w:r>
      <w:r w:rsidRPr="00B61CCF">
        <w:rPr>
          <w:lang w:eastAsia="en-GB"/>
        </w:rPr>
        <w:t>sources</w:t>
      </w:r>
      <w:r w:rsidRPr="00B61CCF">
        <w:rPr>
          <w:szCs w:val="24"/>
          <w:lang w:eastAsia="en-GB"/>
        </w:rPr>
        <w:t xml:space="preserve"> lumineuses à décharge ayant un flux lumineux normal supérieur à 2 000 lm</w:t>
      </w:r>
      <w:r w:rsidR="00B61CCF">
        <w:rPr>
          <w:szCs w:val="24"/>
          <w:lang w:eastAsia="en-GB"/>
        </w:rPr>
        <w:t> :</w:t>
      </w:r>
    </w:p>
    <w:p w:rsidR="00C57619" w:rsidRPr="000416B8" w:rsidRDefault="00C57619" w:rsidP="00B61CCF">
      <w:pPr>
        <w:pStyle w:val="SingleTxtG"/>
        <w:ind w:left="2268"/>
        <w:rPr>
          <w:spacing w:val="-1"/>
          <w:lang w:eastAsia="en-GB"/>
        </w:rPr>
      </w:pPr>
      <w:r w:rsidRPr="000416B8">
        <w:rPr>
          <w:spacing w:val="-1"/>
          <w:lang w:eastAsia="en-GB"/>
        </w:rPr>
        <w:t>Lorsqu’elle est mesurée conformément aux conditions spécifiées à l’</w:t>
      </w:r>
      <w:r w:rsidR="000416B8" w:rsidRPr="000416B8">
        <w:rPr>
          <w:spacing w:val="-1"/>
          <w:lang w:eastAsia="en-GB"/>
        </w:rPr>
        <w:t>annexe </w:t>
      </w:r>
      <w:r w:rsidRPr="000416B8">
        <w:rPr>
          <w:spacing w:val="-1"/>
          <w:lang w:eastAsia="en-GB"/>
        </w:rPr>
        <w:t>4, la source lumineuse à décharge doit émettre au moins</w:t>
      </w:r>
      <w:r w:rsidR="00B61CCF" w:rsidRPr="000416B8">
        <w:rPr>
          <w:spacing w:val="-1"/>
          <w:lang w:eastAsia="en-GB"/>
        </w:rPr>
        <w:t> :</w:t>
      </w:r>
    </w:p>
    <w:p w:rsidR="00C57619" w:rsidRPr="00B61CCF" w:rsidRDefault="00B61CCF" w:rsidP="00B61CCF">
      <w:pPr>
        <w:pStyle w:val="SingleTxtG"/>
        <w:ind w:left="2268"/>
        <w:rPr>
          <w:szCs w:val="24"/>
          <w:lang w:eastAsia="en-GB"/>
        </w:rPr>
      </w:pPr>
      <w:r>
        <w:rPr>
          <w:szCs w:val="24"/>
          <w:lang w:eastAsia="en-GB"/>
        </w:rPr>
        <w:t>Après 1 </w:t>
      </w:r>
      <w:r w:rsidR="00C57619" w:rsidRPr="00B61CCF">
        <w:rPr>
          <w:szCs w:val="24"/>
          <w:lang w:eastAsia="en-GB"/>
        </w:rPr>
        <w:t>s</w:t>
      </w:r>
      <w:r>
        <w:rPr>
          <w:szCs w:val="24"/>
          <w:lang w:eastAsia="en-GB"/>
        </w:rPr>
        <w:t> : 25 </w:t>
      </w:r>
      <w:r w:rsidR="00C57619" w:rsidRPr="00B61CCF">
        <w:rPr>
          <w:szCs w:val="24"/>
          <w:lang w:eastAsia="en-GB"/>
        </w:rPr>
        <w:t xml:space="preserve">% de son flux </w:t>
      </w:r>
      <w:r w:rsidR="00C57619" w:rsidRPr="00B61CCF">
        <w:rPr>
          <w:lang w:eastAsia="en-GB"/>
        </w:rPr>
        <w:t>lumineux</w:t>
      </w:r>
      <w:r w:rsidR="00C57619" w:rsidRPr="00B61CCF">
        <w:rPr>
          <w:szCs w:val="24"/>
          <w:lang w:eastAsia="en-GB"/>
        </w:rPr>
        <w:t xml:space="preserve"> normal</w:t>
      </w:r>
      <w:r>
        <w:rPr>
          <w:szCs w:val="24"/>
          <w:lang w:eastAsia="en-GB"/>
        </w:rPr>
        <w:t> ;</w:t>
      </w:r>
    </w:p>
    <w:p w:rsidR="00C57619" w:rsidRPr="00B61CCF" w:rsidRDefault="00B61CCF" w:rsidP="00B61CCF">
      <w:pPr>
        <w:pStyle w:val="SingleTxtG"/>
        <w:ind w:left="2268"/>
        <w:rPr>
          <w:szCs w:val="24"/>
          <w:lang w:eastAsia="en-GB"/>
        </w:rPr>
      </w:pPr>
      <w:r>
        <w:rPr>
          <w:szCs w:val="24"/>
          <w:lang w:eastAsia="en-GB"/>
        </w:rPr>
        <w:t>Après 4 </w:t>
      </w:r>
      <w:r w:rsidR="00C57619" w:rsidRPr="00B61CCF">
        <w:rPr>
          <w:szCs w:val="24"/>
          <w:lang w:eastAsia="en-GB"/>
        </w:rPr>
        <w:t>s</w:t>
      </w:r>
      <w:r>
        <w:rPr>
          <w:szCs w:val="24"/>
          <w:lang w:eastAsia="en-GB"/>
        </w:rPr>
        <w:t> : 80 </w:t>
      </w:r>
      <w:r w:rsidR="00C57619" w:rsidRPr="00B61CCF">
        <w:rPr>
          <w:szCs w:val="24"/>
          <w:lang w:eastAsia="en-GB"/>
        </w:rPr>
        <w:t xml:space="preserve">% de son flux </w:t>
      </w:r>
      <w:r w:rsidR="00C57619" w:rsidRPr="00B61CCF">
        <w:rPr>
          <w:lang w:eastAsia="en-GB"/>
        </w:rPr>
        <w:t>lumineux</w:t>
      </w:r>
      <w:r w:rsidR="00C57619" w:rsidRPr="00B61CCF">
        <w:rPr>
          <w:szCs w:val="24"/>
          <w:lang w:eastAsia="en-GB"/>
        </w:rPr>
        <w:t xml:space="preserve"> normal.</w:t>
      </w:r>
    </w:p>
    <w:p w:rsidR="00C57619" w:rsidRPr="00B61CCF" w:rsidRDefault="00C57619" w:rsidP="00B61CCF">
      <w:pPr>
        <w:pStyle w:val="SingleTxtG"/>
        <w:ind w:left="2268"/>
        <w:rPr>
          <w:szCs w:val="24"/>
          <w:lang w:eastAsia="en-GB"/>
        </w:rPr>
      </w:pPr>
      <w:r w:rsidRPr="00B61CCF">
        <w:rPr>
          <w:szCs w:val="24"/>
          <w:lang w:eastAsia="en-GB"/>
        </w:rPr>
        <w:t xml:space="preserve">Le flux lumineux normal est celui </w:t>
      </w:r>
      <w:r w:rsidRPr="00B61CCF">
        <w:rPr>
          <w:lang w:eastAsia="en-GB"/>
        </w:rPr>
        <w:t>qui</w:t>
      </w:r>
      <w:r w:rsidRPr="00B61CCF">
        <w:rPr>
          <w:szCs w:val="24"/>
          <w:lang w:eastAsia="en-GB"/>
        </w:rPr>
        <w:t xml:space="preserve"> est indiqué sur la feuille de données pertinente.</w:t>
      </w:r>
    </w:p>
    <w:p w:rsidR="00C57619" w:rsidRPr="00B61CCF" w:rsidRDefault="00C57619" w:rsidP="00B61CCF">
      <w:pPr>
        <w:pStyle w:val="SingleTxtG"/>
        <w:ind w:left="2268" w:hanging="1134"/>
        <w:rPr>
          <w:szCs w:val="24"/>
          <w:lang w:eastAsia="en-GB"/>
        </w:rPr>
      </w:pPr>
      <w:r w:rsidRPr="00B61CCF">
        <w:rPr>
          <w:szCs w:val="24"/>
          <w:lang w:eastAsia="en-GB"/>
        </w:rPr>
        <w:t>3.6.2.2</w:t>
      </w:r>
      <w:r w:rsidRPr="00B61CCF">
        <w:rPr>
          <w:szCs w:val="24"/>
          <w:lang w:eastAsia="en-GB"/>
        </w:rPr>
        <w:tab/>
        <w:t xml:space="preserve">Pour </w:t>
      </w:r>
      <w:r w:rsidRPr="00B61CCF">
        <w:rPr>
          <w:lang w:eastAsia="en-GB"/>
        </w:rPr>
        <w:t>les</w:t>
      </w:r>
      <w:r w:rsidRPr="00B61CCF">
        <w:rPr>
          <w:szCs w:val="24"/>
          <w:lang w:eastAsia="en-GB"/>
        </w:rPr>
        <w:t xml:space="preserve"> sources lumineuses à décharge dont le flux lumineux normal n’</w:t>
      </w:r>
      <w:r w:rsidR="00B61CCF">
        <w:rPr>
          <w:szCs w:val="24"/>
          <w:lang w:eastAsia="en-GB"/>
        </w:rPr>
        <w:t>est pas supérieur à 2 </w:t>
      </w:r>
      <w:r w:rsidRPr="00B61CCF">
        <w:rPr>
          <w:szCs w:val="24"/>
          <w:lang w:eastAsia="en-GB"/>
        </w:rPr>
        <w:t>000 lm et ne comprend pas de bandes opaques</w:t>
      </w:r>
      <w:r w:rsidR="00B61CCF">
        <w:rPr>
          <w:szCs w:val="24"/>
          <w:lang w:eastAsia="en-GB"/>
        </w:rPr>
        <w:t> :</w:t>
      </w:r>
    </w:p>
    <w:p w:rsidR="00C57619" w:rsidRPr="000416B8" w:rsidRDefault="00C57619" w:rsidP="00B61CCF">
      <w:pPr>
        <w:pStyle w:val="SingleTxtG"/>
        <w:ind w:left="2268"/>
        <w:rPr>
          <w:spacing w:val="-1"/>
          <w:szCs w:val="24"/>
          <w:lang w:eastAsia="en-GB"/>
        </w:rPr>
      </w:pPr>
      <w:r w:rsidRPr="000416B8">
        <w:rPr>
          <w:spacing w:val="-1"/>
          <w:szCs w:val="24"/>
          <w:lang w:eastAsia="en-GB"/>
        </w:rPr>
        <w:t xml:space="preserve">Lorsqu’elle est mesurée </w:t>
      </w:r>
      <w:r w:rsidRPr="000416B8">
        <w:rPr>
          <w:spacing w:val="-1"/>
          <w:lang w:eastAsia="en-GB"/>
        </w:rPr>
        <w:t>conformément</w:t>
      </w:r>
      <w:r w:rsidRPr="000416B8">
        <w:rPr>
          <w:spacing w:val="-1"/>
          <w:szCs w:val="24"/>
          <w:lang w:eastAsia="en-GB"/>
        </w:rPr>
        <w:t xml:space="preserve"> aux conditions spécifiées à l’</w:t>
      </w:r>
      <w:r w:rsidR="00B61CCF" w:rsidRPr="000416B8">
        <w:rPr>
          <w:spacing w:val="-1"/>
          <w:szCs w:val="24"/>
          <w:lang w:eastAsia="en-GB"/>
        </w:rPr>
        <w:t>annexe </w:t>
      </w:r>
      <w:r w:rsidRPr="000416B8">
        <w:rPr>
          <w:spacing w:val="-1"/>
          <w:szCs w:val="24"/>
          <w:lang w:eastAsia="en-GB"/>
        </w:rPr>
        <w:t>4, la source lumineuse à décharge doit émettre au moi</w:t>
      </w:r>
      <w:r w:rsidR="00B61CCF" w:rsidRPr="000416B8">
        <w:rPr>
          <w:spacing w:val="-1"/>
          <w:szCs w:val="24"/>
          <w:lang w:eastAsia="en-GB"/>
        </w:rPr>
        <w:t>ns 800 </w:t>
      </w:r>
      <w:r w:rsidRPr="000416B8">
        <w:rPr>
          <w:spacing w:val="-1"/>
          <w:szCs w:val="24"/>
          <w:lang w:eastAsia="en-GB"/>
        </w:rPr>
        <w:t>lm après 1</w:t>
      </w:r>
      <w:r w:rsidR="00B61CCF" w:rsidRPr="000416B8">
        <w:rPr>
          <w:spacing w:val="-1"/>
          <w:szCs w:val="24"/>
          <w:lang w:eastAsia="en-GB"/>
        </w:rPr>
        <w:t> s et au moins 1 000 lm après 4 </w:t>
      </w:r>
      <w:r w:rsidRPr="000416B8">
        <w:rPr>
          <w:spacing w:val="-1"/>
          <w:szCs w:val="24"/>
          <w:lang w:eastAsia="en-GB"/>
        </w:rPr>
        <w:t>s.</w:t>
      </w:r>
    </w:p>
    <w:p w:rsidR="00C57619" w:rsidRPr="00B61CCF" w:rsidRDefault="00C57619" w:rsidP="00B61CCF">
      <w:pPr>
        <w:pStyle w:val="SingleTxtG"/>
        <w:ind w:left="2268"/>
        <w:rPr>
          <w:szCs w:val="24"/>
          <w:lang w:eastAsia="en-GB"/>
        </w:rPr>
      </w:pPr>
      <w:r w:rsidRPr="00B61CCF">
        <w:rPr>
          <w:szCs w:val="24"/>
          <w:lang w:eastAsia="en-GB"/>
        </w:rPr>
        <w:t xml:space="preserve">Le flux lumineux normal est </w:t>
      </w:r>
      <w:r w:rsidRPr="00B61CCF">
        <w:rPr>
          <w:lang w:eastAsia="en-GB"/>
        </w:rPr>
        <w:t>celui</w:t>
      </w:r>
      <w:r w:rsidRPr="00B61CCF">
        <w:rPr>
          <w:szCs w:val="24"/>
          <w:lang w:eastAsia="en-GB"/>
        </w:rPr>
        <w:t xml:space="preserve"> qui est indiqué sur la feuille de données pertinente.</w:t>
      </w:r>
    </w:p>
    <w:p w:rsidR="00C57619" w:rsidRPr="00B61CCF" w:rsidRDefault="00C57619" w:rsidP="00B61CCF">
      <w:pPr>
        <w:pStyle w:val="SingleTxtG"/>
        <w:ind w:left="2268" w:hanging="1134"/>
        <w:rPr>
          <w:szCs w:val="24"/>
          <w:lang w:eastAsia="en-GB"/>
        </w:rPr>
      </w:pPr>
      <w:r w:rsidRPr="00B61CCF">
        <w:rPr>
          <w:b/>
          <w:szCs w:val="24"/>
          <w:lang w:eastAsia="en-GB"/>
        </w:rPr>
        <w:t>3.6.2.3</w:t>
      </w:r>
      <w:r w:rsidRPr="00B61CCF">
        <w:rPr>
          <w:b/>
          <w:szCs w:val="24"/>
          <w:lang w:eastAsia="en-GB"/>
        </w:rPr>
        <w:tab/>
      </w:r>
      <w:r w:rsidRPr="00B61CCF">
        <w:rPr>
          <w:szCs w:val="24"/>
          <w:lang w:eastAsia="en-GB"/>
        </w:rPr>
        <w:t xml:space="preserve">Pour </w:t>
      </w:r>
      <w:r w:rsidRPr="00B61CCF">
        <w:rPr>
          <w:lang w:eastAsia="en-GB"/>
        </w:rPr>
        <w:t>les</w:t>
      </w:r>
      <w:r w:rsidRPr="00B61CCF">
        <w:rPr>
          <w:szCs w:val="24"/>
          <w:lang w:eastAsia="en-GB"/>
        </w:rPr>
        <w:t xml:space="preserve"> sources lumineuses à décharge ayant un flux lumineux normal qui n’</w:t>
      </w:r>
      <w:r w:rsidR="00B61CCF">
        <w:rPr>
          <w:szCs w:val="24"/>
          <w:lang w:eastAsia="en-GB"/>
        </w:rPr>
        <w:t>est pas supérieur à 2 </w:t>
      </w:r>
      <w:r w:rsidRPr="00B61CCF">
        <w:rPr>
          <w:szCs w:val="24"/>
          <w:lang w:eastAsia="en-GB"/>
        </w:rPr>
        <w:t>000 lm, mais qui comprend des bandes opaques</w:t>
      </w:r>
      <w:r w:rsidR="00B61CCF">
        <w:rPr>
          <w:szCs w:val="24"/>
          <w:lang w:eastAsia="en-GB"/>
        </w:rPr>
        <w:t> :</w:t>
      </w:r>
    </w:p>
    <w:p w:rsidR="00C57619" w:rsidRPr="000416B8" w:rsidRDefault="00C57619" w:rsidP="00B61CCF">
      <w:pPr>
        <w:pStyle w:val="SingleTxtG"/>
        <w:ind w:left="2268"/>
        <w:rPr>
          <w:spacing w:val="-1"/>
          <w:szCs w:val="24"/>
          <w:lang w:eastAsia="en-GB"/>
        </w:rPr>
      </w:pPr>
      <w:r w:rsidRPr="000416B8">
        <w:rPr>
          <w:spacing w:val="-1"/>
          <w:szCs w:val="24"/>
          <w:lang w:eastAsia="en-GB"/>
        </w:rPr>
        <w:t xml:space="preserve">Lorsqu’elle est mesurée </w:t>
      </w:r>
      <w:r w:rsidRPr="000416B8">
        <w:rPr>
          <w:spacing w:val="-1"/>
          <w:lang w:eastAsia="en-GB"/>
        </w:rPr>
        <w:t>conformément</w:t>
      </w:r>
      <w:r w:rsidRPr="000416B8">
        <w:rPr>
          <w:spacing w:val="-1"/>
          <w:szCs w:val="24"/>
          <w:lang w:eastAsia="en-GB"/>
        </w:rPr>
        <w:t xml:space="preserve"> aux conditions spécifiées à l’</w:t>
      </w:r>
      <w:r w:rsidR="00B61CCF" w:rsidRPr="000416B8">
        <w:rPr>
          <w:spacing w:val="-1"/>
          <w:szCs w:val="24"/>
          <w:lang w:eastAsia="en-GB"/>
        </w:rPr>
        <w:t>annexe </w:t>
      </w:r>
      <w:r w:rsidRPr="000416B8">
        <w:rPr>
          <w:spacing w:val="-1"/>
          <w:szCs w:val="24"/>
          <w:lang w:eastAsia="en-GB"/>
        </w:rPr>
        <w:t>4, la source lumineuse à déc</w:t>
      </w:r>
      <w:r w:rsidR="00B61CCF" w:rsidRPr="000416B8">
        <w:rPr>
          <w:spacing w:val="-1"/>
          <w:szCs w:val="24"/>
          <w:lang w:eastAsia="en-GB"/>
        </w:rPr>
        <w:t>harge doit émettre au moins 700 </w:t>
      </w:r>
      <w:r w:rsidRPr="000416B8">
        <w:rPr>
          <w:spacing w:val="-1"/>
          <w:szCs w:val="24"/>
          <w:lang w:eastAsia="en-GB"/>
        </w:rPr>
        <w:t>lm après</w:t>
      </w:r>
      <w:r w:rsidR="00B61CCF" w:rsidRPr="000416B8">
        <w:rPr>
          <w:spacing w:val="-1"/>
          <w:szCs w:val="24"/>
          <w:lang w:eastAsia="en-GB"/>
        </w:rPr>
        <w:t xml:space="preserve"> 1 s et au moins 900 lm après 4 </w:t>
      </w:r>
      <w:r w:rsidRPr="000416B8">
        <w:rPr>
          <w:spacing w:val="-1"/>
          <w:szCs w:val="24"/>
          <w:lang w:eastAsia="en-GB"/>
        </w:rPr>
        <w:t>s.</w:t>
      </w:r>
    </w:p>
    <w:p w:rsidR="00C57619" w:rsidRPr="00B61CCF" w:rsidRDefault="00C57619" w:rsidP="00B61CCF">
      <w:pPr>
        <w:pStyle w:val="SingleTxtG"/>
        <w:ind w:left="2268"/>
        <w:rPr>
          <w:szCs w:val="24"/>
          <w:lang w:eastAsia="en-GB"/>
        </w:rPr>
      </w:pPr>
      <w:r w:rsidRPr="00B61CCF">
        <w:rPr>
          <w:szCs w:val="24"/>
          <w:lang w:eastAsia="en-GB"/>
        </w:rPr>
        <w:t>Le flux lumineux normal est celui</w:t>
      </w:r>
      <w:r w:rsidRPr="00B61CCF">
        <w:rPr>
          <w:lang w:eastAsia="en-GB"/>
        </w:rPr>
        <w:t xml:space="preserve"> qui</w:t>
      </w:r>
      <w:r w:rsidRPr="00B61CCF">
        <w:rPr>
          <w:szCs w:val="24"/>
          <w:lang w:eastAsia="en-GB"/>
        </w:rPr>
        <w:t xml:space="preserve"> est indiqué sur la feuille de données pertinente.</w:t>
      </w:r>
    </w:p>
    <w:p w:rsidR="00C57619" w:rsidRPr="00B61CCF" w:rsidRDefault="00C57619" w:rsidP="00B61CCF">
      <w:pPr>
        <w:pStyle w:val="SingleTxtG"/>
        <w:ind w:left="2268" w:hanging="1134"/>
        <w:rPr>
          <w:b/>
          <w:szCs w:val="24"/>
          <w:lang w:eastAsia="en-GB"/>
        </w:rPr>
      </w:pPr>
      <w:r w:rsidRPr="00B61CCF">
        <w:rPr>
          <w:b/>
          <w:szCs w:val="24"/>
          <w:lang w:eastAsia="en-GB"/>
        </w:rPr>
        <w:t>3.6.2.4</w:t>
      </w:r>
      <w:r w:rsidRPr="00B61CCF">
        <w:rPr>
          <w:b/>
          <w:szCs w:val="24"/>
          <w:lang w:eastAsia="en-GB"/>
        </w:rPr>
        <w:tab/>
        <w:t>Pour les sources lumineuses à décharge ayant plusieurs flux lumineux normaux, dont un au moins ne dépasse pas 2</w:t>
      </w:r>
      <w:r w:rsidR="00B61CCF">
        <w:rPr>
          <w:b/>
          <w:szCs w:val="24"/>
          <w:lang w:eastAsia="en-GB"/>
        </w:rPr>
        <w:t> </w:t>
      </w:r>
      <w:r w:rsidRPr="00B61CCF">
        <w:rPr>
          <w:b/>
          <w:szCs w:val="24"/>
          <w:lang w:eastAsia="en-GB"/>
        </w:rPr>
        <w:t>000 lm</w:t>
      </w:r>
      <w:r w:rsidR="00B61CCF">
        <w:rPr>
          <w:b/>
          <w:szCs w:val="24"/>
          <w:lang w:eastAsia="en-GB"/>
        </w:rPr>
        <w:t> :</w:t>
      </w:r>
    </w:p>
    <w:p w:rsidR="00C57619" w:rsidRPr="00B61CCF" w:rsidRDefault="00C57619" w:rsidP="00B61CCF">
      <w:pPr>
        <w:pStyle w:val="SingleTxtG"/>
        <w:ind w:left="2268"/>
        <w:rPr>
          <w:b/>
          <w:szCs w:val="24"/>
          <w:lang w:eastAsia="en-GB"/>
        </w:rPr>
      </w:pPr>
      <w:r w:rsidRPr="00B61CCF">
        <w:rPr>
          <w:b/>
          <w:szCs w:val="24"/>
          <w:lang w:eastAsia="en-GB"/>
        </w:rPr>
        <w:t>Lorsqu’elle est mesurée conformément aux conditions spécifiées à l’</w:t>
      </w:r>
      <w:r w:rsidR="00B61CCF">
        <w:rPr>
          <w:b/>
          <w:szCs w:val="24"/>
          <w:lang w:eastAsia="en-GB"/>
        </w:rPr>
        <w:t>annexe </w:t>
      </w:r>
      <w:r w:rsidRPr="00B61CCF">
        <w:rPr>
          <w:b/>
          <w:szCs w:val="24"/>
          <w:lang w:eastAsia="en-GB"/>
        </w:rPr>
        <w:t>4, la source lumineuse à décharge doit émettre au moins 8</w:t>
      </w:r>
      <w:r w:rsidR="00B61CCF">
        <w:rPr>
          <w:b/>
          <w:szCs w:val="24"/>
          <w:lang w:eastAsia="en-GB"/>
        </w:rPr>
        <w:t>00 lm après 1 </w:t>
      </w:r>
      <w:r w:rsidRPr="00B61CCF">
        <w:rPr>
          <w:b/>
          <w:szCs w:val="24"/>
          <w:lang w:eastAsia="en-GB"/>
        </w:rPr>
        <w:t>s et au moins 1</w:t>
      </w:r>
      <w:r w:rsidR="00B61CCF">
        <w:rPr>
          <w:b/>
          <w:szCs w:val="24"/>
          <w:lang w:eastAsia="en-GB"/>
        </w:rPr>
        <w:t> </w:t>
      </w:r>
      <w:r w:rsidRPr="00B61CCF">
        <w:rPr>
          <w:b/>
          <w:szCs w:val="24"/>
          <w:lang w:eastAsia="en-GB"/>
        </w:rPr>
        <w:t>0</w:t>
      </w:r>
      <w:r w:rsidR="00B61CCF">
        <w:rPr>
          <w:b/>
          <w:szCs w:val="24"/>
          <w:lang w:eastAsia="en-GB"/>
        </w:rPr>
        <w:t>00 lm après 4 </w:t>
      </w:r>
      <w:r w:rsidRPr="00B61CCF">
        <w:rPr>
          <w:b/>
          <w:szCs w:val="24"/>
          <w:lang w:eastAsia="en-GB"/>
        </w:rPr>
        <w:t>s.</w:t>
      </w:r>
    </w:p>
    <w:p w:rsidR="00C57619" w:rsidRPr="00B61CCF" w:rsidRDefault="00C57619" w:rsidP="00B61CCF">
      <w:pPr>
        <w:pStyle w:val="SingleTxtG"/>
        <w:ind w:left="2268"/>
        <w:rPr>
          <w:b/>
          <w:szCs w:val="24"/>
          <w:lang w:eastAsia="en-GB"/>
        </w:rPr>
      </w:pPr>
      <w:r w:rsidRPr="00B61CCF">
        <w:rPr>
          <w:b/>
          <w:szCs w:val="24"/>
          <w:lang w:eastAsia="en-GB"/>
        </w:rPr>
        <w:t>Le flux lumineux normal est celui qui est indiqué sur la feuille de données pertinentes.</w:t>
      </w:r>
      <w:r w:rsidR="00B61CCF" w:rsidRPr="00B61CCF">
        <w:rPr>
          <w:bCs/>
          <w:szCs w:val="24"/>
          <w:lang w:eastAsia="en-GB"/>
        </w:rPr>
        <w:t> ».</w:t>
      </w:r>
    </w:p>
    <w:p w:rsidR="00C57619" w:rsidRPr="00B61CCF" w:rsidRDefault="00C57619" w:rsidP="00C57619">
      <w:pPr>
        <w:pStyle w:val="HChG"/>
      </w:pPr>
      <w:r w:rsidRPr="00B61CCF">
        <w:tab/>
        <w:t>II.</w:t>
      </w:r>
      <w:r w:rsidRPr="00B61CCF">
        <w:tab/>
        <w:t>Justification</w:t>
      </w:r>
    </w:p>
    <w:p w:rsidR="00C57619" w:rsidRPr="00B61CCF" w:rsidRDefault="00C57619" w:rsidP="00B61CCF">
      <w:pPr>
        <w:pStyle w:val="ParNoG"/>
      </w:pPr>
      <w:r w:rsidRPr="00B61CCF">
        <w:t xml:space="preserve">Le Règlement </w:t>
      </w:r>
      <w:r w:rsidR="00B61CCF">
        <w:rPr>
          <w:rFonts w:eastAsia="MS Mincho"/>
        </w:rPr>
        <w:t>n</w:t>
      </w:r>
      <w:r w:rsidR="00B61CCF">
        <w:rPr>
          <w:rFonts w:eastAsia="MS Mincho"/>
          <w:vertAlign w:val="superscript"/>
        </w:rPr>
        <w:t>o</w:t>
      </w:r>
      <w:r w:rsidR="00B61CCF">
        <w:t> </w:t>
      </w:r>
      <w:r w:rsidRPr="00B61CCF">
        <w:t xml:space="preserve">99 donne actuellement lieu à plusieurs interprétations possibles sur la manière de procéder aux essais de montée en puissance des sources lumineuses à décharge de haute intensité à deux niveaux de rendement , comme la catégorie D9S, lors de l’homologation. Il est par conséquent proposé d’ajouter au Règlement </w:t>
      </w:r>
      <w:r w:rsidR="00B61CCF">
        <w:rPr>
          <w:rFonts w:eastAsia="MS Mincho"/>
        </w:rPr>
        <w:t>n</w:t>
      </w:r>
      <w:r w:rsidR="00B61CCF">
        <w:rPr>
          <w:rFonts w:eastAsia="MS Mincho"/>
          <w:vertAlign w:val="superscript"/>
        </w:rPr>
        <w:t>o</w:t>
      </w:r>
      <w:r w:rsidR="00B61CCF">
        <w:t> </w:t>
      </w:r>
      <w:r w:rsidRPr="00B61CCF">
        <w:t>99 un nouveau paragraphe 3.6.2.4 pour préciser comment effectuer les essais de montée en puissance de ces sources lumineuses.</w:t>
      </w:r>
      <w:r w:rsidR="00B61CCF">
        <w:t xml:space="preserve"> </w:t>
      </w:r>
    </w:p>
    <w:p w:rsidR="00C57619" w:rsidRPr="00B61CCF" w:rsidRDefault="00C57619" w:rsidP="00B61CCF">
      <w:pPr>
        <w:pStyle w:val="ParNoG"/>
        <w:rPr>
          <w:spacing w:val="-2"/>
        </w:rPr>
      </w:pPr>
      <w:r w:rsidRPr="00B61CCF">
        <w:rPr>
          <w:spacing w:val="-2"/>
        </w:rPr>
        <w:lastRenderedPageBreak/>
        <w:t xml:space="preserve">Pour l’équilibre et la clarté du texte, outre l’ajout du nouveau paragraphe, la partie actuelle du paragraphe 3.6.2.2 relative aux sources lumineuses à décharge comprenant des bandes opaques fait à présent l’objet d’un autre paragraphe numéroté 3.6.2.3, afin d’établir une distinction avec les sources lumineuses à décharge ne comprenant pas de bandes opaques. </w:t>
      </w:r>
    </w:p>
    <w:p w:rsidR="00F9573C" w:rsidRPr="00B61CCF" w:rsidRDefault="00C57619" w:rsidP="00C57619">
      <w:pPr>
        <w:pStyle w:val="SingleTxtG"/>
        <w:spacing w:before="240" w:after="0"/>
        <w:jc w:val="center"/>
        <w:rPr>
          <w:u w:val="single"/>
        </w:rPr>
      </w:pPr>
      <w:r w:rsidRPr="00B61CCF">
        <w:rPr>
          <w:u w:val="single"/>
        </w:rPr>
        <w:tab/>
      </w:r>
      <w:r w:rsidRPr="00B61CCF">
        <w:rPr>
          <w:u w:val="single"/>
        </w:rPr>
        <w:tab/>
      </w:r>
      <w:r w:rsidRPr="00B61CCF">
        <w:rPr>
          <w:u w:val="single"/>
        </w:rPr>
        <w:tab/>
      </w:r>
    </w:p>
    <w:sectPr w:rsidR="00F9573C" w:rsidRPr="00B61CCF" w:rsidSect="00C576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2D" w:rsidRDefault="00BA5D2D" w:rsidP="00F95C08">
      <w:pPr>
        <w:spacing w:line="240" w:lineRule="auto"/>
      </w:pPr>
    </w:p>
  </w:endnote>
  <w:endnote w:type="continuationSeparator" w:id="0">
    <w:p w:rsidR="00BA5D2D" w:rsidRPr="00AC3823" w:rsidRDefault="00BA5D2D" w:rsidP="00AC3823">
      <w:pPr>
        <w:pStyle w:val="Footer"/>
      </w:pPr>
    </w:p>
  </w:endnote>
  <w:endnote w:type="continuationNotice" w:id="1">
    <w:p w:rsidR="00BA5D2D" w:rsidRDefault="00BA5D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9" w:rsidRPr="00C57619" w:rsidRDefault="00C57619" w:rsidP="00C57619">
    <w:pPr>
      <w:pStyle w:val="Footer"/>
      <w:tabs>
        <w:tab w:val="right" w:pos="9638"/>
      </w:tabs>
    </w:pPr>
    <w:r w:rsidRPr="00C57619">
      <w:rPr>
        <w:b/>
        <w:sz w:val="18"/>
      </w:rPr>
      <w:fldChar w:fldCharType="begin"/>
    </w:r>
    <w:r w:rsidRPr="00C57619">
      <w:rPr>
        <w:b/>
        <w:sz w:val="18"/>
      </w:rPr>
      <w:instrText xml:space="preserve"> PAGE  \* MERGEFORMAT </w:instrText>
    </w:r>
    <w:r w:rsidRPr="00C57619">
      <w:rPr>
        <w:b/>
        <w:sz w:val="18"/>
      </w:rPr>
      <w:fldChar w:fldCharType="separate"/>
    </w:r>
    <w:r w:rsidR="008F5FF0">
      <w:rPr>
        <w:b/>
        <w:noProof/>
        <w:sz w:val="18"/>
      </w:rPr>
      <w:t>2</w:t>
    </w:r>
    <w:r w:rsidRPr="00C57619">
      <w:rPr>
        <w:b/>
        <w:sz w:val="18"/>
      </w:rPr>
      <w:fldChar w:fldCharType="end"/>
    </w:r>
    <w:r>
      <w:rPr>
        <w:b/>
        <w:sz w:val="18"/>
      </w:rPr>
      <w:tab/>
    </w:r>
    <w:r>
      <w:t>GE.16-13778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9" w:rsidRPr="00C57619" w:rsidRDefault="00C57619" w:rsidP="00C57619">
    <w:pPr>
      <w:pStyle w:val="Footer"/>
      <w:tabs>
        <w:tab w:val="right" w:pos="9638"/>
      </w:tabs>
      <w:rPr>
        <w:b/>
        <w:sz w:val="18"/>
      </w:rPr>
    </w:pPr>
    <w:r>
      <w:t>GE.16-13778</w:t>
    </w:r>
    <w:r>
      <w:tab/>
    </w:r>
    <w:r w:rsidRPr="00C57619">
      <w:rPr>
        <w:b/>
        <w:sz w:val="18"/>
      </w:rPr>
      <w:fldChar w:fldCharType="begin"/>
    </w:r>
    <w:r w:rsidRPr="00C57619">
      <w:rPr>
        <w:b/>
        <w:sz w:val="18"/>
      </w:rPr>
      <w:instrText xml:space="preserve"> PAGE  \* MERGEFORMAT </w:instrText>
    </w:r>
    <w:r w:rsidRPr="00C57619">
      <w:rPr>
        <w:b/>
        <w:sz w:val="18"/>
      </w:rPr>
      <w:fldChar w:fldCharType="separate"/>
    </w:r>
    <w:r w:rsidR="008F5FF0">
      <w:rPr>
        <w:b/>
        <w:noProof/>
        <w:sz w:val="18"/>
      </w:rPr>
      <w:t>3</w:t>
    </w:r>
    <w:r w:rsidRPr="00C576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C57619" w:rsidRDefault="00C57619" w:rsidP="00C5761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0030C03" wp14:editId="6FF0AD3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16-13778</w:t>
    </w:r>
    <w:r w:rsidR="00B61CCF">
      <w:rPr>
        <w:sz w:val="20"/>
      </w:rPr>
      <w:t xml:space="preserve">  </w:t>
    </w:r>
    <w:r>
      <w:rPr>
        <w:sz w:val="20"/>
      </w:rPr>
      <w:t>(F)</w:t>
    </w:r>
    <w:r w:rsidR="00B61CCF">
      <w:rPr>
        <w:sz w:val="20"/>
      </w:rPr>
      <w:t xml:space="preserve">    060916    070916</w:t>
    </w:r>
    <w:r>
      <w:rPr>
        <w:sz w:val="20"/>
      </w:rPr>
      <w:br/>
    </w:r>
    <w:r w:rsidRPr="00C57619">
      <w:rPr>
        <w:rFonts w:ascii="C39T30Lfz" w:hAnsi="C39T30Lfz"/>
        <w:sz w:val="56"/>
      </w:rPr>
      <w:t></w:t>
    </w:r>
    <w:r w:rsidRPr="00C57619">
      <w:rPr>
        <w:rFonts w:ascii="C39T30Lfz" w:hAnsi="C39T30Lfz"/>
        <w:sz w:val="56"/>
      </w:rPr>
      <w:t></w:t>
    </w:r>
    <w:r w:rsidRPr="00C57619">
      <w:rPr>
        <w:rFonts w:ascii="C39T30Lfz" w:hAnsi="C39T30Lfz"/>
        <w:sz w:val="56"/>
      </w:rPr>
      <w:t></w:t>
    </w:r>
    <w:r w:rsidRPr="00C57619">
      <w:rPr>
        <w:rFonts w:ascii="C39T30Lfz" w:hAnsi="C39T30Lfz"/>
        <w:sz w:val="56"/>
      </w:rPr>
      <w:t></w:t>
    </w:r>
    <w:r w:rsidRPr="00C57619">
      <w:rPr>
        <w:rFonts w:ascii="C39T30Lfz" w:hAnsi="C39T30Lfz"/>
        <w:sz w:val="56"/>
      </w:rPr>
      <w:t></w:t>
    </w:r>
    <w:r w:rsidRPr="00C57619">
      <w:rPr>
        <w:rFonts w:ascii="C39T30Lfz" w:hAnsi="C39T30Lfz"/>
        <w:sz w:val="56"/>
      </w:rPr>
      <w:t></w:t>
    </w:r>
    <w:r w:rsidRPr="00C57619">
      <w:rPr>
        <w:rFonts w:ascii="C39T30Lfz" w:hAnsi="C39T30Lfz"/>
        <w:sz w:val="56"/>
      </w:rPr>
      <w:t></w:t>
    </w:r>
    <w:r w:rsidRPr="00C57619">
      <w:rPr>
        <w:rFonts w:ascii="C39T30Lfz" w:hAnsi="C39T30Lfz"/>
        <w:sz w:val="56"/>
      </w:rPr>
      <w:t></w:t>
    </w:r>
    <w:r w:rsidRPr="00C5761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2D" w:rsidRPr="00AC3823" w:rsidRDefault="00BA5D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5D2D" w:rsidRPr="00AC3823" w:rsidRDefault="00BA5D2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5D2D" w:rsidRPr="00AC3823" w:rsidRDefault="00BA5D2D">
      <w:pPr>
        <w:spacing w:line="240" w:lineRule="auto"/>
        <w:rPr>
          <w:sz w:val="2"/>
          <w:szCs w:val="2"/>
        </w:rPr>
      </w:pPr>
    </w:p>
  </w:footnote>
  <w:footnote w:id="2">
    <w:p w:rsidR="00C57619" w:rsidRPr="00B61CCF" w:rsidRDefault="00C57619" w:rsidP="00B61CCF">
      <w:pPr>
        <w:pStyle w:val="FootnoteText"/>
        <w:rPr>
          <w:spacing w:val="-2"/>
        </w:rPr>
      </w:pPr>
      <w:r w:rsidRPr="00B61CCF">
        <w:rPr>
          <w:sz w:val="20"/>
        </w:rPr>
        <w:tab/>
        <w:t>*</w:t>
      </w:r>
      <w:r w:rsidRPr="00B61CCF">
        <w:rPr>
          <w:sz w:val="20"/>
        </w:rPr>
        <w:tab/>
      </w:r>
      <w:r w:rsidRPr="00B61CCF">
        <w:rPr>
          <w:spacing w:val="-2"/>
        </w:rPr>
        <w:t>Conformément au programme de travail du Comité des transports intérieurs pour la période 2014</w:t>
      </w:r>
      <w:r w:rsidR="00B61CCF" w:rsidRPr="00B61CCF">
        <w:rPr>
          <w:spacing w:val="-2"/>
        </w:rPr>
        <w:t>-2018 (ECE/TRANS/240, par. </w:t>
      </w:r>
      <w:r w:rsidRPr="00B61CCF">
        <w:rPr>
          <w:spacing w:val="-2"/>
        </w:rPr>
        <w:t>105</w:t>
      </w:r>
      <w:r w:rsidR="00B61CCF" w:rsidRPr="00B61CCF">
        <w:rPr>
          <w:spacing w:val="-2"/>
        </w:rPr>
        <w:t>,</w:t>
      </w:r>
      <w:r w:rsidRPr="00B61CCF">
        <w:rPr>
          <w:spacing w:val="-2"/>
        </w:rPr>
        <w:t xml:space="preserve"> et ECE/TRANS/2014/26, activité</w:t>
      </w:r>
      <w:r w:rsidR="00B61CCF" w:rsidRPr="00B61CCF">
        <w:rPr>
          <w:spacing w:val="-2"/>
        </w:rPr>
        <w:t> </w:t>
      </w:r>
      <w:r w:rsidRPr="00B61CCF">
        <w:rPr>
          <w:spacing w:val="-2"/>
        </w:rPr>
        <w:t>02.4), le Forum mondial a pour mission d’élaborer, d’harmoniser et de mettre à jour les Règlements en vue d’améliorer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9" w:rsidRPr="00C57619" w:rsidRDefault="00C57619">
    <w:pPr>
      <w:pStyle w:val="Header"/>
    </w:pPr>
    <w:r>
      <w:t>ECE/TRANS/WP.29/GRE/2016/26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9" w:rsidRPr="00C57619" w:rsidRDefault="00C57619" w:rsidP="00C57619">
    <w:pPr>
      <w:pStyle w:val="Header"/>
      <w:jc w:val="right"/>
    </w:pPr>
    <w:r>
      <w:t>ECE/TRANS/WP.29/GRE/2016/26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2D"/>
    <w:rsid w:val="00017F94"/>
    <w:rsid w:val="00023842"/>
    <w:rsid w:val="000334F9"/>
    <w:rsid w:val="000416B8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F5FF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61CCF"/>
    <w:rsid w:val="00B765F7"/>
    <w:rsid w:val="00BA0CA9"/>
    <w:rsid w:val="00BA5D2D"/>
    <w:rsid w:val="00C02897"/>
    <w:rsid w:val="00C5761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5761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5761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57619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5761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5761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57619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ECE/TRANS/WP.29/GRE/2016/26</vt:lpstr>
      <vt:lpstr>ECE/TRANS/WP.29/GRE/2016/26</vt:lpstr>
    </vt:vector>
  </TitlesOfParts>
  <Company>DCM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ECE/TRANS/WP.29/GRE/2016/26</dc:title>
  <dc:creator>Morin</dc:creator>
  <cp:lastModifiedBy>Benedicte Boudol</cp:lastModifiedBy>
  <cp:revision>2</cp:revision>
  <cp:lastPrinted>2014-05-14T10:59:00Z</cp:lastPrinted>
  <dcterms:created xsi:type="dcterms:W3CDTF">2016-09-07T13:17:00Z</dcterms:created>
  <dcterms:modified xsi:type="dcterms:W3CDTF">2016-09-07T13:17:00Z</dcterms:modified>
</cp:coreProperties>
</file>