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6239EA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892A2F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6239EA" w:rsidP="006239EA">
            <w:pPr>
              <w:jc w:val="right"/>
            </w:pPr>
            <w:r w:rsidRPr="006239EA">
              <w:rPr>
                <w:sz w:val="40"/>
              </w:rPr>
              <w:t>ECE</w:t>
            </w:r>
            <w:r>
              <w:t>/TRANS/WP.29/GRE/2016/24</w:t>
            </w:r>
          </w:p>
        </w:tc>
      </w:tr>
      <w:tr w:rsidR="00F35BAF" w:rsidRPr="00DB58B5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892A2F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36B1E73" wp14:editId="3F7BE30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892A2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6239EA" w:rsidP="00892A2F">
            <w:pPr>
              <w:spacing w:before="240"/>
            </w:pPr>
            <w:r>
              <w:t>Distr. générale</w:t>
            </w:r>
          </w:p>
          <w:p w:rsidR="006239EA" w:rsidRDefault="006239EA" w:rsidP="006239EA">
            <w:pPr>
              <w:spacing w:line="240" w:lineRule="exact"/>
            </w:pPr>
            <w:r>
              <w:t>9 août 2016</w:t>
            </w:r>
          </w:p>
          <w:p w:rsidR="006239EA" w:rsidRDefault="006239EA" w:rsidP="006239EA">
            <w:pPr>
              <w:spacing w:line="240" w:lineRule="exact"/>
            </w:pPr>
            <w:r>
              <w:t>Français</w:t>
            </w:r>
          </w:p>
          <w:p w:rsidR="006239EA" w:rsidRPr="00DB58B5" w:rsidRDefault="006239EA" w:rsidP="006239EA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6239EA" w:rsidRPr="00484A1F" w:rsidRDefault="006239EA" w:rsidP="00B069E1">
      <w:pPr>
        <w:suppressAutoHyphens w:val="0"/>
        <w:spacing w:before="120" w:after="120" w:line="240" w:lineRule="auto"/>
        <w:rPr>
          <w:b/>
          <w:sz w:val="24"/>
          <w:szCs w:val="24"/>
          <w:lang w:val="fr-FR"/>
        </w:rPr>
      </w:pPr>
      <w:r w:rsidRPr="00484A1F">
        <w:rPr>
          <w:b/>
          <w:sz w:val="24"/>
          <w:szCs w:val="24"/>
          <w:lang w:val="fr-FR"/>
        </w:rPr>
        <w:t>Forum mondial de l’</w:t>
      </w:r>
      <w:r w:rsidR="00484A1F">
        <w:rPr>
          <w:b/>
          <w:sz w:val="24"/>
          <w:szCs w:val="24"/>
          <w:lang w:val="fr-FR"/>
        </w:rPr>
        <w:t>harmonisation</w:t>
      </w:r>
      <w:r w:rsidR="00484A1F">
        <w:rPr>
          <w:b/>
          <w:sz w:val="24"/>
          <w:szCs w:val="24"/>
          <w:lang w:val="fr-FR"/>
        </w:rPr>
        <w:br/>
      </w:r>
      <w:r w:rsidRPr="00484A1F">
        <w:rPr>
          <w:b/>
          <w:sz w:val="24"/>
          <w:szCs w:val="24"/>
          <w:lang w:val="fr-FR"/>
        </w:rPr>
        <w:t>des Règlements concernant les véhicules</w:t>
      </w:r>
    </w:p>
    <w:p w:rsidR="006239EA" w:rsidRPr="0025454D" w:rsidRDefault="006239EA" w:rsidP="00B069E1">
      <w:pPr>
        <w:suppressAutoHyphens w:val="0"/>
        <w:spacing w:after="120" w:line="240" w:lineRule="auto"/>
        <w:rPr>
          <w:b/>
          <w:lang w:val="fr-FR"/>
        </w:rPr>
      </w:pPr>
      <w:r w:rsidRPr="0025454D">
        <w:rPr>
          <w:b/>
          <w:lang w:val="fr-FR"/>
        </w:rPr>
        <w:t>Groupe de travail de l</w:t>
      </w:r>
      <w:r>
        <w:rPr>
          <w:b/>
          <w:lang w:val="fr-FR"/>
        </w:rPr>
        <w:t>’</w:t>
      </w:r>
      <w:r w:rsidRPr="0025454D">
        <w:rPr>
          <w:b/>
          <w:lang w:val="fr-FR"/>
        </w:rPr>
        <w:t>éclairage et de la signalisation lumineuse</w:t>
      </w:r>
    </w:p>
    <w:p w:rsidR="006239EA" w:rsidRPr="00484A1F" w:rsidRDefault="006239EA" w:rsidP="00484A1F">
      <w:pPr>
        <w:rPr>
          <w:b/>
          <w:lang w:val="fr-FR"/>
        </w:rPr>
      </w:pPr>
      <w:r w:rsidRPr="00484A1F">
        <w:rPr>
          <w:b/>
          <w:lang w:val="fr-FR"/>
        </w:rPr>
        <w:t>Soixante-seizième session</w:t>
      </w:r>
    </w:p>
    <w:p w:rsidR="006239EA" w:rsidRPr="0025454D" w:rsidRDefault="006239EA" w:rsidP="00484A1F">
      <w:pPr>
        <w:rPr>
          <w:lang w:val="fr-FR"/>
        </w:rPr>
      </w:pPr>
      <w:r w:rsidRPr="0025454D">
        <w:rPr>
          <w:lang w:val="fr-FR"/>
        </w:rPr>
        <w:t>Genève, 25-28 octobre 2016</w:t>
      </w:r>
    </w:p>
    <w:p w:rsidR="006239EA" w:rsidRPr="0025454D" w:rsidRDefault="006239EA" w:rsidP="00484A1F">
      <w:pPr>
        <w:rPr>
          <w:lang w:val="fr-FR"/>
        </w:rPr>
      </w:pPr>
      <w:r w:rsidRPr="0025454D">
        <w:rPr>
          <w:lang w:val="fr-FR"/>
        </w:rPr>
        <w:t>Point 6 a) de l</w:t>
      </w:r>
      <w:r>
        <w:rPr>
          <w:lang w:val="fr-FR"/>
        </w:rPr>
        <w:t>’</w:t>
      </w:r>
      <w:r w:rsidRPr="0025454D">
        <w:rPr>
          <w:lang w:val="fr-FR"/>
        </w:rPr>
        <w:t>ordre du jour provisoire</w:t>
      </w:r>
    </w:p>
    <w:p w:rsidR="006239EA" w:rsidRPr="0025454D" w:rsidRDefault="006239EA" w:rsidP="00484A1F">
      <w:pPr>
        <w:rPr>
          <w:b/>
          <w:bCs/>
          <w:lang w:val="fr-FR"/>
        </w:rPr>
      </w:pPr>
      <w:r w:rsidRPr="00484A1F">
        <w:rPr>
          <w:b/>
          <w:lang w:val="fr-FR"/>
        </w:rPr>
        <w:t xml:space="preserve">Règlement </w:t>
      </w:r>
      <w:r w:rsidR="00484A1F" w:rsidRPr="00484A1F">
        <w:rPr>
          <w:rFonts w:eastAsia="MS Mincho"/>
          <w:b/>
          <w:lang w:val="fr-FR"/>
        </w:rPr>
        <w:t>n</w:t>
      </w:r>
      <w:r w:rsidR="00484A1F" w:rsidRPr="00484A1F">
        <w:rPr>
          <w:rFonts w:eastAsia="MS Mincho"/>
          <w:b/>
          <w:vertAlign w:val="superscript"/>
          <w:lang w:val="fr-FR"/>
        </w:rPr>
        <w:t>o</w:t>
      </w:r>
      <w:r w:rsidR="00484A1F">
        <w:rPr>
          <w:b/>
          <w:lang w:val="fr-FR"/>
        </w:rPr>
        <w:t> </w:t>
      </w:r>
      <w:r w:rsidRPr="00484A1F">
        <w:rPr>
          <w:b/>
          <w:lang w:val="fr-FR"/>
        </w:rPr>
        <w:t>48 (Installation des dispositifs d’</w:t>
      </w:r>
      <w:r w:rsidR="00484A1F">
        <w:rPr>
          <w:b/>
          <w:lang w:val="fr-FR"/>
        </w:rPr>
        <w:t>éclairage</w:t>
      </w:r>
      <w:r w:rsidR="00484A1F">
        <w:rPr>
          <w:b/>
          <w:lang w:val="fr-FR"/>
        </w:rPr>
        <w:br/>
      </w:r>
      <w:r w:rsidRPr="00484A1F">
        <w:rPr>
          <w:b/>
          <w:lang w:val="fr-FR"/>
        </w:rPr>
        <w:t xml:space="preserve">et de signalisation lumineuse) </w:t>
      </w:r>
      <w:r w:rsidR="00B069E1">
        <w:rPr>
          <w:b/>
          <w:bCs/>
          <w:lang w:val="fr-FR"/>
        </w:rPr>
        <w:t>−</w:t>
      </w:r>
      <w:r w:rsidRPr="00484A1F">
        <w:rPr>
          <w:b/>
          <w:bCs/>
          <w:lang w:val="fr-FR"/>
        </w:rPr>
        <w:t xml:space="preserve"> </w:t>
      </w:r>
      <w:r w:rsidRPr="0025454D">
        <w:rPr>
          <w:b/>
          <w:bCs/>
          <w:lang w:val="fr-FR"/>
        </w:rPr>
        <w:t>Propositions d</w:t>
      </w:r>
      <w:r>
        <w:rPr>
          <w:b/>
          <w:bCs/>
          <w:lang w:val="fr-FR"/>
        </w:rPr>
        <w:t>’</w:t>
      </w:r>
      <w:r w:rsidR="00484A1F">
        <w:rPr>
          <w:b/>
          <w:bCs/>
          <w:lang w:val="fr-FR"/>
        </w:rPr>
        <w:t>amendements</w:t>
      </w:r>
      <w:r w:rsidR="00484A1F">
        <w:rPr>
          <w:b/>
          <w:bCs/>
          <w:lang w:val="fr-FR"/>
        </w:rPr>
        <w:br/>
      </w:r>
      <w:r w:rsidRPr="0025454D">
        <w:rPr>
          <w:b/>
          <w:bCs/>
          <w:lang w:val="fr-FR"/>
        </w:rPr>
        <w:t>aux séries 05 et 06 d</w:t>
      </w:r>
      <w:r>
        <w:rPr>
          <w:b/>
          <w:bCs/>
          <w:lang w:val="fr-FR"/>
        </w:rPr>
        <w:t>’</w:t>
      </w:r>
      <w:r w:rsidRPr="0025454D">
        <w:rPr>
          <w:b/>
          <w:bCs/>
          <w:lang w:val="fr-FR"/>
        </w:rPr>
        <w:t>amendements</w:t>
      </w:r>
    </w:p>
    <w:p w:rsidR="006239EA" w:rsidRPr="0025454D" w:rsidRDefault="00484A1F" w:rsidP="00484A1F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6239EA" w:rsidRPr="0025454D">
        <w:rPr>
          <w:lang w:val="fr-FR"/>
        </w:rPr>
        <w:t>Proposition de complément 11 à la série 05 d</w:t>
      </w:r>
      <w:r w:rsidR="006239EA">
        <w:rPr>
          <w:lang w:val="fr-FR"/>
        </w:rPr>
        <w:t>’</w:t>
      </w:r>
      <w:r>
        <w:rPr>
          <w:lang w:val="fr-FR"/>
        </w:rPr>
        <w:t>amendements</w:t>
      </w:r>
      <w:r>
        <w:rPr>
          <w:lang w:val="fr-FR"/>
        </w:rPr>
        <w:br/>
      </w:r>
      <w:r w:rsidR="006239EA" w:rsidRPr="0025454D">
        <w:rPr>
          <w:lang w:val="fr-FR"/>
        </w:rPr>
        <w:t>et de complément 9 à la série 06 d</w:t>
      </w:r>
      <w:r w:rsidR="006239EA">
        <w:rPr>
          <w:lang w:val="fr-FR"/>
        </w:rPr>
        <w:t>’</w:t>
      </w:r>
      <w:r w:rsidR="006239EA" w:rsidRPr="0025454D">
        <w:rPr>
          <w:lang w:val="fr-FR"/>
        </w:rPr>
        <w:t>amendements</w:t>
      </w:r>
      <w:r>
        <w:rPr>
          <w:lang w:val="fr-FR"/>
        </w:rPr>
        <w:t xml:space="preserve"> au</w:t>
      </w:r>
      <w:r>
        <w:rPr>
          <w:lang w:val="fr-FR"/>
        </w:rPr>
        <w:br/>
      </w:r>
      <w:r w:rsidR="006239EA" w:rsidRPr="0025454D">
        <w:rPr>
          <w:lang w:val="fr-FR"/>
        </w:rPr>
        <w:t xml:space="preserve">Règlement </w:t>
      </w:r>
      <w:r w:rsidRPr="00484A1F">
        <w:rPr>
          <w:rFonts w:eastAsia="MS Mincho"/>
          <w:lang w:val="fr-FR"/>
        </w:rPr>
        <w:t>n</w:t>
      </w:r>
      <w:r w:rsidRPr="00484A1F">
        <w:rPr>
          <w:rFonts w:eastAsia="MS Mincho"/>
          <w:vertAlign w:val="superscript"/>
          <w:lang w:val="fr-FR"/>
        </w:rPr>
        <w:t>o</w:t>
      </w:r>
      <w:r>
        <w:rPr>
          <w:lang w:val="fr-FR"/>
        </w:rPr>
        <w:t> </w:t>
      </w:r>
      <w:r w:rsidR="006239EA" w:rsidRPr="0025454D">
        <w:rPr>
          <w:lang w:val="fr-FR"/>
        </w:rPr>
        <w:t>48 (Installation des dispositifs d</w:t>
      </w:r>
      <w:r w:rsidR="006239EA">
        <w:rPr>
          <w:lang w:val="fr-FR"/>
        </w:rPr>
        <w:t>’</w:t>
      </w:r>
      <w:r>
        <w:rPr>
          <w:lang w:val="fr-FR"/>
        </w:rPr>
        <w:t>éclairage</w:t>
      </w:r>
      <w:r>
        <w:rPr>
          <w:lang w:val="fr-FR"/>
        </w:rPr>
        <w:br/>
      </w:r>
      <w:r w:rsidR="006239EA" w:rsidRPr="0025454D">
        <w:rPr>
          <w:lang w:val="fr-FR"/>
        </w:rPr>
        <w:t>et de signalisation lumineuse)</w:t>
      </w:r>
    </w:p>
    <w:p w:rsidR="006239EA" w:rsidRPr="0025454D" w:rsidRDefault="00612569" w:rsidP="00612569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6239EA" w:rsidRPr="0025454D">
        <w:rPr>
          <w:lang w:val="fr-FR"/>
        </w:rPr>
        <w:t>Communication de l</w:t>
      </w:r>
      <w:r w:rsidR="006239EA">
        <w:rPr>
          <w:lang w:val="fr-FR"/>
        </w:rPr>
        <w:t>’</w:t>
      </w:r>
      <w:r w:rsidR="006239EA" w:rsidRPr="0025454D">
        <w:rPr>
          <w:lang w:val="fr-FR"/>
        </w:rPr>
        <w:t>expert du Groupe de travail «</w:t>
      </w:r>
      <w:r w:rsidR="00B069E1">
        <w:rPr>
          <w:lang w:val="fr-FR"/>
        </w:rPr>
        <w:t> </w:t>
      </w:r>
      <w:r w:rsidR="006239EA" w:rsidRPr="0025454D">
        <w:rPr>
          <w:lang w:val="fr-FR"/>
        </w:rPr>
        <w:t>Bruxelles 1952</w:t>
      </w:r>
      <w:r w:rsidR="00B069E1">
        <w:rPr>
          <w:lang w:val="fr-FR"/>
        </w:rPr>
        <w:t> »</w:t>
      </w:r>
      <w:r w:rsidR="00B069E1">
        <w:rPr>
          <w:lang w:val="fr-FR"/>
        </w:rPr>
        <w:br/>
      </w:r>
      <w:r w:rsidR="006239EA" w:rsidRPr="0025454D">
        <w:rPr>
          <w:lang w:val="fr-FR"/>
        </w:rPr>
        <w:t>(GTB)</w:t>
      </w:r>
      <w:r w:rsidR="006239EA" w:rsidRPr="00612569">
        <w:rPr>
          <w:b w:val="0"/>
          <w:sz w:val="20"/>
          <w:lang w:val="fr-FR"/>
        </w:rPr>
        <w:footnoteReference w:customMarkFollows="1" w:id="2"/>
        <w:t>*</w:t>
      </w:r>
      <w:r w:rsidR="006239EA" w:rsidRPr="0025454D">
        <w:rPr>
          <w:lang w:val="fr-FR"/>
        </w:rPr>
        <w:t xml:space="preserve"> </w:t>
      </w:r>
    </w:p>
    <w:p w:rsidR="006239EA" w:rsidRDefault="006239EA" w:rsidP="00612569">
      <w:pPr>
        <w:pStyle w:val="SingleTxtG"/>
        <w:ind w:firstLine="567"/>
        <w:rPr>
          <w:lang w:val="fr-FR"/>
        </w:rPr>
      </w:pPr>
      <w:r w:rsidRPr="0025454D">
        <w:rPr>
          <w:bCs/>
          <w:lang w:val="fr-FR"/>
        </w:rPr>
        <w:t>Le texte reproduit ci-après, établi par l</w:t>
      </w:r>
      <w:r>
        <w:rPr>
          <w:bCs/>
          <w:lang w:val="fr-FR"/>
        </w:rPr>
        <w:t>’</w:t>
      </w:r>
      <w:r w:rsidRPr="0025454D">
        <w:rPr>
          <w:bCs/>
          <w:lang w:val="fr-FR"/>
        </w:rPr>
        <w:t>expert du Groupe de travail «</w:t>
      </w:r>
      <w:r w:rsidR="00B069E1">
        <w:rPr>
          <w:bCs/>
          <w:lang w:val="fr-FR"/>
        </w:rPr>
        <w:t> </w:t>
      </w:r>
      <w:r w:rsidRPr="0025454D">
        <w:rPr>
          <w:bCs/>
          <w:lang w:val="fr-FR"/>
        </w:rPr>
        <w:t>Bruxelles 1952</w:t>
      </w:r>
      <w:r w:rsidR="00B069E1">
        <w:rPr>
          <w:bCs/>
          <w:lang w:val="fr-FR"/>
        </w:rPr>
        <w:t> </w:t>
      </w:r>
      <w:r w:rsidRPr="0025454D">
        <w:rPr>
          <w:bCs/>
          <w:lang w:val="fr-FR"/>
        </w:rPr>
        <w:t xml:space="preserve">» (GTB), </w:t>
      </w:r>
      <w:r w:rsidRPr="0025454D">
        <w:rPr>
          <w:lang w:val="fr-FR"/>
        </w:rPr>
        <w:t xml:space="preserve">vise à éliminer des incohérences relevées dans le Règlement </w:t>
      </w:r>
      <w:r w:rsidR="00B069E1" w:rsidRPr="00B069E1">
        <w:rPr>
          <w:rFonts w:eastAsia="MS Mincho"/>
          <w:lang w:val="fr-FR"/>
        </w:rPr>
        <w:t>n</w:t>
      </w:r>
      <w:r w:rsidR="00B069E1" w:rsidRPr="00B069E1">
        <w:rPr>
          <w:rFonts w:eastAsia="MS Mincho"/>
          <w:vertAlign w:val="superscript"/>
          <w:lang w:val="fr-FR"/>
        </w:rPr>
        <w:t>o</w:t>
      </w:r>
      <w:r w:rsidR="00B069E1">
        <w:rPr>
          <w:lang w:val="fr-FR"/>
        </w:rPr>
        <w:t> </w:t>
      </w:r>
      <w:r w:rsidRPr="0025454D">
        <w:rPr>
          <w:lang w:val="fr-FR"/>
        </w:rPr>
        <w:t>48, ainsi qu</w:t>
      </w:r>
      <w:r>
        <w:rPr>
          <w:lang w:val="fr-FR"/>
        </w:rPr>
        <w:t>’</w:t>
      </w:r>
      <w:r w:rsidRPr="0025454D">
        <w:rPr>
          <w:lang w:val="fr-FR"/>
        </w:rPr>
        <w:t>à clarifier la teneur et à rectifier la terminologie de ce règlement</w:t>
      </w:r>
      <w:r w:rsidRPr="0025454D">
        <w:rPr>
          <w:bCs/>
          <w:lang w:val="fr-FR"/>
        </w:rPr>
        <w:t>. Les modifications qu</w:t>
      </w:r>
      <w:r>
        <w:rPr>
          <w:bCs/>
          <w:lang w:val="fr-FR"/>
        </w:rPr>
        <w:t>’</w:t>
      </w:r>
      <w:r w:rsidRPr="0025454D">
        <w:rPr>
          <w:bCs/>
          <w:lang w:val="fr-FR"/>
        </w:rPr>
        <w:t>il est proposé d</w:t>
      </w:r>
      <w:r>
        <w:rPr>
          <w:bCs/>
          <w:lang w:val="fr-FR"/>
        </w:rPr>
        <w:t>’</w:t>
      </w:r>
      <w:r w:rsidRPr="0025454D">
        <w:rPr>
          <w:bCs/>
          <w:lang w:val="fr-FR"/>
        </w:rPr>
        <w:t xml:space="preserve">apporter au texte actuel du Règlement </w:t>
      </w:r>
      <w:r w:rsidRPr="00181519">
        <w:rPr>
          <w:bCs/>
          <w:lang w:val="fr-FR"/>
        </w:rPr>
        <w:t>figurent en caractères gras pour les ajouts et biffés pour les suppressions</w:t>
      </w:r>
      <w:r>
        <w:rPr>
          <w:lang w:val="fr-FR"/>
        </w:rPr>
        <w:t>.</w:t>
      </w:r>
    </w:p>
    <w:p w:rsidR="006239EA" w:rsidRPr="0025454D" w:rsidRDefault="00B069E1" w:rsidP="00B069E1">
      <w:pPr>
        <w:pStyle w:val="HChG"/>
        <w:rPr>
          <w:lang w:val="fr-FR"/>
        </w:rPr>
      </w:pPr>
      <w:r>
        <w:rPr>
          <w:lang w:val="fr-FR"/>
        </w:rPr>
        <w:br w:type="page"/>
      </w:r>
      <w:r>
        <w:rPr>
          <w:lang w:val="fr-FR"/>
        </w:rPr>
        <w:lastRenderedPageBreak/>
        <w:tab/>
      </w:r>
      <w:r w:rsidR="006239EA" w:rsidRPr="0025454D">
        <w:rPr>
          <w:lang w:val="fr-FR"/>
        </w:rPr>
        <w:t>I.</w:t>
      </w:r>
      <w:r>
        <w:rPr>
          <w:lang w:val="fr-FR"/>
        </w:rPr>
        <w:tab/>
      </w:r>
      <w:r w:rsidR="006239EA" w:rsidRPr="0025454D">
        <w:rPr>
          <w:lang w:val="fr-FR"/>
        </w:rPr>
        <w:t>Proposition</w:t>
      </w:r>
    </w:p>
    <w:p w:rsidR="006239EA" w:rsidRPr="0025454D" w:rsidRDefault="006239EA" w:rsidP="00B069E1">
      <w:pPr>
        <w:pStyle w:val="SingleTxtG"/>
        <w:rPr>
          <w:lang w:val="fr-FR"/>
        </w:rPr>
      </w:pPr>
      <w:r w:rsidRPr="0025454D">
        <w:rPr>
          <w:i/>
          <w:lang w:val="fr-FR"/>
        </w:rPr>
        <w:t>Paragraphe 5.7.2.1</w:t>
      </w:r>
      <w:r w:rsidRPr="0025454D">
        <w:rPr>
          <w:lang w:val="fr-FR"/>
        </w:rPr>
        <w:t xml:space="preserve">, </w:t>
      </w:r>
      <w:proofErr w:type="gramStart"/>
      <w:r w:rsidRPr="0025454D">
        <w:rPr>
          <w:lang w:val="fr-FR"/>
        </w:rPr>
        <w:t>modifier</w:t>
      </w:r>
      <w:proofErr w:type="gramEnd"/>
      <w:r w:rsidRPr="0025454D">
        <w:rPr>
          <w:lang w:val="fr-FR"/>
        </w:rPr>
        <w:t xml:space="preserve"> comme suit</w:t>
      </w:r>
      <w:r w:rsidR="00B069E1">
        <w:rPr>
          <w:lang w:val="fr-FR"/>
        </w:rPr>
        <w:t> </w:t>
      </w:r>
      <w:r w:rsidRPr="0025454D">
        <w:rPr>
          <w:lang w:val="fr-FR"/>
        </w:rPr>
        <w:t>:</w:t>
      </w:r>
    </w:p>
    <w:p w:rsidR="006239EA" w:rsidRPr="0025454D" w:rsidRDefault="006239EA" w:rsidP="00B069E1">
      <w:pPr>
        <w:pStyle w:val="SingleTxtG"/>
        <w:ind w:left="2835" w:hanging="1701"/>
        <w:rPr>
          <w:lang w:val="fr-FR"/>
        </w:rPr>
      </w:pPr>
      <w:r w:rsidRPr="0025454D">
        <w:rPr>
          <w:lang w:val="fr-FR"/>
        </w:rPr>
        <w:t>«</w:t>
      </w:r>
      <w:r w:rsidR="00B069E1">
        <w:rPr>
          <w:lang w:val="fr-FR"/>
        </w:rPr>
        <w:t> </w:t>
      </w:r>
      <w:r w:rsidRPr="0025454D">
        <w:rPr>
          <w:lang w:val="fr-FR"/>
        </w:rPr>
        <w:t>5.7.2.1</w:t>
      </w:r>
      <w:r w:rsidRPr="0025454D">
        <w:rPr>
          <w:lang w:val="fr-FR"/>
        </w:rPr>
        <w:tab/>
        <w:t>Les feux simples définis à l</w:t>
      </w:r>
      <w:r>
        <w:rPr>
          <w:lang w:val="fr-FR"/>
        </w:rPr>
        <w:t>’</w:t>
      </w:r>
      <w:r w:rsidRPr="0025454D">
        <w:rPr>
          <w:lang w:val="fr-FR"/>
        </w:rPr>
        <w:t xml:space="preserve">alinéa </w:t>
      </w:r>
      <w:r w:rsidRPr="0025454D">
        <w:rPr>
          <w:i/>
          <w:lang w:val="fr-FR"/>
        </w:rPr>
        <w:t>a</w:t>
      </w:r>
      <w:r w:rsidRPr="0025454D">
        <w:rPr>
          <w:lang w:val="fr-FR"/>
        </w:rPr>
        <w:t xml:space="preserve"> du paragraphe 2.16.1, </w:t>
      </w:r>
      <w:r w:rsidRPr="0025454D">
        <w:rPr>
          <w:b/>
          <w:lang w:val="fr-FR"/>
        </w:rPr>
        <w:t xml:space="preserve">dont la surface apparente est </w:t>
      </w:r>
      <w:r w:rsidRPr="0025454D">
        <w:rPr>
          <w:strike/>
          <w:lang w:val="fr-FR"/>
        </w:rPr>
        <w:t>qui sont</w:t>
      </w:r>
      <w:r w:rsidRPr="0025454D">
        <w:rPr>
          <w:lang w:val="fr-FR"/>
        </w:rPr>
        <w:t xml:space="preserve"> constitué</w:t>
      </w:r>
      <w:r w:rsidRPr="0025454D">
        <w:rPr>
          <w:b/>
          <w:lang w:val="fr-FR"/>
        </w:rPr>
        <w:t>e</w:t>
      </w:r>
      <w:r w:rsidRPr="0025454D">
        <w:rPr>
          <w:strike/>
          <w:lang w:val="fr-FR"/>
        </w:rPr>
        <w:t>s</w:t>
      </w:r>
      <w:r w:rsidRPr="0025454D">
        <w:rPr>
          <w:lang w:val="fr-FR"/>
        </w:rPr>
        <w:t xml:space="preserve"> de deux parties distinctes ou plus, doivent </w:t>
      </w:r>
      <w:r>
        <w:rPr>
          <w:lang w:val="fr-FR"/>
        </w:rPr>
        <w:t>être installés de façon</w:t>
      </w:r>
      <w:r w:rsidR="00B069E1">
        <w:rPr>
          <w:lang w:val="fr-FR"/>
        </w:rPr>
        <w:t> </w:t>
      </w:r>
      <w:r>
        <w:rPr>
          <w:lang w:val="fr-FR"/>
        </w:rPr>
        <w:t>:</w:t>
      </w:r>
    </w:p>
    <w:p w:rsidR="006239EA" w:rsidRPr="0025454D" w:rsidRDefault="006239EA" w:rsidP="00B069E1">
      <w:pPr>
        <w:pStyle w:val="SingleTxtG"/>
        <w:ind w:left="2835"/>
        <w:rPr>
          <w:lang w:val="fr-FR"/>
        </w:rPr>
      </w:pPr>
      <w:r w:rsidRPr="0025454D">
        <w:rPr>
          <w:lang w:val="fr-FR"/>
        </w:rPr>
        <w:t>a)</w:t>
      </w:r>
      <w:r w:rsidRPr="0025454D">
        <w:rPr>
          <w:lang w:val="fr-FR"/>
        </w:rPr>
        <w:tab/>
        <w:t xml:space="preserve">Que la superficie totale de la projection des parties distinctes </w:t>
      </w:r>
      <w:r w:rsidRPr="0025454D">
        <w:rPr>
          <w:b/>
          <w:lang w:val="fr-FR"/>
        </w:rPr>
        <w:t xml:space="preserve">de la surface </w:t>
      </w:r>
      <w:r w:rsidRPr="00B069E1">
        <w:t>apparente</w:t>
      </w:r>
      <w:r w:rsidRPr="0025454D">
        <w:rPr>
          <w:b/>
          <w:lang w:val="fr-FR"/>
        </w:rPr>
        <w:t xml:space="preserve"> dans la direction de l</w:t>
      </w:r>
      <w:r>
        <w:rPr>
          <w:b/>
          <w:lang w:val="fr-FR"/>
        </w:rPr>
        <w:t>’</w:t>
      </w:r>
      <w:r w:rsidRPr="0025454D">
        <w:rPr>
          <w:b/>
          <w:lang w:val="fr-FR"/>
        </w:rPr>
        <w:t>axe de référence</w:t>
      </w:r>
      <w:r w:rsidRPr="0025454D">
        <w:rPr>
          <w:lang w:val="fr-FR"/>
        </w:rPr>
        <w:t xml:space="preserve"> sur un plan tangent à la surface extérieure de la glace extérieure et perpendiculaire à l</w:t>
      </w:r>
      <w:r>
        <w:rPr>
          <w:lang w:val="fr-FR"/>
        </w:rPr>
        <w:t>’</w:t>
      </w:r>
      <w:r w:rsidRPr="0025454D">
        <w:rPr>
          <w:lang w:val="fr-FR"/>
        </w:rPr>
        <w:t>axe de référence occupe au moins 60 % du plus petit quadrilatère circonscrivant la</w:t>
      </w:r>
      <w:r w:rsidRPr="0025454D">
        <w:rPr>
          <w:strike/>
          <w:lang w:val="fr-FR"/>
        </w:rPr>
        <w:t>dite</w:t>
      </w:r>
      <w:r w:rsidRPr="0025454D">
        <w:rPr>
          <w:lang w:val="fr-FR"/>
        </w:rPr>
        <w:t xml:space="preserve"> projection </w:t>
      </w:r>
      <w:r w:rsidRPr="0025454D">
        <w:rPr>
          <w:b/>
          <w:lang w:val="fr-FR"/>
        </w:rPr>
        <w:t>de ladite surface apparente dans la direction de l</w:t>
      </w:r>
      <w:r>
        <w:rPr>
          <w:b/>
          <w:lang w:val="fr-FR"/>
        </w:rPr>
        <w:t>’</w:t>
      </w:r>
      <w:r w:rsidRPr="0025454D">
        <w:rPr>
          <w:b/>
          <w:lang w:val="fr-FR"/>
        </w:rPr>
        <w:t>axe de référence</w:t>
      </w:r>
      <w:r w:rsidR="00B069E1">
        <w:rPr>
          <w:b/>
          <w:lang w:val="fr-FR"/>
        </w:rPr>
        <w:t> </w:t>
      </w:r>
      <w:r w:rsidRPr="0025454D">
        <w:rPr>
          <w:lang w:val="fr-FR"/>
        </w:rPr>
        <w:t>; ou</w:t>
      </w:r>
    </w:p>
    <w:p w:rsidR="006239EA" w:rsidRPr="0025454D" w:rsidRDefault="006239EA" w:rsidP="00B069E1">
      <w:pPr>
        <w:pStyle w:val="SingleTxtG"/>
        <w:ind w:left="2835"/>
        <w:rPr>
          <w:lang w:val="fr-FR"/>
        </w:rPr>
      </w:pPr>
      <w:r w:rsidRPr="0025454D">
        <w:rPr>
          <w:lang w:val="fr-FR"/>
        </w:rPr>
        <w:tab/>
        <w:t>b)</w:t>
      </w:r>
      <w:r w:rsidRPr="0025454D">
        <w:rPr>
          <w:lang w:val="fr-FR"/>
        </w:rPr>
        <w:tab/>
        <w:t xml:space="preserve">Que la distance minimum entre les côtés en regard des deux parties distinctes adjacentes/tangentes </w:t>
      </w:r>
      <w:r w:rsidRPr="0025454D">
        <w:rPr>
          <w:b/>
          <w:lang w:val="fr-FR"/>
        </w:rPr>
        <w:t>de la surface apparente dans la direction de l</w:t>
      </w:r>
      <w:r>
        <w:rPr>
          <w:b/>
          <w:lang w:val="fr-FR"/>
        </w:rPr>
        <w:t>’</w:t>
      </w:r>
      <w:r w:rsidRPr="0025454D">
        <w:rPr>
          <w:b/>
          <w:lang w:val="fr-FR"/>
        </w:rPr>
        <w:t xml:space="preserve">axe de référence </w:t>
      </w:r>
      <w:r w:rsidRPr="0025454D">
        <w:rPr>
          <w:lang w:val="fr-FR"/>
        </w:rPr>
        <w:t>n</w:t>
      </w:r>
      <w:r>
        <w:rPr>
          <w:lang w:val="fr-FR"/>
        </w:rPr>
        <w:t>’</w:t>
      </w:r>
      <w:r w:rsidR="00B069E1">
        <w:rPr>
          <w:lang w:val="fr-FR"/>
        </w:rPr>
        <w:t>excède pas 75 </w:t>
      </w:r>
      <w:r w:rsidRPr="0025454D">
        <w:rPr>
          <w:lang w:val="fr-FR"/>
        </w:rPr>
        <w:t>mm lorsque la mesure est effectuée perpendiculairement à l</w:t>
      </w:r>
      <w:r>
        <w:rPr>
          <w:lang w:val="fr-FR"/>
        </w:rPr>
        <w:t>’</w:t>
      </w:r>
      <w:r w:rsidRPr="0025454D">
        <w:rPr>
          <w:lang w:val="fr-FR"/>
        </w:rPr>
        <w:t>axe de référence.</w:t>
      </w:r>
    </w:p>
    <w:p w:rsidR="006239EA" w:rsidRPr="0025454D" w:rsidRDefault="006239EA" w:rsidP="00B069E1">
      <w:pPr>
        <w:pStyle w:val="SingleTxtG"/>
        <w:ind w:left="2835"/>
        <w:rPr>
          <w:lang w:val="fr-FR"/>
        </w:rPr>
      </w:pPr>
      <w:r w:rsidRPr="0025454D">
        <w:rPr>
          <w:lang w:val="fr-FR"/>
        </w:rPr>
        <w:tab/>
        <w:t>Ces prescriptions ne s</w:t>
      </w:r>
      <w:r>
        <w:rPr>
          <w:lang w:val="fr-FR"/>
        </w:rPr>
        <w:t>’</w:t>
      </w:r>
      <w:r w:rsidRPr="0025454D">
        <w:rPr>
          <w:lang w:val="fr-FR"/>
        </w:rPr>
        <w:t>appliquent pas à un catadioptre simple.</w:t>
      </w:r>
      <w:r w:rsidR="00B069E1">
        <w:rPr>
          <w:lang w:val="fr-FR"/>
        </w:rPr>
        <w:t> </w:t>
      </w:r>
      <w:r w:rsidRPr="0025454D">
        <w:rPr>
          <w:lang w:val="fr-FR"/>
        </w:rPr>
        <w:t>»</w:t>
      </w:r>
      <w:r>
        <w:rPr>
          <w:lang w:val="fr-FR"/>
        </w:rPr>
        <w:t>.</w:t>
      </w:r>
    </w:p>
    <w:p w:rsidR="006239EA" w:rsidRPr="0025454D" w:rsidRDefault="006239EA" w:rsidP="00B069E1">
      <w:pPr>
        <w:pStyle w:val="SingleTxtG"/>
        <w:rPr>
          <w:lang w:val="fr-FR"/>
        </w:rPr>
      </w:pPr>
      <w:r w:rsidRPr="0025454D">
        <w:rPr>
          <w:i/>
          <w:lang w:val="fr-FR"/>
        </w:rPr>
        <w:t>Paragraphe 6.2.9</w:t>
      </w:r>
      <w:r w:rsidRPr="0025454D">
        <w:rPr>
          <w:lang w:val="fr-FR"/>
        </w:rPr>
        <w:t xml:space="preserve">, </w:t>
      </w:r>
      <w:proofErr w:type="gramStart"/>
      <w:r w:rsidRPr="0025454D">
        <w:rPr>
          <w:lang w:val="fr-FR"/>
        </w:rPr>
        <w:t>modifier</w:t>
      </w:r>
      <w:proofErr w:type="gramEnd"/>
      <w:r w:rsidRPr="0025454D">
        <w:rPr>
          <w:lang w:val="fr-FR"/>
        </w:rPr>
        <w:t xml:space="preserve"> comme suit</w:t>
      </w:r>
      <w:r w:rsidR="00B069E1">
        <w:rPr>
          <w:lang w:val="fr-FR"/>
        </w:rPr>
        <w:t> </w:t>
      </w:r>
      <w:r w:rsidRPr="0025454D">
        <w:rPr>
          <w:lang w:val="fr-FR"/>
        </w:rPr>
        <w:t>:</w:t>
      </w:r>
    </w:p>
    <w:p w:rsidR="006239EA" w:rsidRPr="0025454D" w:rsidRDefault="006239EA" w:rsidP="00B069E1">
      <w:pPr>
        <w:pStyle w:val="SingleTxtG"/>
        <w:ind w:left="2835" w:hanging="1701"/>
        <w:rPr>
          <w:lang w:val="fr-FR"/>
        </w:rPr>
      </w:pPr>
      <w:r w:rsidRPr="0025454D">
        <w:rPr>
          <w:lang w:val="fr-FR"/>
        </w:rPr>
        <w:t>«</w:t>
      </w:r>
      <w:r w:rsidR="00B069E1">
        <w:rPr>
          <w:lang w:val="fr-FR"/>
        </w:rPr>
        <w:t> 6.2.9</w:t>
      </w:r>
      <w:r w:rsidR="00B069E1">
        <w:rPr>
          <w:lang w:val="fr-FR"/>
        </w:rPr>
        <w:tab/>
        <w:t>Autres prescriptions</w:t>
      </w:r>
    </w:p>
    <w:p w:rsidR="006239EA" w:rsidRPr="0025454D" w:rsidRDefault="006239EA" w:rsidP="00B069E1">
      <w:pPr>
        <w:pStyle w:val="SingleTxtG"/>
        <w:ind w:left="2835" w:hanging="1701"/>
        <w:rPr>
          <w:lang w:val="fr-FR" w:eastAsia="fr-FR"/>
        </w:rPr>
      </w:pPr>
      <w:r w:rsidRPr="0025454D">
        <w:rPr>
          <w:b/>
          <w:lang w:val="fr-FR"/>
        </w:rPr>
        <w:t>6.2.9.1</w:t>
      </w:r>
      <w:r w:rsidRPr="0025454D">
        <w:rPr>
          <w:b/>
          <w:lang w:val="fr-FR"/>
        </w:rPr>
        <w:tab/>
      </w:r>
      <w:r w:rsidRPr="0025454D">
        <w:rPr>
          <w:lang w:val="fr-FR" w:eastAsia="fr-FR"/>
        </w:rPr>
        <w:t>Les prescriptions du paragraphe 5.5.2 ne sont pas applicables aux feux de croisement.</w:t>
      </w:r>
    </w:p>
    <w:p w:rsidR="006239EA" w:rsidRPr="0025454D" w:rsidRDefault="006239EA" w:rsidP="00B069E1">
      <w:pPr>
        <w:pStyle w:val="SingleTxtG"/>
        <w:ind w:left="2835" w:hanging="1701"/>
        <w:rPr>
          <w:lang w:val="fr-FR" w:eastAsia="fr-FR"/>
        </w:rPr>
      </w:pPr>
      <w:r w:rsidRPr="0025454D">
        <w:rPr>
          <w:b/>
          <w:lang w:val="fr-FR" w:eastAsia="fr-FR"/>
        </w:rPr>
        <w:t>6.2.9.2</w:t>
      </w:r>
      <w:r w:rsidRPr="0025454D">
        <w:rPr>
          <w:b/>
          <w:lang w:val="fr-FR" w:eastAsia="fr-FR"/>
        </w:rPr>
        <w:tab/>
      </w:r>
      <w:r w:rsidRPr="0025454D">
        <w:rPr>
          <w:lang w:val="fr-FR" w:eastAsia="fr-FR"/>
        </w:rPr>
        <w:t>Les feux de croisement munis d</w:t>
      </w:r>
      <w:r>
        <w:rPr>
          <w:lang w:val="fr-FR" w:eastAsia="fr-FR"/>
        </w:rPr>
        <w:t>’</w:t>
      </w:r>
      <w:r w:rsidRPr="0025454D">
        <w:rPr>
          <w:lang w:val="fr-FR" w:eastAsia="fr-FR"/>
        </w:rPr>
        <w:t>une source lumineuse ou d</w:t>
      </w:r>
      <w:r>
        <w:rPr>
          <w:lang w:val="fr-FR" w:eastAsia="fr-FR"/>
        </w:rPr>
        <w:t>’</w:t>
      </w:r>
      <w:r w:rsidRPr="0025454D">
        <w:rPr>
          <w:lang w:val="fr-FR" w:eastAsia="fr-FR"/>
        </w:rPr>
        <w:t xml:space="preserve">un ou de plusieurs modules DEL produisant le faisceau de croisement principal </w:t>
      </w:r>
      <w:r w:rsidRPr="0025454D">
        <w:rPr>
          <w:strike/>
          <w:lang w:val="fr-FR" w:eastAsia="fr-FR"/>
        </w:rPr>
        <w:t>et</w:t>
      </w:r>
      <w:r w:rsidRPr="0025454D">
        <w:rPr>
          <w:lang w:val="fr-FR" w:eastAsia="fr-FR"/>
        </w:rPr>
        <w:t xml:space="preserve"> ayant un flux lumineux objectif total supérieur à 2 000 lm </w:t>
      </w:r>
      <w:r w:rsidRPr="0025454D">
        <w:rPr>
          <w:b/>
          <w:lang w:val="fr-FR" w:eastAsia="fr-FR"/>
        </w:rPr>
        <w:t>par feu</w:t>
      </w:r>
      <w:r w:rsidRPr="0025454D">
        <w:rPr>
          <w:lang w:val="fr-FR" w:eastAsia="fr-FR"/>
        </w:rPr>
        <w:t xml:space="preserve"> ne peuvent être installés que si un ou plusieurs nettoie-projecteurs conformes au Règlement n</w:t>
      </w:r>
      <w:r w:rsidRPr="0025454D">
        <w:rPr>
          <w:vertAlign w:val="superscript"/>
          <w:lang w:val="fr-FR" w:eastAsia="fr-FR"/>
        </w:rPr>
        <w:t>o</w:t>
      </w:r>
      <w:r w:rsidRPr="0025454D">
        <w:rPr>
          <w:lang w:val="fr-FR" w:eastAsia="fr-FR"/>
        </w:rPr>
        <w:t> </w:t>
      </w:r>
      <w:r w:rsidRPr="0025454D">
        <w:rPr>
          <w:lang w:val="fr-FR"/>
        </w:rPr>
        <w:t xml:space="preserve">45 </w:t>
      </w:r>
      <w:r w:rsidRPr="0025454D">
        <w:rPr>
          <w:lang w:val="fr-FR" w:eastAsia="fr-FR"/>
        </w:rPr>
        <w:t>le sont également.</w:t>
      </w:r>
    </w:p>
    <w:p w:rsidR="006239EA" w:rsidRPr="0025454D" w:rsidRDefault="006239EA" w:rsidP="00B069E1">
      <w:pPr>
        <w:pStyle w:val="SingleTxtG"/>
        <w:ind w:left="2835" w:hanging="1701"/>
        <w:rPr>
          <w:lang w:val="fr-FR" w:eastAsia="fr-FR"/>
        </w:rPr>
      </w:pPr>
      <w:r w:rsidRPr="0025454D">
        <w:rPr>
          <w:b/>
          <w:lang w:val="fr-FR" w:eastAsia="fr-FR"/>
        </w:rPr>
        <w:t>6.2.9.3</w:t>
      </w:r>
      <w:r w:rsidRPr="0025454D">
        <w:rPr>
          <w:b/>
          <w:lang w:val="fr-FR" w:eastAsia="fr-FR"/>
        </w:rPr>
        <w:tab/>
      </w:r>
      <w:r w:rsidRPr="0025454D">
        <w:rPr>
          <w:lang w:val="fr-FR" w:eastAsia="fr-FR"/>
        </w:rPr>
        <w:t>En ce qui concerne l</w:t>
      </w:r>
      <w:r>
        <w:rPr>
          <w:lang w:val="fr-FR" w:eastAsia="fr-FR"/>
        </w:rPr>
        <w:t>’</w:t>
      </w:r>
      <w:r w:rsidRPr="0025454D">
        <w:rPr>
          <w:lang w:val="fr-FR" w:eastAsia="fr-FR"/>
        </w:rPr>
        <w:t>inclinaison verticale, les prescriptions du paragraphe 6.2.6.2.2 ne s</w:t>
      </w:r>
      <w:r>
        <w:rPr>
          <w:lang w:val="fr-FR" w:eastAsia="fr-FR"/>
        </w:rPr>
        <w:t>’</w:t>
      </w:r>
      <w:r w:rsidRPr="0025454D">
        <w:rPr>
          <w:lang w:val="fr-FR" w:eastAsia="fr-FR"/>
        </w:rPr>
        <w:t>appliquent pas aux feux de croisement munis d</w:t>
      </w:r>
      <w:r>
        <w:rPr>
          <w:lang w:val="fr-FR" w:eastAsia="fr-FR"/>
        </w:rPr>
        <w:t>’</w:t>
      </w:r>
      <w:r w:rsidRPr="0025454D">
        <w:rPr>
          <w:lang w:val="fr-FR" w:eastAsia="fr-FR"/>
        </w:rPr>
        <w:t>une source lumineuse ou d</w:t>
      </w:r>
      <w:r>
        <w:rPr>
          <w:lang w:val="fr-FR" w:eastAsia="fr-FR"/>
        </w:rPr>
        <w:t>’</w:t>
      </w:r>
      <w:r w:rsidRPr="0025454D">
        <w:rPr>
          <w:lang w:val="fr-FR" w:eastAsia="fr-FR"/>
        </w:rPr>
        <w:t xml:space="preserve">un ou de plusieurs modules DEL produisant le faisceau de croisement principal et ayant un flux lumineux objectif supérieur à 2 000 lm </w:t>
      </w:r>
      <w:r w:rsidRPr="0025454D">
        <w:rPr>
          <w:b/>
          <w:lang w:val="fr-FR" w:eastAsia="fr-FR"/>
        </w:rPr>
        <w:t>par feu</w:t>
      </w:r>
      <w:r w:rsidRPr="0025454D">
        <w:rPr>
          <w:lang w:val="fr-FR" w:eastAsia="fr-FR"/>
        </w:rPr>
        <w:t xml:space="preserve">. </w:t>
      </w:r>
    </w:p>
    <w:p w:rsidR="006239EA" w:rsidRPr="0025454D" w:rsidRDefault="006239EA" w:rsidP="00B069E1">
      <w:pPr>
        <w:pStyle w:val="SingleTxtG"/>
        <w:ind w:left="2835"/>
        <w:rPr>
          <w:lang w:val="fr-FR" w:eastAsia="fr-FR"/>
        </w:rPr>
      </w:pPr>
      <w:r w:rsidRPr="0025454D">
        <w:rPr>
          <w:lang w:val="fr-FR" w:eastAsia="fr-FR"/>
        </w:rPr>
        <w:t>Dans le cas des lampes à incandescence pour lesquelles plus d</w:t>
      </w:r>
      <w:r>
        <w:rPr>
          <w:lang w:val="fr-FR" w:eastAsia="fr-FR"/>
        </w:rPr>
        <w:t>’</w:t>
      </w:r>
      <w:r w:rsidRPr="0025454D">
        <w:rPr>
          <w:lang w:val="fr-FR" w:eastAsia="fr-FR"/>
        </w:rPr>
        <w:t>une tension d</w:t>
      </w:r>
      <w:r>
        <w:rPr>
          <w:lang w:val="fr-FR" w:eastAsia="fr-FR"/>
        </w:rPr>
        <w:t>’</w:t>
      </w:r>
      <w:r w:rsidRPr="0025454D">
        <w:rPr>
          <w:lang w:val="fr-FR" w:eastAsia="fr-FR"/>
        </w:rPr>
        <w:t>essai est prescrite, on applique la valeur du flux lumineux objectif correspondant au faisceau de croisement principal, indiquée sur la fiche de communication relative à l</w:t>
      </w:r>
      <w:r>
        <w:rPr>
          <w:lang w:val="fr-FR" w:eastAsia="fr-FR"/>
        </w:rPr>
        <w:t>’</w:t>
      </w:r>
      <w:r w:rsidRPr="0025454D">
        <w:rPr>
          <w:lang w:val="fr-FR" w:eastAsia="fr-FR"/>
        </w:rPr>
        <w:t>homologation de type du dispositif.</w:t>
      </w:r>
    </w:p>
    <w:p w:rsidR="006239EA" w:rsidRPr="0025454D" w:rsidRDefault="006239EA" w:rsidP="00B069E1">
      <w:pPr>
        <w:pStyle w:val="SingleTxtG"/>
        <w:ind w:left="2835"/>
        <w:rPr>
          <w:lang w:val="fr-FR" w:eastAsia="fr-FR"/>
        </w:rPr>
      </w:pPr>
      <w:r w:rsidRPr="0025454D">
        <w:rPr>
          <w:lang w:val="fr-FR" w:eastAsia="fr-FR"/>
        </w:rPr>
        <w:t>Dans le cas de feux de croisement équipés d</w:t>
      </w:r>
      <w:r>
        <w:rPr>
          <w:lang w:val="fr-FR" w:eastAsia="fr-FR"/>
        </w:rPr>
        <w:t>’</w:t>
      </w:r>
      <w:r w:rsidRPr="0025454D">
        <w:rPr>
          <w:lang w:val="fr-FR" w:eastAsia="fr-FR"/>
        </w:rPr>
        <w:t xml:space="preserve">une source lumineuse homologuée, le flux lumineux objectif applicable est celui qui, à la </w:t>
      </w:r>
      <w:proofErr w:type="gramStart"/>
      <w:r w:rsidRPr="0025454D">
        <w:rPr>
          <w:lang w:val="fr-FR" w:eastAsia="fr-FR"/>
        </w:rPr>
        <w:t>tension</w:t>
      </w:r>
      <w:proofErr w:type="gramEnd"/>
      <w:r w:rsidRPr="0025454D">
        <w:rPr>
          <w:lang w:val="fr-FR" w:eastAsia="fr-FR"/>
        </w:rPr>
        <w:t xml:space="preserve"> d</w:t>
      </w:r>
      <w:r>
        <w:rPr>
          <w:lang w:val="fr-FR" w:eastAsia="fr-FR"/>
        </w:rPr>
        <w:t>’</w:t>
      </w:r>
      <w:r w:rsidRPr="0025454D">
        <w:rPr>
          <w:lang w:val="fr-FR" w:eastAsia="fr-FR"/>
        </w:rPr>
        <w:t>essai pertinente, figure dans la fiche de renseignements pertinente du Règlement, en vertu duquel la source lumineuse appliquée a été homologuée, sans tenir compte des tolérances applicables au flux lumineux objectif prescrit dans cette fiche de renseignements.</w:t>
      </w:r>
    </w:p>
    <w:p w:rsidR="006239EA" w:rsidRPr="0025454D" w:rsidRDefault="006239EA" w:rsidP="00B069E1">
      <w:pPr>
        <w:pStyle w:val="SingleTxtG"/>
        <w:keepNext/>
        <w:keepLines/>
        <w:ind w:left="2835" w:hanging="1701"/>
        <w:rPr>
          <w:lang w:val="fr-FR" w:eastAsia="fr-FR"/>
        </w:rPr>
      </w:pPr>
      <w:r w:rsidRPr="0025454D">
        <w:rPr>
          <w:b/>
          <w:lang w:val="fr-FR" w:eastAsia="fr-FR"/>
        </w:rPr>
        <w:lastRenderedPageBreak/>
        <w:t>6.2.9.4</w:t>
      </w:r>
      <w:r w:rsidRPr="0025454D">
        <w:rPr>
          <w:b/>
          <w:lang w:val="fr-FR" w:eastAsia="fr-FR"/>
        </w:rPr>
        <w:tab/>
      </w:r>
      <w:r w:rsidRPr="0025454D">
        <w:rPr>
          <w:lang w:val="fr-FR" w:eastAsia="fr-FR"/>
        </w:rPr>
        <w:t>L</w:t>
      </w:r>
      <w:r>
        <w:rPr>
          <w:lang w:val="fr-FR" w:eastAsia="fr-FR"/>
        </w:rPr>
        <w:t>’</w:t>
      </w:r>
      <w:r w:rsidRPr="0025454D">
        <w:rPr>
          <w:lang w:val="fr-FR" w:eastAsia="fr-FR"/>
        </w:rPr>
        <w:t>éclairage de virage ne peut être obtenu qu</w:t>
      </w:r>
      <w:r>
        <w:rPr>
          <w:lang w:val="fr-FR" w:eastAsia="fr-FR"/>
        </w:rPr>
        <w:t>’</w:t>
      </w:r>
      <w:r w:rsidRPr="0025454D">
        <w:rPr>
          <w:lang w:val="fr-FR" w:eastAsia="fr-FR"/>
        </w:rPr>
        <w:t>au moyen de feux de croisement conformes</w:t>
      </w:r>
      <w:r>
        <w:rPr>
          <w:lang w:val="fr-FR" w:eastAsia="fr-FR"/>
        </w:rPr>
        <w:t xml:space="preserve"> </w:t>
      </w:r>
      <w:r w:rsidRPr="0025454D">
        <w:rPr>
          <w:lang w:val="fr-FR" w:eastAsia="fr-FR"/>
        </w:rPr>
        <w:t>au Règlement n</w:t>
      </w:r>
      <w:r w:rsidRPr="0025454D">
        <w:rPr>
          <w:vertAlign w:val="superscript"/>
          <w:lang w:val="fr-FR" w:eastAsia="fr-FR"/>
        </w:rPr>
        <w:t>o</w:t>
      </w:r>
      <w:r w:rsidRPr="0025454D">
        <w:rPr>
          <w:lang w:val="fr-FR" w:eastAsia="fr-FR"/>
        </w:rPr>
        <w:t> 98 ou 112.</w:t>
      </w:r>
    </w:p>
    <w:p w:rsidR="006239EA" w:rsidRPr="0025454D" w:rsidRDefault="006239EA" w:rsidP="00B069E1">
      <w:pPr>
        <w:pStyle w:val="SingleTxtG"/>
        <w:ind w:left="2835"/>
        <w:rPr>
          <w:lang w:val="fr-FR" w:eastAsia="fr-FR"/>
        </w:rPr>
      </w:pPr>
      <w:r w:rsidRPr="0025454D">
        <w:rPr>
          <w:lang w:val="fr-FR" w:eastAsia="fr-FR"/>
        </w:rPr>
        <w:tab/>
        <w:t>Si l</w:t>
      </w:r>
      <w:r>
        <w:rPr>
          <w:lang w:val="fr-FR" w:eastAsia="fr-FR"/>
        </w:rPr>
        <w:t>’</w:t>
      </w:r>
      <w:r w:rsidRPr="0025454D">
        <w:rPr>
          <w:lang w:val="fr-FR" w:eastAsia="fr-FR"/>
        </w:rPr>
        <w:t>éclairage de virage est obtenu au moyen d</w:t>
      </w:r>
      <w:r>
        <w:rPr>
          <w:lang w:val="fr-FR" w:eastAsia="fr-FR"/>
        </w:rPr>
        <w:t>’</w:t>
      </w:r>
      <w:r w:rsidRPr="0025454D">
        <w:rPr>
          <w:lang w:val="fr-FR" w:eastAsia="fr-FR"/>
        </w:rPr>
        <w:t>un mouvement horizontal de l</w:t>
      </w:r>
      <w:r>
        <w:rPr>
          <w:lang w:val="fr-FR" w:eastAsia="fr-FR"/>
        </w:rPr>
        <w:t>’</w:t>
      </w:r>
      <w:r w:rsidRPr="0025454D">
        <w:rPr>
          <w:lang w:val="fr-FR" w:eastAsia="fr-FR"/>
        </w:rPr>
        <w:t>ensemble du feu ou du coude de la ligne de coupure, il ne doit pouvoir fonctionner que si le véhicule est en marche avant, sauf lors d</w:t>
      </w:r>
      <w:r>
        <w:rPr>
          <w:lang w:val="fr-FR" w:eastAsia="fr-FR"/>
        </w:rPr>
        <w:t>’</w:t>
      </w:r>
      <w:r w:rsidRPr="0025454D">
        <w:rPr>
          <w:lang w:val="fr-FR" w:eastAsia="fr-FR"/>
        </w:rPr>
        <w:t>un virage à droite dans la circulation à droite (ou d</w:t>
      </w:r>
      <w:r>
        <w:rPr>
          <w:lang w:val="fr-FR" w:eastAsia="fr-FR"/>
        </w:rPr>
        <w:t>’</w:t>
      </w:r>
      <w:r w:rsidRPr="0025454D">
        <w:rPr>
          <w:lang w:val="fr-FR" w:eastAsia="fr-FR"/>
        </w:rPr>
        <w:t>un virage à gauche dans la circulation à gauche).</w:t>
      </w:r>
      <w:r w:rsidR="00B069E1">
        <w:rPr>
          <w:lang w:val="fr-FR" w:eastAsia="fr-FR"/>
        </w:rPr>
        <w:t> </w:t>
      </w:r>
      <w:r w:rsidRPr="0025454D">
        <w:rPr>
          <w:lang w:val="fr-FR" w:eastAsia="fr-FR"/>
        </w:rPr>
        <w:t>»</w:t>
      </w:r>
      <w:r>
        <w:rPr>
          <w:lang w:val="fr-FR" w:eastAsia="fr-FR"/>
        </w:rPr>
        <w:t>.</w:t>
      </w:r>
    </w:p>
    <w:p w:rsidR="006239EA" w:rsidRPr="0025454D" w:rsidRDefault="006239EA" w:rsidP="00B069E1">
      <w:pPr>
        <w:pStyle w:val="SingleTxtG"/>
        <w:rPr>
          <w:lang w:val="fr-FR" w:eastAsia="fr-FR"/>
        </w:rPr>
      </w:pPr>
      <w:r w:rsidRPr="0025454D">
        <w:rPr>
          <w:i/>
          <w:lang w:val="fr-FR" w:eastAsia="fr-FR"/>
        </w:rPr>
        <w:t>Paragraphe 6.3.6.1.2.1</w:t>
      </w:r>
      <w:r w:rsidRPr="0025454D">
        <w:rPr>
          <w:lang w:val="fr-FR" w:eastAsia="fr-FR"/>
        </w:rPr>
        <w:t xml:space="preserve">, </w:t>
      </w:r>
      <w:proofErr w:type="gramStart"/>
      <w:r w:rsidRPr="0025454D">
        <w:rPr>
          <w:lang w:val="fr-FR" w:eastAsia="fr-FR"/>
        </w:rPr>
        <w:t>modifier</w:t>
      </w:r>
      <w:proofErr w:type="gramEnd"/>
      <w:r w:rsidRPr="0025454D">
        <w:rPr>
          <w:lang w:val="fr-FR" w:eastAsia="fr-FR"/>
        </w:rPr>
        <w:t xml:space="preserve"> comme suit</w:t>
      </w:r>
      <w:r w:rsidR="00B069E1">
        <w:rPr>
          <w:lang w:val="fr-FR" w:eastAsia="fr-FR"/>
        </w:rPr>
        <w:t> </w:t>
      </w:r>
      <w:r w:rsidRPr="0025454D">
        <w:rPr>
          <w:lang w:val="fr-FR" w:eastAsia="fr-FR"/>
        </w:rPr>
        <w:t>:</w:t>
      </w:r>
    </w:p>
    <w:p w:rsidR="006239EA" w:rsidRPr="0025454D" w:rsidRDefault="006239EA" w:rsidP="00B069E1">
      <w:pPr>
        <w:pStyle w:val="SingleTxtG"/>
        <w:ind w:left="2835" w:hanging="1701"/>
        <w:rPr>
          <w:lang w:val="fr-FR" w:eastAsia="fr-FR"/>
        </w:rPr>
      </w:pPr>
      <w:r w:rsidRPr="0025454D">
        <w:rPr>
          <w:lang w:val="fr-FR" w:eastAsia="fr-FR"/>
        </w:rPr>
        <w:t>«</w:t>
      </w:r>
      <w:r w:rsidR="00B069E1">
        <w:rPr>
          <w:lang w:val="fr-FR" w:eastAsia="fr-FR"/>
        </w:rPr>
        <w:t> </w:t>
      </w:r>
      <w:r w:rsidRPr="0025454D">
        <w:rPr>
          <w:lang w:val="fr-FR" w:eastAsia="fr-FR"/>
        </w:rPr>
        <w:t>6.3.6.1.2.1</w:t>
      </w:r>
      <w:r w:rsidRPr="0025454D">
        <w:rPr>
          <w:lang w:val="fr-FR" w:eastAsia="fr-FR"/>
        </w:rPr>
        <w:tab/>
        <w:t>Lorsque le flux lumineux normal total de la source lumineuse n</w:t>
      </w:r>
      <w:r>
        <w:rPr>
          <w:lang w:val="fr-FR" w:eastAsia="fr-FR"/>
        </w:rPr>
        <w:t>’</w:t>
      </w:r>
      <w:r w:rsidRPr="0025454D">
        <w:rPr>
          <w:lang w:val="fr-FR" w:eastAsia="fr-FR"/>
        </w:rPr>
        <w:t xml:space="preserve">excède pas 2 000 lm </w:t>
      </w:r>
      <w:r w:rsidRPr="0025454D">
        <w:rPr>
          <w:b/>
          <w:lang w:val="fr-FR" w:eastAsia="fr-FR"/>
        </w:rPr>
        <w:t>par feu de brouillard avant</w:t>
      </w:r>
      <w:r w:rsidR="00B069E1">
        <w:rPr>
          <w:b/>
          <w:lang w:val="fr-FR" w:eastAsia="fr-FR"/>
        </w:rPr>
        <w:t> </w:t>
      </w:r>
      <w:r w:rsidRPr="0025454D">
        <w:rPr>
          <w:lang w:val="fr-FR" w:eastAsia="fr-FR"/>
        </w:rPr>
        <w:t>:</w:t>
      </w:r>
      <w:r w:rsidR="00B069E1">
        <w:rPr>
          <w:lang w:val="fr-FR" w:eastAsia="fr-FR"/>
        </w:rPr>
        <w:t> </w:t>
      </w:r>
      <w:r w:rsidRPr="0025454D">
        <w:rPr>
          <w:lang w:val="fr-FR" w:eastAsia="fr-FR"/>
        </w:rPr>
        <w:t>»</w:t>
      </w:r>
      <w:r>
        <w:rPr>
          <w:lang w:val="fr-FR" w:eastAsia="fr-FR"/>
        </w:rPr>
        <w:t>.</w:t>
      </w:r>
      <w:r w:rsidRPr="0025454D">
        <w:rPr>
          <w:lang w:val="fr-FR" w:eastAsia="fr-FR"/>
        </w:rPr>
        <w:t xml:space="preserve"> </w:t>
      </w:r>
      <w:r w:rsidRPr="0025454D">
        <w:rPr>
          <w:lang w:val="fr-FR" w:eastAsia="fr-FR"/>
        </w:rPr>
        <w:tab/>
      </w:r>
    </w:p>
    <w:p w:rsidR="006239EA" w:rsidRPr="0025454D" w:rsidRDefault="006239EA" w:rsidP="00B069E1">
      <w:pPr>
        <w:pStyle w:val="SingleTxtG"/>
        <w:rPr>
          <w:lang w:val="fr-FR" w:eastAsia="fr-FR"/>
        </w:rPr>
      </w:pPr>
      <w:r w:rsidRPr="0025454D">
        <w:rPr>
          <w:i/>
          <w:lang w:val="fr-FR" w:eastAsia="fr-FR"/>
        </w:rPr>
        <w:t>Paragraphe 6.3.6.1.2.2</w:t>
      </w:r>
      <w:r w:rsidR="00B069E1">
        <w:rPr>
          <w:lang w:val="fr-FR" w:eastAsia="fr-FR"/>
        </w:rPr>
        <w:t xml:space="preserve">, </w:t>
      </w:r>
      <w:proofErr w:type="gramStart"/>
      <w:r w:rsidR="00B069E1">
        <w:rPr>
          <w:lang w:val="fr-FR" w:eastAsia="fr-FR"/>
        </w:rPr>
        <w:t>modifier</w:t>
      </w:r>
      <w:proofErr w:type="gramEnd"/>
      <w:r w:rsidR="00B069E1">
        <w:rPr>
          <w:lang w:val="fr-FR" w:eastAsia="fr-FR"/>
        </w:rPr>
        <w:t xml:space="preserve"> comme suit :</w:t>
      </w:r>
    </w:p>
    <w:p w:rsidR="006239EA" w:rsidRPr="0025454D" w:rsidRDefault="006239EA" w:rsidP="00B069E1">
      <w:pPr>
        <w:pStyle w:val="SingleTxtG"/>
        <w:ind w:left="2835" w:hanging="1701"/>
        <w:rPr>
          <w:lang w:val="fr-FR" w:eastAsia="fr-FR"/>
        </w:rPr>
      </w:pPr>
      <w:r w:rsidRPr="0025454D">
        <w:rPr>
          <w:lang w:val="fr-FR" w:eastAsia="fr-FR"/>
        </w:rPr>
        <w:t>«</w:t>
      </w:r>
      <w:r w:rsidR="00B069E1">
        <w:rPr>
          <w:lang w:val="fr-FR" w:eastAsia="fr-FR"/>
        </w:rPr>
        <w:t> </w:t>
      </w:r>
      <w:r w:rsidRPr="0025454D">
        <w:rPr>
          <w:lang w:val="fr-FR" w:eastAsia="fr-FR"/>
        </w:rPr>
        <w:t>6.3.6.1.2.2</w:t>
      </w:r>
      <w:r w:rsidRPr="0025454D">
        <w:rPr>
          <w:lang w:val="fr-FR" w:eastAsia="fr-FR"/>
        </w:rPr>
        <w:tab/>
        <w:t xml:space="preserve">Lorsque le flux lumineux normal total de la source lumineuse excède 2 000 lm </w:t>
      </w:r>
      <w:r w:rsidRPr="0025454D">
        <w:rPr>
          <w:b/>
          <w:lang w:val="fr-FR" w:eastAsia="fr-FR"/>
        </w:rPr>
        <w:t>par feu de brouillard avant</w:t>
      </w:r>
      <w:r w:rsidR="00B069E1">
        <w:rPr>
          <w:b/>
          <w:lang w:val="fr-FR" w:eastAsia="fr-FR"/>
        </w:rPr>
        <w:t> </w:t>
      </w:r>
      <w:r w:rsidRPr="0025454D">
        <w:rPr>
          <w:lang w:val="fr-FR" w:eastAsia="fr-FR"/>
        </w:rPr>
        <w:t>:</w:t>
      </w:r>
      <w:r w:rsidR="00B069E1">
        <w:rPr>
          <w:lang w:val="fr-FR" w:eastAsia="fr-FR"/>
        </w:rPr>
        <w:t> </w:t>
      </w:r>
      <w:r w:rsidRPr="0025454D">
        <w:rPr>
          <w:lang w:val="fr-FR" w:eastAsia="fr-FR"/>
        </w:rPr>
        <w:t>»</w:t>
      </w:r>
      <w:r>
        <w:rPr>
          <w:lang w:val="fr-FR" w:eastAsia="fr-FR"/>
        </w:rPr>
        <w:t>.</w:t>
      </w:r>
    </w:p>
    <w:p w:rsidR="006239EA" w:rsidRPr="0025454D" w:rsidRDefault="00B069E1" w:rsidP="00B069E1">
      <w:pPr>
        <w:pStyle w:val="HChG"/>
        <w:rPr>
          <w:lang w:val="fr-FR" w:eastAsia="fr-FR"/>
        </w:rPr>
      </w:pPr>
      <w:r>
        <w:rPr>
          <w:lang w:val="fr-FR" w:eastAsia="fr-FR"/>
        </w:rPr>
        <w:tab/>
      </w:r>
      <w:r w:rsidR="006239EA" w:rsidRPr="0025454D">
        <w:rPr>
          <w:lang w:val="fr-FR" w:eastAsia="fr-FR"/>
        </w:rPr>
        <w:t>II.</w:t>
      </w:r>
      <w:r w:rsidR="006239EA" w:rsidRPr="0025454D">
        <w:rPr>
          <w:lang w:val="fr-FR" w:eastAsia="fr-FR"/>
        </w:rPr>
        <w:tab/>
        <w:t>Justification</w:t>
      </w:r>
    </w:p>
    <w:p w:rsidR="006239EA" w:rsidRPr="0025454D" w:rsidRDefault="006239EA" w:rsidP="00B069E1">
      <w:pPr>
        <w:pStyle w:val="SingleTxtG"/>
        <w:rPr>
          <w:lang w:val="fr-FR"/>
        </w:rPr>
      </w:pPr>
      <w:r w:rsidRPr="0025454D">
        <w:rPr>
          <w:lang w:val="fr-FR" w:eastAsia="fr-FR"/>
        </w:rPr>
        <w:t>1.</w:t>
      </w:r>
      <w:r w:rsidRPr="0025454D">
        <w:rPr>
          <w:lang w:val="fr-FR" w:eastAsia="fr-FR"/>
        </w:rPr>
        <w:tab/>
        <w:t>La présente proposition vise à é</w:t>
      </w:r>
      <w:r w:rsidRPr="0025454D">
        <w:rPr>
          <w:lang w:val="fr-FR"/>
        </w:rPr>
        <w:t xml:space="preserve">liminer des incohérences relevées dans le Règlement </w:t>
      </w:r>
      <w:r w:rsidR="00B069E1" w:rsidRPr="00B069E1">
        <w:rPr>
          <w:rFonts w:eastAsia="MS Mincho"/>
          <w:lang w:val="fr-FR"/>
        </w:rPr>
        <w:t>n</w:t>
      </w:r>
      <w:r w:rsidR="00B069E1" w:rsidRPr="00B069E1">
        <w:rPr>
          <w:rFonts w:eastAsia="MS Mincho"/>
          <w:vertAlign w:val="superscript"/>
          <w:lang w:val="fr-FR"/>
        </w:rPr>
        <w:t>o</w:t>
      </w:r>
      <w:r w:rsidR="00B069E1">
        <w:t> </w:t>
      </w:r>
      <w:r w:rsidRPr="00B069E1">
        <w:t>48</w:t>
      </w:r>
      <w:r w:rsidRPr="0025454D">
        <w:rPr>
          <w:lang w:val="fr-FR"/>
        </w:rPr>
        <w:t>, ainsi qu</w:t>
      </w:r>
      <w:r>
        <w:rPr>
          <w:lang w:val="fr-FR"/>
        </w:rPr>
        <w:t>’</w:t>
      </w:r>
      <w:r w:rsidRPr="0025454D">
        <w:rPr>
          <w:lang w:val="fr-FR"/>
        </w:rPr>
        <w:t>à clarifier la teneur et à rectifier la terminologie de ce règlement. Il est proposé d</w:t>
      </w:r>
      <w:r>
        <w:rPr>
          <w:lang w:val="fr-FR"/>
        </w:rPr>
        <w:t>’</w:t>
      </w:r>
      <w:r w:rsidRPr="0025454D">
        <w:rPr>
          <w:lang w:val="fr-FR"/>
        </w:rPr>
        <w:t>introduire les modifications concernées dans l</w:t>
      </w:r>
      <w:r>
        <w:rPr>
          <w:lang w:val="fr-FR"/>
        </w:rPr>
        <w:t>’</w:t>
      </w:r>
      <w:r w:rsidRPr="0025454D">
        <w:rPr>
          <w:lang w:val="fr-FR"/>
        </w:rPr>
        <w:t>ensemble des séries d</w:t>
      </w:r>
      <w:r>
        <w:rPr>
          <w:lang w:val="fr-FR"/>
        </w:rPr>
        <w:t>’</w:t>
      </w:r>
      <w:r w:rsidRPr="0025454D">
        <w:rPr>
          <w:lang w:val="fr-FR"/>
        </w:rPr>
        <w:t>amendements actuellement applicables aux nouvelles homologations de type (séries 05 et 06), afin d</w:t>
      </w:r>
      <w:r>
        <w:rPr>
          <w:lang w:val="fr-FR"/>
        </w:rPr>
        <w:t>’</w:t>
      </w:r>
      <w:r w:rsidRPr="0025454D">
        <w:rPr>
          <w:lang w:val="fr-FR"/>
        </w:rPr>
        <w:t>éviter toute divergence en fonction de la série d</w:t>
      </w:r>
      <w:r>
        <w:rPr>
          <w:lang w:val="fr-FR"/>
        </w:rPr>
        <w:t>’</w:t>
      </w:r>
      <w:r w:rsidRPr="0025454D">
        <w:rPr>
          <w:lang w:val="fr-FR"/>
        </w:rPr>
        <w:t>amendements appliquée.</w:t>
      </w:r>
    </w:p>
    <w:p w:rsidR="006239EA" w:rsidRPr="0025454D" w:rsidRDefault="006239EA" w:rsidP="00B069E1">
      <w:pPr>
        <w:pStyle w:val="SingleTxtG"/>
        <w:rPr>
          <w:lang w:val="fr-FR"/>
        </w:rPr>
      </w:pPr>
      <w:r w:rsidRPr="0025454D">
        <w:rPr>
          <w:i/>
          <w:lang w:val="fr-FR"/>
        </w:rPr>
        <w:t>Paragraphe 5.7.2.1</w:t>
      </w:r>
    </w:p>
    <w:p w:rsidR="006239EA" w:rsidRPr="0025454D" w:rsidRDefault="006239EA" w:rsidP="00B069E1">
      <w:pPr>
        <w:pStyle w:val="SingleTxtG"/>
        <w:rPr>
          <w:lang w:val="fr-FR"/>
        </w:rPr>
      </w:pPr>
      <w:r w:rsidRPr="0025454D">
        <w:rPr>
          <w:lang w:val="fr-FR"/>
        </w:rPr>
        <w:t>2.</w:t>
      </w:r>
      <w:r w:rsidRPr="0025454D">
        <w:rPr>
          <w:lang w:val="fr-FR"/>
        </w:rPr>
        <w:tab/>
        <w:t xml:space="preserve">Les modifications proposées consistent en des corrections de forme visant à mettre la terminologie en conformité avec la définition actuelle et les autres prescriptions. </w:t>
      </w:r>
    </w:p>
    <w:p w:rsidR="006239EA" w:rsidRPr="0025454D" w:rsidRDefault="006239EA" w:rsidP="00B069E1">
      <w:pPr>
        <w:pStyle w:val="SingleTxtG"/>
        <w:rPr>
          <w:i/>
          <w:lang w:val="fr-FR"/>
        </w:rPr>
      </w:pPr>
      <w:r w:rsidRPr="0025454D">
        <w:rPr>
          <w:i/>
          <w:lang w:val="fr-FR"/>
        </w:rPr>
        <w:t>Paragraphe 6.2.9</w:t>
      </w:r>
    </w:p>
    <w:p w:rsidR="006239EA" w:rsidRPr="0025454D" w:rsidRDefault="006239EA" w:rsidP="00B069E1">
      <w:pPr>
        <w:pStyle w:val="SingleTxtG"/>
        <w:rPr>
          <w:lang w:val="fr-FR"/>
        </w:rPr>
      </w:pPr>
      <w:r w:rsidRPr="0025454D">
        <w:rPr>
          <w:lang w:val="fr-FR"/>
        </w:rPr>
        <w:t>3.</w:t>
      </w:r>
      <w:r w:rsidRPr="0025454D">
        <w:rPr>
          <w:lang w:val="fr-FR"/>
        </w:rPr>
        <w:tab/>
        <w:t>Les modifications proposées visent à clarifier l</w:t>
      </w:r>
      <w:r>
        <w:rPr>
          <w:lang w:val="fr-FR"/>
        </w:rPr>
        <w:t>’</w:t>
      </w:r>
      <w:r w:rsidRPr="0025454D">
        <w:rPr>
          <w:lang w:val="fr-FR"/>
        </w:rPr>
        <w:t xml:space="preserve">interprétation du paragraphe </w:t>
      </w:r>
      <w:r>
        <w:rPr>
          <w:lang w:val="fr-FR"/>
        </w:rPr>
        <w:t>concerné</w:t>
      </w:r>
      <w:r w:rsidRPr="0025454D">
        <w:rPr>
          <w:lang w:val="fr-FR"/>
        </w:rPr>
        <w:t xml:space="preserve"> pour ce qui est de l</w:t>
      </w:r>
      <w:r>
        <w:rPr>
          <w:lang w:val="fr-FR"/>
        </w:rPr>
        <w:t>’</w:t>
      </w:r>
      <w:r w:rsidRPr="0025454D">
        <w:rPr>
          <w:lang w:val="fr-FR"/>
        </w:rPr>
        <w:t>application de la limite des 2 000 lm. Elles visent également à revoir ce paragraphe sur la forme en le scindant en quatre alinéas pour en faciliter la compréhension.</w:t>
      </w:r>
    </w:p>
    <w:p w:rsidR="006239EA" w:rsidRPr="00B069E1" w:rsidRDefault="006239EA" w:rsidP="00B069E1">
      <w:pPr>
        <w:pStyle w:val="SingleTxtG"/>
        <w:rPr>
          <w:i/>
          <w:lang w:val="fr-FR"/>
        </w:rPr>
      </w:pPr>
      <w:r w:rsidRPr="00B069E1">
        <w:rPr>
          <w:i/>
          <w:lang w:val="fr-FR"/>
        </w:rPr>
        <w:t>Paragraphes 6.3.6.1.2.1 et 6.3.1.2.2</w:t>
      </w:r>
    </w:p>
    <w:p w:rsidR="006239EA" w:rsidRPr="0025454D" w:rsidRDefault="006239EA" w:rsidP="00B069E1">
      <w:pPr>
        <w:pStyle w:val="SingleTxtG"/>
        <w:rPr>
          <w:lang w:val="fr-FR"/>
        </w:rPr>
      </w:pPr>
      <w:r w:rsidRPr="0025454D">
        <w:rPr>
          <w:lang w:val="fr-FR"/>
        </w:rPr>
        <w:t>4.</w:t>
      </w:r>
      <w:r w:rsidRPr="0025454D">
        <w:rPr>
          <w:lang w:val="fr-FR"/>
        </w:rPr>
        <w:tab/>
        <w:t>Comme dans le cas du paragraphe 6.2.9, les modifications proposées visent à clarifier l</w:t>
      </w:r>
      <w:r>
        <w:rPr>
          <w:lang w:val="fr-FR"/>
        </w:rPr>
        <w:t>’</w:t>
      </w:r>
      <w:r w:rsidRPr="0025454D">
        <w:rPr>
          <w:lang w:val="fr-FR"/>
        </w:rPr>
        <w:t>interprétation pour ce qui est de l</w:t>
      </w:r>
      <w:r>
        <w:rPr>
          <w:lang w:val="fr-FR"/>
        </w:rPr>
        <w:t>’</w:t>
      </w:r>
      <w:r w:rsidRPr="0025454D">
        <w:rPr>
          <w:lang w:val="fr-FR"/>
        </w:rPr>
        <w:t>application de la limite des 2 000 lm.</w:t>
      </w:r>
    </w:p>
    <w:p w:rsidR="00F9573C" w:rsidRPr="006239EA" w:rsidRDefault="006239EA" w:rsidP="006239EA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6239EA" w:rsidSect="006239EA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43E" w:rsidRDefault="0058243E" w:rsidP="00F95C08">
      <w:pPr>
        <w:spacing w:line="240" w:lineRule="auto"/>
      </w:pPr>
    </w:p>
  </w:endnote>
  <w:endnote w:type="continuationSeparator" w:id="0">
    <w:p w:rsidR="0058243E" w:rsidRPr="00AC3823" w:rsidRDefault="0058243E" w:rsidP="00AC3823">
      <w:pPr>
        <w:pStyle w:val="Footer"/>
      </w:pPr>
    </w:p>
  </w:endnote>
  <w:endnote w:type="continuationNotice" w:id="1">
    <w:p w:rsidR="0058243E" w:rsidRDefault="0058243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9EA" w:rsidRPr="006239EA" w:rsidRDefault="006239EA" w:rsidP="006239EA">
    <w:pPr>
      <w:pStyle w:val="Footer"/>
      <w:tabs>
        <w:tab w:val="right" w:pos="9638"/>
      </w:tabs>
    </w:pPr>
    <w:r w:rsidRPr="006239EA">
      <w:rPr>
        <w:b/>
        <w:sz w:val="18"/>
      </w:rPr>
      <w:fldChar w:fldCharType="begin"/>
    </w:r>
    <w:r w:rsidRPr="006239EA">
      <w:rPr>
        <w:b/>
        <w:sz w:val="18"/>
      </w:rPr>
      <w:instrText xml:space="preserve"> PAGE  \* MERGEFORMAT </w:instrText>
    </w:r>
    <w:r w:rsidRPr="006239EA">
      <w:rPr>
        <w:b/>
        <w:sz w:val="18"/>
      </w:rPr>
      <w:fldChar w:fldCharType="separate"/>
    </w:r>
    <w:r w:rsidR="00CB6E15">
      <w:rPr>
        <w:b/>
        <w:noProof/>
        <w:sz w:val="18"/>
      </w:rPr>
      <w:t>2</w:t>
    </w:r>
    <w:r w:rsidRPr="006239EA">
      <w:rPr>
        <w:b/>
        <w:sz w:val="18"/>
      </w:rPr>
      <w:fldChar w:fldCharType="end"/>
    </w:r>
    <w:r>
      <w:rPr>
        <w:b/>
        <w:sz w:val="18"/>
      </w:rPr>
      <w:tab/>
    </w:r>
    <w:r>
      <w:t>GE.16-13773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9EA" w:rsidRPr="006239EA" w:rsidRDefault="006239EA" w:rsidP="006239EA">
    <w:pPr>
      <w:pStyle w:val="Footer"/>
      <w:tabs>
        <w:tab w:val="right" w:pos="9638"/>
      </w:tabs>
      <w:rPr>
        <w:b/>
        <w:sz w:val="18"/>
      </w:rPr>
    </w:pPr>
    <w:r>
      <w:t>GE.16-13773</w:t>
    </w:r>
    <w:r>
      <w:tab/>
    </w:r>
    <w:r w:rsidRPr="006239EA">
      <w:rPr>
        <w:b/>
        <w:sz w:val="18"/>
      </w:rPr>
      <w:fldChar w:fldCharType="begin"/>
    </w:r>
    <w:r w:rsidRPr="006239EA">
      <w:rPr>
        <w:b/>
        <w:sz w:val="18"/>
      </w:rPr>
      <w:instrText xml:space="preserve"> PAGE  \* MERGEFORMAT </w:instrText>
    </w:r>
    <w:r w:rsidRPr="006239EA">
      <w:rPr>
        <w:b/>
        <w:sz w:val="18"/>
      </w:rPr>
      <w:fldChar w:fldCharType="separate"/>
    </w:r>
    <w:r w:rsidR="00CB6E15">
      <w:rPr>
        <w:b/>
        <w:noProof/>
        <w:sz w:val="18"/>
      </w:rPr>
      <w:t>3</w:t>
    </w:r>
    <w:r w:rsidRPr="006239E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FA" w:rsidRPr="006239EA" w:rsidRDefault="006239EA" w:rsidP="006239EA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742BCE9C" wp14:editId="4FA21CF3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16-13773  (F)</w:t>
    </w:r>
    <w:r w:rsidR="00612569">
      <w:rPr>
        <w:sz w:val="20"/>
      </w:rPr>
      <w:t xml:space="preserve">    060916    070916</w:t>
    </w:r>
    <w:r>
      <w:rPr>
        <w:sz w:val="20"/>
      </w:rPr>
      <w:br/>
    </w:r>
    <w:r w:rsidRPr="006239EA">
      <w:rPr>
        <w:rFonts w:ascii="C39T30Lfz" w:hAnsi="C39T30Lfz"/>
        <w:sz w:val="56"/>
      </w:rPr>
      <w:t></w:t>
    </w:r>
    <w:r w:rsidRPr="006239EA">
      <w:rPr>
        <w:rFonts w:ascii="C39T30Lfz" w:hAnsi="C39T30Lfz"/>
        <w:sz w:val="56"/>
      </w:rPr>
      <w:t></w:t>
    </w:r>
    <w:r w:rsidRPr="006239EA">
      <w:rPr>
        <w:rFonts w:ascii="C39T30Lfz" w:hAnsi="C39T30Lfz"/>
        <w:sz w:val="56"/>
      </w:rPr>
      <w:t></w:t>
    </w:r>
    <w:r w:rsidRPr="006239EA">
      <w:rPr>
        <w:rFonts w:ascii="C39T30Lfz" w:hAnsi="C39T30Lfz"/>
        <w:sz w:val="56"/>
      </w:rPr>
      <w:t></w:t>
    </w:r>
    <w:r w:rsidRPr="006239EA">
      <w:rPr>
        <w:rFonts w:ascii="C39T30Lfz" w:hAnsi="C39T30Lfz"/>
        <w:sz w:val="56"/>
      </w:rPr>
      <w:t></w:t>
    </w:r>
    <w:r w:rsidRPr="006239EA">
      <w:rPr>
        <w:rFonts w:ascii="C39T30Lfz" w:hAnsi="C39T30Lfz"/>
        <w:sz w:val="56"/>
      </w:rPr>
      <w:t></w:t>
    </w:r>
    <w:r w:rsidRPr="006239EA">
      <w:rPr>
        <w:rFonts w:ascii="C39T30Lfz" w:hAnsi="C39T30Lfz"/>
        <w:sz w:val="56"/>
      </w:rPr>
      <w:t></w:t>
    </w:r>
    <w:r w:rsidRPr="006239EA">
      <w:rPr>
        <w:rFonts w:ascii="C39T30Lfz" w:hAnsi="C39T30Lfz"/>
        <w:sz w:val="56"/>
      </w:rPr>
      <w:t></w:t>
    </w:r>
    <w:r w:rsidRPr="006239EA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WP.29/GRE/2016/24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GRE/2016/24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43E" w:rsidRPr="00AC3823" w:rsidRDefault="0058243E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8243E" w:rsidRPr="00AC3823" w:rsidRDefault="0058243E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58243E" w:rsidRPr="00AC3823" w:rsidRDefault="0058243E">
      <w:pPr>
        <w:spacing w:line="240" w:lineRule="auto"/>
        <w:rPr>
          <w:sz w:val="2"/>
          <w:szCs w:val="2"/>
        </w:rPr>
      </w:pPr>
    </w:p>
  </w:footnote>
  <w:footnote w:id="2">
    <w:p w:rsidR="006239EA" w:rsidRPr="00303704" w:rsidRDefault="006239EA" w:rsidP="00612569">
      <w:pPr>
        <w:pStyle w:val="FootnoteText"/>
        <w:rPr>
          <w:lang w:val="fr-FR"/>
        </w:rPr>
      </w:pPr>
      <w:r w:rsidRPr="001B2E8B">
        <w:tab/>
        <w:t>*</w:t>
      </w:r>
      <w:r w:rsidRPr="001B2E8B">
        <w:tab/>
      </w:r>
      <w:r w:rsidRPr="00303704">
        <w:rPr>
          <w:lang w:val="fr-FR"/>
        </w:rPr>
        <w:t>Conformément au programme de travail du Comité des transports intérieurs pour la période 2014</w:t>
      </w:r>
      <w:r w:rsidR="00B069E1">
        <w:rPr>
          <w:lang w:val="fr-FR"/>
        </w:rPr>
        <w:noBreakHyphen/>
        <w:t>2018 (ECE/TRANS/240, par. </w:t>
      </w:r>
      <w:r w:rsidRPr="00303704">
        <w:rPr>
          <w:lang w:val="fr-FR"/>
        </w:rPr>
        <w:t xml:space="preserve">105, et ECE/TRANS/2014/26, activité 02.4), le Forum mondial a pour mission d’élaborer, d’harmoniser et de mettre à jour les Règlements en vue d’améliorer les caractéristiques fonctionnelles des véhicules. Le présent document est soumis </w:t>
      </w:r>
      <w:r w:rsidRPr="00181519">
        <w:rPr>
          <w:lang w:val="fr-FR"/>
        </w:rPr>
        <w:t xml:space="preserve">en vertu </w:t>
      </w:r>
      <w:r w:rsidRPr="00303704">
        <w:rPr>
          <w:lang w:val="fr-FR"/>
        </w:rPr>
        <w:t>de ce mandat.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9EA" w:rsidRPr="006239EA" w:rsidRDefault="006239EA">
    <w:pPr>
      <w:pStyle w:val="Header"/>
    </w:pPr>
    <w:r>
      <w:t>ECE/TRANS/WP.29/GRE/2016/24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9EA" w:rsidRPr="006239EA" w:rsidRDefault="006239EA" w:rsidP="006239EA">
    <w:pPr>
      <w:pStyle w:val="Header"/>
      <w:jc w:val="right"/>
    </w:pPr>
    <w:r>
      <w:t>ECE/TRANS/WP.29/GRE/2016/24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43E"/>
    <w:rsid w:val="00017F94"/>
    <w:rsid w:val="00023842"/>
    <w:rsid w:val="000334F9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441C3B"/>
    <w:rsid w:val="00446FE5"/>
    <w:rsid w:val="00452396"/>
    <w:rsid w:val="004837D8"/>
    <w:rsid w:val="00484A1F"/>
    <w:rsid w:val="004E468C"/>
    <w:rsid w:val="005505B7"/>
    <w:rsid w:val="00573BE5"/>
    <w:rsid w:val="0058243E"/>
    <w:rsid w:val="00586ED3"/>
    <w:rsid w:val="00596AA9"/>
    <w:rsid w:val="00612569"/>
    <w:rsid w:val="006239EA"/>
    <w:rsid w:val="0071601D"/>
    <w:rsid w:val="007A62E6"/>
    <w:rsid w:val="007F20FA"/>
    <w:rsid w:val="0080684C"/>
    <w:rsid w:val="00871C75"/>
    <w:rsid w:val="008776DC"/>
    <w:rsid w:val="009705C8"/>
    <w:rsid w:val="009C1CF4"/>
    <w:rsid w:val="009F6B74"/>
    <w:rsid w:val="00A30353"/>
    <w:rsid w:val="00AC3823"/>
    <w:rsid w:val="00AE323C"/>
    <w:rsid w:val="00AF0CB5"/>
    <w:rsid w:val="00B00181"/>
    <w:rsid w:val="00B00B0D"/>
    <w:rsid w:val="00B069E1"/>
    <w:rsid w:val="00B765F7"/>
    <w:rsid w:val="00BA0CA9"/>
    <w:rsid w:val="00C02897"/>
    <w:rsid w:val="00CB6E15"/>
    <w:rsid w:val="00D3439C"/>
    <w:rsid w:val="00DB1831"/>
    <w:rsid w:val="00DD3BFD"/>
    <w:rsid w:val="00DF6678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844</Words>
  <Characters>4812</Characters>
  <Application>Microsoft Office Word</Application>
  <DocSecurity>4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ECE/TRANS/WP.29/GRE/2016/24</vt:lpstr>
      <vt:lpstr/>
    </vt:vector>
  </TitlesOfParts>
  <Company>DCM</Company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ECE/TRANS/WP.29/GRE/2016/24</dc:title>
  <dc:subject>final</dc:subject>
  <dc:creator>Beaunee</dc:creator>
  <cp:lastModifiedBy>Benedicte Boudol</cp:lastModifiedBy>
  <cp:revision>2</cp:revision>
  <cp:lastPrinted>2016-09-07T06:52:00Z</cp:lastPrinted>
  <dcterms:created xsi:type="dcterms:W3CDTF">2016-09-07T12:59:00Z</dcterms:created>
  <dcterms:modified xsi:type="dcterms:W3CDTF">2016-09-07T12:59:00Z</dcterms:modified>
</cp:coreProperties>
</file>